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71" w:rsidRPr="00B62671" w:rsidRDefault="00B62671" w:rsidP="00B62671">
      <w:pPr>
        <w:jc w:val="both"/>
        <w:rPr>
          <w:b/>
          <w:sz w:val="36"/>
          <w:lang w:val="el-GR"/>
        </w:rPr>
      </w:pPr>
      <w:r w:rsidRPr="00B62671">
        <w:rPr>
          <w:b/>
          <w:sz w:val="36"/>
          <w:lang w:val="el-GR"/>
        </w:rPr>
        <w:t>Ατομική Εργασία</w:t>
      </w:r>
    </w:p>
    <w:p w:rsidR="00B3678B" w:rsidRPr="00B62671" w:rsidRDefault="00B3678B" w:rsidP="00EC6A5A">
      <w:pPr>
        <w:jc w:val="both"/>
        <w:rPr>
          <w:lang w:val="el-GR"/>
        </w:rPr>
      </w:pPr>
    </w:p>
    <w:p w:rsidR="009911E2" w:rsidRPr="00B62671" w:rsidRDefault="00EC6A5A" w:rsidP="00EC6A5A">
      <w:pPr>
        <w:jc w:val="both"/>
        <w:rPr>
          <w:lang w:val="el-GR"/>
        </w:rPr>
      </w:pPr>
      <w:r>
        <w:rPr>
          <w:lang w:val="el-GR"/>
        </w:rPr>
        <w:t>Η</w:t>
      </w:r>
      <w:r w:rsidRPr="00EC6A5A">
        <w:rPr>
          <w:lang w:val="el-GR"/>
        </w:rPr>
        <w:t xml:space="preserve"> </w:t>
      </w:r>
      <w:r w:rsidR="00B62671">
        <w:rPr>
          <w:lang w:val="el-GR"/>
        </w:rPr>
        <w:t xml:space="preserve">ατομική εργασία ετοιμάζεται από το φοιτητή/φοιτήτρια και αποστέλλεται στον διδάσκοντα την πρώτη εβδομάδα των τελικών εξετάσεων στο </w:t>
      </w:r>
      <w:r w:rsidR="00B62671">
        <w:t>email</w:t>
      </w:r>
      <w:r w:rsidR="00B62671">
        <w:rPr>
          <w:lang w:val="el-GR"/>
        </w:rPr>
        <w:t xml:space="preserve"> που εναγράφεται στο </w:t>
      </w:r>
      <w:r w:rsidR="00B62671">
        <w:t>e</w:t>
      </w:r>
      <w:r w:rsidR="00B62671" w:rsidRPr="00B62671">
        <w:rPr>
          <w:lang w:val="el-GR"/>
        </w:rPr>
        <w:t>-</w:t>
      </w:r>
      <w:r w:rsidR="00B62671">
        <w:t>class</w:t>
      </w:r>
      <w:r w:rsidR="00B62671" w:rsidRPr="00B62671">
        <w:rPr>
          <w:lang w:val="el-GR"/>
        </w:rPr>
        <w:t xml:space="preserve">. </w:t>
      </w:r>
      <w:r w:rsidR="00B62671">
        <w:rPr>
          <w:lang w:val="el-GR"/>
        </w:rPr>
        <w:t>Εάν ο διδάσκων δεν απαντήσει ότι το έλαβε, υποχρεούστε να παραδώσετε την εργασία σε φυσική μορφή στη γραμματεία του τμήματος Φιλοσοφίας.</w:t>
      </w:r>
      <w:r w:rsidR="00B62671" w:rsidRPr="00B62671">
        <w:rPr>
          <w:lang w:val="el-GR"/>
        </w:rPr>
        <w:t xml:space="preserve"> </w:t>
      </w:r>
    </w:p>
    <w:p w:rsidR="009911E2" w:rsidRPr="00EC6A5A" w:rsidRDefault="009911E2" w:rsidP="00EC6A5A">
      <w:pPr>
        <w:jc w:val="both"/>
        <w:rPr>
          <w:lang w:val="el-GR"/>
        </w:rPr>
      </w:pPr>
    </w:p>
    <w:p w:rsidR="00B62671" w:rsidRDefault="00EC6A5A" w:rsidP="00EC6A5A">
      <w:pPr>
        <w:jc w:val="both"/>
        <w:rPr>
          <w:lang w:val="el-GR"/>
        </w:rPr>
      </w:pPr>
      <w:r>
        <w:rPr>
          <w:lang w:val="el-GR"/>
        </w:rPr>
        <w:t xml:space="preserve">Για την </w:t>
      </w:r>
      <w:r w:rsidR="00B62671">
        <w:rPr>
          <w:lang w:val="el-GR"/>
        </w:rPr>
        <w:t>ατομική εργασία</w:t>
      </w:r>
      <w:r>
        <w:rPr>
          <w:lang w:val="el-GR"/>
        </w:rPr>
        <w:t xml:space="preserve"> οι φοιτητές/φοιτήτριες </w:t>
      </w:r>
      <w:r w:rsidR="00B62671">
        <w:rPr>
          <w:lang w:val="el-GR"/>
        </w:rPr>
        <w:t>μπορούν</w:t>
      </w:r>
      <w:r>
        <w:rPr>
          <w:lang w:val="el-GR"/>
        </w:rPr>
        <w:t xml:space="preserve"> να </w:t>
      </w:r>
      <w:r w:rsidR="00B62671">
        <w:rPr>
          <w:lang w:val="el-GR"/>
        </w:rPr>
        <w:t xml:space="preserve">απαντήσουν σε ένα από τα 10 θέματα της ενδιάμεσης εξέτασης, </w:t>
      </w:r>
      <w:r w:rsidR="00C45049" w:rsidRPr="00C45049">
        <w:rPr>
          <w:b/>
          <w:lang w:val="el-GR"/>
        </w:rPr>
        <w:t xml:space="preserve">ή </w:t>
      </w:r>
      <w:r w:rsidR="00B62671">
        <w:rPr>
          <w:lang w:val="el-GR"/>
        </w:rPr>
        <w:t xml:space="preserve">σε κάποιο από τα θέματα που παρατίθενται εδώ, </w:t>
      </w:r>
      <w:r w:rsidR="00B62671" w:rsidRPr="00B62671">
        <w:rPr>
          <w:b/>
          <w:lang w:val="el-GR"/>
        </w:rPr>
        <w:t>ή</w:t>
      </w:r>
      <w:r w:rsidR="00B62671">
        <w:rPr>
          <w:lang w:val="el-GR"/>
        </w:rPr>
        <w:t xml:space="preserve"> σε άλλο θέμα που έχει συμφωνηθεί με τον διδάσκοντα</w:t>
      </w:r>
      <w:r w:rsidR="009911E2" w:rsidRPr="00EC6A5A">
        <w:rPr>
          <w:lang w:val="el-GR"/>
        </w:rPr>
        <w:t>.</w:t>
      </w:r>
      <w:r w:rsidR="00B62671">
        <w:rPr>
          <w:lang w:val="el-GR"/>
        </w:rPr>
        <w:t xml:space="preserve"> </w:t>
      </w:r>
    </w:p>
    <w:p w:rsidR="00B62671" w:rsidRDefault="00B62671" w:rsidP="00EC6A5A">
      <w:pPr>
        <w:jc w:val="both"/>
        <w:rPr>
          <w:lang w:val="el-GR"/>
        </w:rPr>
      </w:pPr>
    </w:p>
    <w:p w:rsidR="00B62671" w:rsidRDefault="00B62671" w:rsidP="00EC6A5A">
      <w:pPr>
        <w:jc w:val="both"/>
        <w:rPr>
          <w:lang w:val="el-GR"/>
        </w:rPr>
      </w:pPr>
      <w:r>
        <w:rPr>
          <w:lang w:val="el-GR"/>
        </w:rPr>
        <w:t xml:space="preserve">Η απάντηση έχει τη μορφή αυτοτελούς εργασίας, με </w:t>
      </w:r>
      <w:r w:rsidRPr="00B62671">
        <w:rPr>
          <w:i/>
          <w:lang w:val="el-GR"/>
        </w:rPr>
        <w:t>σχετική</w:t>
      </w:r>
      <w:r>
        <w:rPr>
          <w:lang w:val="el-GR"/>
        </w:rPr>
        <w:t xml:space="preserve"> εισαγωγή στην αρχή και υποχρεωτική βιβλιογραφία στο τέλος. Δεν απαιτείται η παράθεση των ερωτημάτων του κάθε θέματος αρκεί το γραπτό να απαντάει σε αυτά.</w:t>
      </w:r>
      <w:r w:rsidR="003B7409">
        <w:rPr>
          <w:lang w:val="el-GR"/>
        </w:rPr>
        <w:t xml:space="preserve"> Ο φοιτητής/φοιτήτρια μπορεί να αντλήσει χωρία και θέσεις από όλα τα κείμενα που έχουν διαβαστεί στο μάθημα, καθώς και από τις σημειώσεις του μαθήματος, φιλοσοφικά λεξικά και δευτερεύουσα βιβλιογραφία, με την προϋπόθεση ότι αναφέρονται ρητά στη βιβλιογραφία του τέλους.</w:t>
      </w:r>
    </w:p>
    <w:p w:rsidR="00B62671" w:rsidRDefault="00B62671" w:rsidP="00EC6A5A">
      <w:pPr>
        <w:jc w:val="both"/>
        <w:rPr>
          <w:lang w:val="el-GR"/>
        </w:rPr>
      </w:pPr>
    </w:p>
    <w:p w:rsidR="00EC6A5A" w:rsidRPr="00EC6A5A" w:rsidRDefault="00B62671" w:rsidP="00EC6A5A">
      <w:pPr>
        <w:jc w:val="both"/>
        <w:rPr>
          <w:lang w:val="el-GR"/>
        </w:rPr>
      </w:pPr>
      <w:r>
        <w:rPr>
          <w:lang w:val="el-GR"/>
        </w:rPr>
        <w:t>Η έκταση πρέπει να προσεγγίζει τις 1500 λέξεις χωρίς να προσμετρώνται σε αυτές η εκφώνηση του θέματος, η βιβλιογραφ</w:t>
      </w:r>
      <w:r w:rsidR="003B7409">
        <w:rPr>
          <w:lang w:val="el-GR"/>
        </w:rPr>
        <w:t xml:space="preserve">ία και εκτεταμένες </w:t>
      </w:r>
      <w:r>
        <w:rPr>
          <w:lang w:val="el-GR"/>
        </w:rPr>
        <w:t>παραθέσεις πρωτογενούς κειμένου</w:t>
      </w:r>
      <w:r w:rsidR="003B7409">
        <w:rPr>
          <w:lang w:val="el-GR"/>
        </w:rPr>
        <w:t xml:space="preserve"> χωρίς σχολιασμό</w:t>
      </w:r>
      <w:r>
        <w:rPr>
          <w:lang w:val="el-GR"/>
        </w:rPr>
        <w:t>.</w:t>
      </w:r>
      <w:r w:rsidR="003B7409">
        <w:rPr>
          <w:lang w:val="el-GR"/>
        </w:rPr>
        <w:t xml:space="preserve"> </w:t>
      </w:r>
      <w:r>
        <w:rPr>
          <w:lang w:val="el-GR"/>
        </w:rPr>
        <w:t xml:space="preserve"> </w:t>
      </w:r>
    </w:p>
    <w:p w:rsidR="009911E2" w:rsidRPr="00EC6A5A" w:rsidRDefault="009911E2" w:rsidP="00EC6A5A">
      <w:pPr>
        <w:jc w:val="both"/>
        <w:rPr>
          <w:lang w:val="el-GR"/>
        </w:rPr>
      </w:pPr>
    </w:p>
    <w:p w:rsidR="00F34D28" w:rsidRDefault="003B7409" w:rsidP="00EC6A5A">
      <w:pPr>
        <w:jc w:val="both"/>
        <w:rPr>
          <w:lang w:val="el-GR"/>
        </w:rPr>
      </w:pPr>
      <w:r>
        <w:rPr>
          <w:lang w:val="el-GR"/>
        </w:rPr>
        <w:t>Θα βαθμολογηθούν: (</w:t>
      </w:r>
      <w:r>
        <w:t>i</w:t>
      </w:r>
      <w:r>
        <w:rPr>
          <w:lang w:val="el-GR"/>
        </w:rPr>
        <w:t>)</w:t>
      </w:r>
      <w:r w:rsidRPr="003B7409">
        <w:rPr>
          <w:lang w:val="el-GR"/>
        </w:rPr>
        <w:t xml:space="preserve"> </w:t>
      </w:r>
      <w:r>
        <w:rPr>
          <w:lang w:val="el-GR"/>
        </w:rPr>
        <w:t>η κατανόηση του πρωτογενούς κειμένου, (</w:t>
      </w:r>
      <w:r>
        <w:t>ii</w:t>
      </w:r>
      <w:r>
        <w:rPr>
          <w:lang w:val="el-GR"/>
        </w:rPr>
        <w:t>) η σαφήνεια του γραπτού σας (δηλ. να είναι κατανοητό αυτό που γράφουμε), (</w:t>
      </w:r>
      <w:r>
        <w:t>iii</w:t>
      </w:r>
      <w:r>
        <w:rPr>
          <w:lang w:val="el-GR"/>
        </w:rPr>
        <w:t>) η ακρίβεια στο κείμεν</w:t>
      </w:r>
      <w:r w:rsidR="00C45049">
        <w:rPr>
          <w:lang w:val="el-GR"/>
        </w:rPr>
        <w:t>ο (δηλ. να μην είναι πολύ γενικές οι προτάσεις</w:t>
      </w:r>
      <w:r>
        <w:rPr>
          <w:lang w:val="el-GR"/>
        </w:rPr>
        <w:t xml:space="preserve"> ή να βγαίν</w:t>
      </w:r>
      <w:r w:rsidR="00C45049">
        <w:rPr>
          <w:lang w:val="el-GR"/>
        </w:rPr>
        <w:t>ουν</w:t>
      </w:r>
      <w:r>
        <w:rPr>
          <w:lang w:val="el-GR"/>
        </w:rPr>
        <w:t xml:space="preserve"> εκτός θέματος), (</w:t>
      </w:r>
      <w:r>
        <w:t>iv</w:t>
      </w:r>
      <w:r>
        <w:rPr>
          <w:lang w:val="el-GR"/>
        </w:rPr>
        <w:t>) η φιλοσοφική ή ιστορική πληρότητα του γραπτού σας</w:t>
      </w:r>
      <w:r w:rsidR="00EC6A5A">
        <w:rPr>
          <w:lang w:val="el-GR"/>
        </w:rPr>
        <w:t>.</w:t>
      </w:r>
      <w:r>
        <w:rPr>
          <w:lang w:val="el-GR"/>
        </w:rPr>
        <w:t xml:space="preserve"> Επιπρόσθετους βαθμούς παίρνει η πρωτοτυπία των επιχειρημάτων ή ενδεχόμενες αναφορές σε δευτερογενή βιβλιογραφία, φιλοσοφικά και ιστορικά πλαίσια που δεν έχουμε αναφέρει στο μάθημα. </w:t>
      </w:r>
    </w:p>
    <w:p w:rsidR="00EC6A5A" w:rsidRDefault="00EC6A5A" w:rsidP="00EC6A5A">
      <w:pPr>
        <w:jc w:val="both"/>
        <w:rPr>
          <w:lang w:val="el-GR"/>
        </w:rPr>
      </w:pPr>
    </w:p>
    <w:p w:rsidR="0026587B" w:rsidRPr="0026587B" w:rsidRDefault="0026587B" w:rsidP="00EC6A5A">
      <w:pPr>
        <w:jc w:val="both"/>
        <w:rPr>
          <w:b/>
          <w:sz w:val="32"/>
          <w:szCs w:val="32"/>
          <w:lang w:val="el-GR"/>
        </w:rPr>
      </w:pPr>
      <w:r w:rsidRPr="0026587B">
        <w:rPr>
          <w:b/>
          <w:sz w:val="32"/>
          <w:szCs w:val="32"/>
          <w:lang w:val="el-GR"/>
        </w:rPr>
        <w:t>Θέματα</w:t>
      </w:r>
    </w:p>
    <w:p w:rsidR="0026587B" w:rsidRDefault="0026587B" w:rsidP="00EC6A5A">
      <w:pPr>
        <w:jc w:val="both"/>
        <w:rPr>
          <w:lang w:val="el-GR"/>
        </w:rPr>
      </w:pPr>
    </w:p>
    <w:p w:rsidR="0026587B" w:rsidRDefault="0026587B" w:rsidP="00EC6A5A">
      <w:pPr>
        <w:jc w:val="both"/>
        <w:rPr>
          <w:lang w:val="el-GR"/>
        </w:rPr>
      </w:pPr>
      <w:r>
        <w:rPr>
          <w:lang w:val="el-GR"/>
        </w:rPr>
        <w:t xml:space="preserve">(Σημ: Εκτός από τα μέρη που έχουν ανεβεί στο </w:t>
      </w:r>
      <w:r>
        <w:t>e</w:t>
      </w:r>
      <w:r w:rsidRPr="0026587B">
        <w:rPr>
          <w:lang w:val="el-GR"/>
        </w:rPr>
        <w:t>-</w:t>
      </w:r>
      <w:r>
        <w:t>class</w:t>
      </w:r>
      <w:r w:rsidRPr="0026587B">
        <w:rPr>
          <w:lang w:val="el-GR"/>
        </w:rPr>
        <w:t xml:space="preserve">, </w:t>
      </w:r>
      <w:r>
        <w:rPr>
          <w:lang w:val="el-GR"/>
        </w:rPr>
        <w:t xml:space="preserve">τα κείμενα του Χιουμ </w:t>
      </w:r>
      <w:r w:rsidRPr="0026587B">
        <w:rPr>
          <w:i/>
          <w:lang w:val="el-GR"/>
        </w:rPr>
        <w:t>Σύνοψη</w:t>
      </w:r>
      <w:r>
        <w:rPr>
          <w:lang w:val="el-GR"/>
        </w:rPr>
        <w:t xml:space="preserve"> και </w:t>
      </w:r>
      <w:r w:rsidRPr="0026587B">
        <w:rPr>
          <w:i/>
          <w:lang w:val="el-GR"/>
        </w:rPr>
        <w:t>Επιστολή ενός κυρίου</w:t>
      </w:r>
      <w:r>
        <w:rPr>
          <w:lang w:val="el-GR"/>
        </w:rPr>
        <w:t xml:space="preserve"> βρίσκονται στο βιβλίο </w:t>
      </w:r>
      <w:r w:rsidRPr="00383D0E">
        <w:rPr>
          <w:lang w:val="el-GR"/>
        </w:rPr>
        <w:t>Hume, D., </w:t>
      </w:r>
      <w:r w:rsidRPr="00383D0E">
        <w:rPr>
          <w:i/>
          <w:iCs/>
          <w:lang w:val="el-GR"/>
        </w:rPr>
        <w:t>Κείμενα: αυτοβιογραφικά, γνωσιολογικά, ηθικά</w:t>
      </w:r>
      <w:r>
        <w:rPr>
          <w:lang w:val="el-GR"/>
        </w:rPr>
        <w:t>. Μετάφρ. Μαρία Πουρνάρη,</w:t>
      </w:r>
      <w:r w:rsidRPr="00383D0E">
        <w:rPr>
          <w:lang w:val="el-GR"/>
        </w:rPr>
        <w:t xml:space="preserve"> Αθήνα, 2006</w:t>
      </w:r>
      <w:r>
        <w:rPr>
          <w:lang w:val="el-GR"/>
        </w:rPr>
        <w:t>, το οποίο βρίσκεται στη βιβλιοθήκη του τμήματος.)</w:t>
      </w:r>
    </w:p>
    <w:p w:rsidR="0026587B" w:rsidRDefault="0026587B" w:rsidP="00EC6A5A">
      <w:pPr>
        <w:jc w:val="both"/>
        <w:rPr>
          <w:lang w:val="el-GR"/>
        </w:rPr>
      </w:pPr>
    </w:p>
    <w:p w:rsidR="00423537" w:rsidRDefault="00423537" w:rsidP="00423537">
      <w:pPr>
        <w:jc w:val="both"/>
        <w:rPr>
          <w:b/>
          <w:lang w:val="el-GR"/>
        </w:rPr>
      </w:pPr>
      <w:r>
        <w:rPr>
          <w:b/>
          <w:lang w:val="el-GR"/>
        </w:rPr>
        <w:t>Θέμα</w:t>
      </w:r>
      <w:r w:rsidR="00F930AB">
        <w:rPr>
          <w:b/>
          <w:lang w:val="el-GR"/>
        </w:rPr>
        <w:t>τα</w:t>
      </w:r>
      <w:r>
        <w:rPr>
          <w:b/>
          <w:lang w:val="el-GR"/>
        </w:rPr>
        <w:t xml:space="preserve"> </w:t>
      </w:r>
      <w:r w:rsidR="00F930AB">
        <w:rPr>
          <w:b/>
          <w:lang w:val="el-GR"/>
        </w:rPr>
        <w:t>1-1</w:t>
      </w:r>
      <w:r w:rsidR="00F930AB" w:rsidRPr="00C45049">
        <w:rPr>
          <w:b/>
          <w:lang w:val="el-GR"/>
        </w:rPr>
        <w:t>0</w:t>
      </w:r>
      <w:r>
        <w:rPr>
          <w:b/>
          <w:lang w:val="el-GR"/>
        </w:rPr>
        <w:t xml:space="preserve"> </w:t>
      </w:r>
    </w:p>
    <w:p w:rsidR="00423537" w:rsidRPr="00423537" w:rsidRDefault="00F930AB" w:rsidP="00423537">
      <w:pPr>
        <w:jc w:val="both"/>
        <w:rPr>
          <w:lang w:val="el-GR"/>
        </w:rPr>
      </w:pPr>
      <w:r>
        <w:rPr>
          <w:lang w:val="el-GR"/>
        </w:rPr>
        <w:t>Στο έγγραφο «Ενδιάμεση Εξέταση» (</w:t>
      </w:r>
      <w:r>
        <w:t>e</w:t>
      </w:r>
      <w:r w:rsidRPr="00F930AB">
        <w:rPr>
          <w:lang w:val="el-GR"/>
        </w:rPr>
        <w:t>-</w:t>
      </w:r>
      <w:r>
        <w:t>class</w:t>
      </w:r>
      <w:r>
        <w:rPr>
          <w:lang w:val="el-GR"/>
        </w:rPr>
        <w:t>).</w:t>
      </w:r>
    </w:p>
    <w:p w:rsidR="00423537" w:rsidRDefault="00423537" w:rsidP="00423537">
      <w:pPr>
        <w:jc w:val="both"/>
        <w:rPr>
          <w:b/>
          <w:lang w:val="el-GR"/>
        </w:rPr>
      </w:pPr>
    </w:p>
    <w:p w:rsidR="00423537" w:rsidRDefault="00423537" w:rsidP="00EC6A5A">
      <w:pPr>
        <w:jc w:val="both"/>
        <w:rPr>
          <w:b/>
          <w:lang w:val="el-GR"/>
        </w:rPr>
      </w:pPr>
      <w:r>
        <w:rPr>
          <w:b/>
          <w:lang w:val="el-GR"/>
        </w:rPr>
        <w:t xml:space="preserve">Θέμα </w:t>
      </w:r>
      <w:r w:rsidR="00F930AB" w:rsidRPr="00F930AB">
        <w:rPr>
          <w:b/>
          <w:lang w:val="el-GR"/>
        </w:rPr>
        <w:t>11</w:t>
      </w:r>
      <w:r w:rsidR="00F930AB" w:rsidRPr="00F930AB">
        <w:rPr>
          <w:b/>
          <w:vertAlign w:val="superscript"/>
          <w:lang w:val="el-GR"/>
        </w:rPr>
        <w:t>ο</w:t>
      </w:r>
      <w:r w:rsidR="00F930AB">
        <w:rPr>
          <w:b/>
          <w:lang w:val="el-GR"/>
        </w:rPr>
        <w:t xml:space="preserve"> </w:t>
      </w:r>
      <w:r>
        <w:rPr>
          <w:b/>
          <w:lang w:val="el-GR"/>
        </w:rPr>
        <w:t xml:space="preserve"> </w:t>
      </w:r>
    </w:p>
    <w:p w:rsidR="00F930AB" w:rsidRDefault="00237466" w:rsidP="00BB7DA5">
      <w:pPr>
        <w:jc w:val="both"/>
        <w:rPr>
          <w:lang w:val="el-GR"/>
        </w:rPr>
      </w:pPr>
      <w:r>
        <w:rPr>
          <w:lang w:val="el-GR"/>
        </w:rPr>
        <w:t>Κείμενο:</w:t>
      </w:r>
      <w:r w:rsidR="00F930AB">
        <w:rPr>
          <w:lang w:val="el-GR"/>
        </w:rPr>
        <w:t xml:space="preserve"> </w:t>
      </w:r>
      <w:r w:rsidR="00F930AB" w:rsidRPr="00383D0E">
        <w:rPr>
          <w:i/>
          <w:lang w:val="el-GR"/>
        </w:rPr>
        <w:t>Σύνοψη</w:t>
      </w:r>
      <w:r w:rsidR="00F930AB">
        <w:rPr>
          <w:lang w:val="el-GR"/>
        </w:rPr>
        <w:t>,</w:t>
      </w:r>
      <w:r w:rsidR="00383D0E">
        <w:rPr>
          <w:lang w:val="el-GR"/>
        </w:rPr>
        <w:t xml:space="preserve"> </w:t>
      </w:r>
      <w:r w:rsidR="00383D0E" w:rsidRPr="00383D0E">
        <w:rPr>
          <w:lang w:val="el-GR"/>
        </w:rPr>
        <w:t>σελίδες 66 ("Ιδού μια σφαίρα μπιλιάρδου..) έως 70 ("..χωρίς κανένα τεκμήριο")</w:t>
      </w:r>
      <w:r w:rsidR="00F930AB">
        <w:rPr>
          <w:lang w:val="el-GR"/>
        </w:rPr>
        <w:t>.</w:t>
      </w:r>
    </w:p>
    <w:p w:rsidR="00F930AB" w:rsidRDefault="00F930AB" w:rsidP="00BB7DA5">
      <w:pPr>
        <w:jc w:val="both"/>
        <w:rPr>
          <w:lang w:val="el-GR"/>
        </w:rPr>
      </w:pPr>
      <w:r>
        <w:rPr>
          <w:lang w:val="el-GR"/>
        </w:rPr>
        <w:t xml:space="preserve">Α. </w:t>
      </w:r>
      <w:r w:rsidR="00383D0E">
        <w:rPr>
          <w:lang w:val="el-GR"/>
        </w:rPr>
        <w:t xml:space="preserve">Περιγράψτε το </w:t>
      </w:r>
      <w:r w:rsidR="00237466">
        <w:rPr>
          <w:lang w:val="el-GR"/>
        </w:rPr>
        <w:t>«</w:t>
      </w:r>
      <w:r w:rsidR="00383D0E">
        <w:rPr>
          <w:lang w:val="el-GR"/>
        </w:rPr>
        <w:t>επιχείρημα του Αδάμ</w:t>
      </w:r>
      <w:r w:rsidR="00C45049">
        <w:rPr>
          <w:lang w:val="el-GR"/>
        </w:rPr>
        <w:t xml:space="preserve">» για τη διερεύνηση </w:t>
      </w:r>
      <w:r w:rsidR="00237466">
        <w:rPr>
          <w:lang w:val="el-GR"/>
        </w:rPr>
        <w:t>της αιτιότητας</w:t>
      </w:r>
    </w:p>
    <w:p w:rsidR="00F930AB" w:rsidRDefault="00237466" w:rsidP="00BB7DA5">
      <w:pPr>
        <w:jc w:val="both"/>
        <w:rPr>
          <w:lang w:val="el-GR"/>
        </w:rPr>
      </w:pPr>
      <w:r>
        <w:rPr>
          <w:lang w:val="el-GR"/>
        </w:rPr>
        <w:t>Β</w:t>
      </w:r>
      <w:r w:rsidR="00F930AB">
        <w:rPr>
          <w:lang w:val="el-GR"/>
        </w:rPr>
        <w:t>.</w:t>
      </w:r>
      <w:r>
        <w:rPr>
          <w:lang w:val="el-GR"/>
        </w:rPr>
        <w:t xml:space="preserve"> Ο</w:t>
      </w:r>
      <w:r w:rsidRPr="00237466">
        <w:rPr>
          <w:lang w:val="el-GR"/>
        </w:rPr>
        <w:t xml:space="preserve"> Χιουμ καταλήγει ότι για </w:t>
      </w:r>
      <w:r w:rsidR="00C45049">
        <w:rPr>
          <w:lang w:val="el-GR"/>
        </w:rPr>
        <w:t>τη θεμελίωση της αιτιότητας χρειάζεται η υπόθεση ότι</w:t>
      </w:r>
      <w:r>
        <w:rPr>
          <w:lang w:val="el-GR"/>
        </w:rPr>
        <w:t xml:space="preserve"> «</w:t>
      </w:r>
      <w:r w:rsidR="00C45049">
        <w:rPr>
          <w:lang w:val="el-GR"/>
        </w:rPr>
        <w:t>η πορεία της φύσης θα συνεχίσει ομοιόμορφα η ίδια</w:t>
      </w:r>
      <w:r>
        <w:rPr>
          <w:lang w:val="el-GR"/>
        </w:rPr>
        <w:t>»</w:t>
      </w:r>
      <w:r w:rsidRPr="00237466">
        <w:rPr>
          <w:lang w:val="el-GR"/>
        </w:rPr>
        <w:t>.</w:t>
      </w:r>
      <w:r w:rsidRPr="00237466">
        <w:t> </w:t>
      </w:r>
      <w:r w:rsidRPr="00237466">
        <w:rPr>
          <w:bCs/>
          <w:lang w:val="el-GR"/>
        </w:rPr>
        <w:t xml:space="preserve">Περιγράψτε τη θέση αυτή και εξηγήστε γιατί, σύμφωνα με τον Χιουμ, δε </w:t>
      </w:r>
      <w:r>
        <w:rPr>
          <w:bCs/>
          <w:lang w:val="el-GR"/>
        </w:rPr>
        <w:t>μπορεί να αποδειχθεί</w:t>
      </w:r>
      <w:r w:rsidRPr="00237466">
        <w:rPr>
          <w:lang w:val="el-GR"/>
        </w:rPr>
        <w:t>.</w:t>
      </w:r>
    </w:p>
    <w:p w:rsidR="00237466" w:rsidRPr="00237466" w:rsidRDefault="00237466" w:rsidP="00BB7DA5">
      <w:pPr>
        <w:jc w:val="both"/>
        <w:rPr>
          <w:lang w:val="el-GR"/>
        </w:rPr>
      </w:pPr>
      <w:r>
        <w:rPr>
          <w:lang w:val="el-GR"/>
        </w:rPr>
        <w:lastRenderedPageBreak/>
        <w:t>Γ. Περιγράψτε το συμπέρασμα του Χιουμ για την αιτιότητα</w:t>
      </w:r>
      <w:r w:rsidR="00C45049">
        <w:rPr>
          <w:lang w:val="el-GR"/>
        </w:rPr>
        <w:t>,</w:t>
      </w:r>
      <w:r>
        <w:rPr>
          <w:lang w:val="el-GR"/>
        </w:rPr>
        <w:t xml:space="preserve"> δεδομένων</w:t>
      </w:r>
      <w:r w:rsidR="002A4903">
        <w:rPr>
          <w:lang w:val="el-GR"/>
        </w:rPr>
        <w:t xml:space="preserve"> των Α και Β.</w:t>
      </w:r>
    </w:p>
    <w:p w:rsidR="00F930AB" w:rsidRPr="00F930AB" w:rsidRDefault="00F930AB" w:rsidP="00BB7DA5">
      <w:pPr>
        <w:jc w:val="both"/>
        <w:rPr>
          <w:lang w:val="el-GR"/>
        </w:rPr>
      </w:pPr>
      <w:r>
        <w:rPr>
          <w:lang w:val="el-GR"/>
        </w:rPr>
        <w:t>(</w:t>
      </w:r>
      <w:r w:rsidRPr="00383D0E">
        <w:rPr>
          <w:u w:val="single"/>
          <w:lang w:val="el-GR"/>
        </w:rPr>
        <w:t>σημ</w:t>
      </w:r>
      <w:r>
        <w:rPr>
          <w:lang w:val="el-GR"/>
        </w:rPr>
        <w:t xml:space="preserve">: για την εισαγωγή της εργασίας σας θα μπορούσατε να περιγράψετε τη </w:t>
      </w:r>
      <w:r w:rsidRPr="0026587B">
        <w:rPr>
          <w:i/>
          <w:lang w:val="el-GR"/>
        </w:rPr>
        <w:t>Σύνοψη</w:t>
      </w:r>
      <w:r>
        <w:rPr>
          <w:lang w:val="el-GR"/>
        </w:rPr>
        <w:t xml:space="preserve">, </w:t>
      </w:r>
      <w:r w:rsidR="00383D0E">
        <w:rPr>
          <w:lang w:val="el-GR"/>
        </w:rPr>
        <w:t>γιατί</w:t>
      </w:r>
      <w:r>
        <w:rPr>
          <w:lang w:val="el-GR"/>
        </w:rPr>
        <w:t xml:space="preserve"> εμφανίστηκε, και το ζήτημα της πατρότητας του κειμένου όπως περιγράφονται στην Εισαγωγή του </w:t>
      </w:r>
      <w:r w:rsidR="0026587B">
        <w:rPr>
          <w:lang w:val="el-GR"/>
        </w:rPr>
        <w:t xml:space="preserve">βιβλίου </w:t>
      </w:r>
      <w:r w:rsidR="00383D0E" w:rsidRPr="00383D0E">
        <w:rPr>
          <w:i/>
          <w:iCs/>
          <w:lang w:val="el-GR"/>
        </w:rPr>
        <w:t>Κείμενα: αυτοβιογραφικά, γνωσιολογικά, ηθικά</w:t>
      </w:r>
      <w:r w:rsidR="00383D0E">
        <w:rPr>
          <w:lang w:val="el-GR"/>
        </w:rPr>
        <w:t>)</w:t>
      </w:r>
    </w:p>
    <w:p w:rsidR="00BB7DA5" w:rsidRDefault="00BB7DA5" w:rsidP="00EC6A5A">
      <w:pPr>
        <w:jc w:val="both"/>
        <w:rPr>
          <w:b/>
          <w:lang w:val="el-GR"/>
        </w:rPr>
      </w:pPr>
    </w:p>
    <w:p w:rsidR="002A4903" w:rsidRDefault="002A4903" w:rsidP="002A4903">
      <w:pPr>
        <w:jc w:val="both"/>
        <w:rPr>
          <w:b/>
          <w:lang w:val="el-GR"/>
        </w:rPr>
      </w:pPr>
      <w:r>
        <w:rPr>
          <w:b/>
          <w:lang w:val="el-GR"/>
        </w:rPr>
        <w:t>Θέμα 12</w:t>
      </w:r>
      <w:r w:rsidRPr="00423537">
        <w:rPr>
          <w:b/>
          <w:vertAlign w:val="superscript"/>
          <w:lang w:val="el-GR"/>
        </w:rPr>
        <w:t>ο</w:t>
      </w:r>
      <w:r>
        <w:rPr>
          <w:b/>
          <w:lang w:val="el-GR"/>
        </w:rPr>
        <w:t xml:space="preserve"> </w:t>
      </w:r>
    </w:p>
    <w:p w:rsidR="00C45049" w:rsidRDefault="00C45049" w:rsidP="00C45049">
      <w:pPr>
        <w:jc w:val="both"/>
        <w:rPr>
          <w:lang w:val="el-GR"/>
        </w:rPr>
      </w:pPr>
      <w:r>
        <w:rPr>
          <w:lang w:val="el-GR"/>
        </w:rPr>
        <w:t xml:space="preserve">Κείμενο: </w:t>
      </w:r>
      <w:r>
        <w:rPr>
          <w:i/>
          <w:lang w:val="el-GR"/>
        </w:rPr>
        <w:t>Πραγματεία</w:t>
      </w:r>
      <w:r>
        <w:rPr>
          <w:lang w:val="el-GR"/>
        </w:rPr>
        <w:t xml:space="preserve">, </w:t>
      </w:r>
      <w:r w:rsidRPr="00383D0E">
        <w:rPr>
          <w:lang w:val="el-GR"/>
        </w:rPr>
        <w:t xml:space="preserve">σελίδες </w:t>
      </w:r>
      <w:r>
        <w:rPr>
          <w:lang w:val="el-GR"/>
        </w:rPr>
        <w:t>220</w:t>
      </w:r>
      <w:r w:rsidR="004D4240">
        <w:rPr>
          <w:lang w:val="el-GR"/>
        </w:rPr>
        <w:t>-225</w:t>
      </w:r>
      <w:r>
        <w:rPr>
          <w:lang w:val="el-GR"/>
        </w:rPr>
        <w:t>.</w:t>
      </w:r>
    </w:p>
    <w:p w:rsidR="002A4903" w:rsidRDefault="002A4903" w:rsidP="002A4903">
      <w:pPr>
        <w:jc w:val="both"/>
        <w:rPr>
          <w:lang w:val="el-GR"/>
        </w:rPr>
      </w:pPr>
      <w:r>
        <w:rPr>
          <w:lang w:val="el-GR"/>
        </w:rPr>
        <w:t xml:space="preserve">Α. </w:t>
      </w:r>
      <w:r w:rsidR="00C45049">
        <w:rPr>
          <w:lang w:val="el-GR"/>
        </w:rPr>
        <w:t>Περιγράψτε τη διαφορά μεταξύ πεποίθησης και απουσίας πεποίθησης, κατά τον Χιουμ</w:t>
      </w:r>
    </w:p>
    <w:p w:rsidR="00C45049" w:rsidRDefault="00C45049" w:rsidP="002A4903">
      <w:pPr>
        <w:jc w:val="both"/>
        <w:rPr>
          <w:lang w:val="el-GR"/>
        </w:rPr>
      </w:pPr>
      <w:r>
        <w:rPr>
          <w:lang w:val="el-GR"/>
        </w:rPr>
        <w:t>Β. Περιγράψτε τη διαφορά μεταξύ απλής σύλληψης μιας ιδέας, και πεποίθησης στην ιδέα αυτή, κατά τον Χιουμ</w:t>
      </w:r>
    </w:p>
    <w:p w:rsidR="00C45049" w:rsidRPr="00D2766B" w:rsidRDefault="00C45049" w:rsidP="002A4903">
      <w:pPr>
        <w:jc w:val="both"/>
        <w:rPr>
          <w:lang w:val="el-GR"/>
        </w:rPr>
      </w:pPr>
      <w:r>
        <w:rPr>
          <w:lang w:val="el-GR"/>
        </w:rPr>
        <w:t xml:space="preserve">Γ. </w:t>
      </w:r>
      <w:r w:rsidR="004D4240">
        <w:rPr>
          <w:lang w:val="el-GR"/>
        </w:rPr>
        <w:t xml:space="preserve">Η πεποίθηση κατέχει ιδιαίτερη θέση στην ανάλυση της </w:t>
      </w:r>
      <w:r w:rsidR="004D4240" w:rsidRPr="004D4240">
        <w:rPr>
          <w:i/>
          <w:lang w:val="el-GR"/>
        </w:rPr>
        <w:t>Πραγματείας</w:t>
      </w:r>
      <w:r w:rsidR="004D4240">
        <w:rPr>
          <w:lang w:val="el-GR"/>
        </w:rPr>
        <w:t>. Σχολιάστε απαντώντας σε κάποιο από τα ακόλουθα ερωτήματα: Πώς συνδέεται η αιτιότητα με την πεποίθηση</w:t>
      </w:r>
      <w:r w:rsidR="00485F7C">
        <w:rPr>
          <w:lang w:val="el-GR"/>
        </w:rPr>
        <w:t>;</w:t>
      </w:r>
      <w:r w:rsidR="004D4240">
        <w:rPr>
          <w:lang w:val="el-GR"/>
        </w:rPr>
        <w:t xml:space="preserve"> (βλ. </w:t>
      </w:r>
      <w:r w:rsidR="004D4240" w:rsidRPr="004D4240">
        <w:rPr>
          <w:i/>
          <w:lang w:val="el-GR"/>
        </w:rPr>
        <w:t>Πραγμ</w:t>
      </w:r>
      <w:r w:rsidR="004D4240">
        <w:rPr>
          <w:lang w:val="el-GR"/>
        </w:rPr>
        <w:t xml:space="preserve">. Σελ. 217-219 και </w:t>
      </w:r>
      <w:r w:rsidR="004D4240" w:rsidRPr="004D4240">
        <w:rPr>
          <w:i/>
          <w:lang w:val="el-GR"/>
        </w:rPr>
        <w:t>Σύνοψη</w:t>
      </w:r>
      <w:r w:rsidR="004D4240">
        <w:rPr>
          <w:lang w:val="el-GR"/>
        </w:rPr>
        <w:t>) Πόσο καθαρό ή ορθό είναι το κριτήριο της ‘ζωηρότητας της ιδέας’ στον ορισμό της πεποίθησης; Σε ποιο βαθμό εξαρτάται τελικά η πεποίθηση από λογικούς συλλογισμούς ή αποδείξεις;</w:t>
      </w:r>
    </w:p>
    <w:p w:rsidR="002A4903" w:rsidRPr="00D2766B" w:rsidRDefault="002A4903" w:rsidP="002A4903">
      <w:pPr>
        <w:jc w:val="both"/>
        <w:rPr>
          <w:lang w:val="el-GR"/>
        </w:rPr>
      </w:pPr>
    </w:p>
    <w:p w:rsidR="00423537" w:rsidRDefault="00423537" w:rsidP="00423537">
      <w:pPr>
        <w:jc w:val="both"/>
        <w:rPr>
          <w:b/>
          <w:lang w:val="el-GR"/>
        </w:rPr>
      </w:pPr>
      <w:r>
        <w:rPr>
          <w:b/>
          <w:lang w:val="el-GR"/>
        </w:rPr>
        <w:t xml:space="preserve">Θέμα </w:t>
      </w:r>
      <w:r w:rsidR="00237466">
        <w:rPr>
          <w:b/>
          <w:lang w:val="el-GR"/>
        </w:rPr>
        <w:t>13</w:t>
      </w:r>
      <w:r w:rsidRPr="00423537">
        <w:rPr>
          <w:b/>
          <w:vertAlign w:val="superscript"/>
          <w:lang w:val="el-GR"/>
        </w:rPr>
        <w:t>ο</w:t>
      </w:r>
      <w:r>
        <w:rPr>
          <w:b/>
          <w:lang w:val="el-GR"/>
        </w:rPr>
        <w:t xml:space="preserve"> </w:t>
      </w:r>
      <w:r w:rsidR="00667F55">
        <w:rPr>
          <w:b/>
          <w:lang w:val="el-GR"/>
        </w:rPr>
        <w:t>- Σκεπτικισμός</w:t>
      </w:r>
    </w:p>
    <w:p w:rsidR="00BB7DA5" w:rsidRDefault="00667F55" w:rsidP="00237466">
      <w:pPr>
        <w:jc w:val="both"/>
        <w:rPr>
          <w:lang w:val="el-GR"/>
        </w:rPr>
      </w:pPr>
      <w:r>
        <w:rPr>
          <w:lang w:val="el-GR"/>
        </w:rPr>
        <w:t>Α. Ποιες θέσεις του Χιουμ μπορούν να περιγραφούν ως ‘σκεπτικιστικές’; (χρειάζεται εισαγωγή για το σκεπτικισμό και τις διαφορετικές περιπτώσεις του)</w:t>
      </w:r>
    </w:p>
    <w:p w:rsidR="002A4903" w:rsidRPr="00485F7C" w:rsidRDefault="002A4903" w:rsidP="00237466">
      <w:pPr>
        <w:jc w:val="both"/>
        <w:rPr>
          <w:lang w:val="el-GR"/>
        </w:rPr>
      </w:pPr>
      <w:r>
        <w:rPr>
          <w:lang w:val="el-GR"/>
        </w:rPr>
        <w:t xml:space="preserve">Β. </w:t>
      </w:r>
      <w:r w:rsidR="00667F55">
        <w:rPr>
          <w:lang w:val="el-GR"/>
        </w:rPr>
        <w:t xml:space="preserve">Περιγράψτε την απάντηση του Χιουμ στις κατηγορίες περί σκεπτικισμού όπως διαφαίνεται από την </w:t>
      </w:r>
      <w:r w:rsidR="00667F55" w:rsidRPr="00667F55">
        <w:rPr>
          <w:i/>
          <w:lang w:val="el-GR"/>
        </w:rPr>
        <w:t>Πραγματεία</w:t>
      </w:r>
      <w:r w:rsidR="00667F55">
        <w:rPr>
          <w:lang w:val="el-GR"/>
        </w:rPr>
        <w:t xml:space="preserve">, τη </w:t>
      </w:r>
      <w:r w:rsidR="00667F55" w:rsidRPr="00667F55">
        <w:rPr>
          <w:i/>
          <w:lang w:val="el-GR"/>
        </w:rPr>
        <w:t>Σύνοψη</w:t>
      </w:r>
      <w:r w:rsidR="00667F55">
        <w:rPr>
          <w:lang w:val="el-GR"/>
        </w:rPr>
        <w:t xml:space="preserve"> (σελ. 78-79) και την </w:t>
      </w:r>
      <w:r w:rsidR="00667F55" w:rsidRPr="00667F55">
        <w:rPr>
          <w:i/>
          <w:lang w:val="el-GR"/>
        </w:rPr>
        <w:t>Επιστολή ενός κυρίου</w:t>
      </w:r>
      <w:r w:rsidR="0026587B">
        <w:rPr>
          <w:lang w:val="el-GR"/>
        </w:rPr>
        <w:t>.</w:t>
      </w:r>
    </w:p>
    <w:p w:rsidR="002A4903" w:rsidRPr="00BB7DA5" w:rsidRDefault="002A4903" w:rsidP="00237466">
      <w:pPr>
        <w:jc w:val="both"/>
        <w:rPr>
          <w:lang w:val="el-GR"/>
        </w:rPr>
      </w:pPr>
      <w:r>
        <w:rPr>
          <w:lang w:val="el-GR"/>
        </w:rPr>
        <w:t xml:space="preserve">Γ. </w:t>
      </w:r>
      <w:r w:rsidR="00667F55">
        <w:rPr>
          <w:lang w:val="el-GR"/>
        </w:rPr>
        <w:t>Σε ποια περίπτωση σκεπτικιστών μπορούμε να κατατάξουμε τον Χιουμ σύμφωνα με τη δική του απάντηση (ερώτημα Β); Κατά τη δική σας άποψη, μπορούμε να πούμε ότι ο Χιουμ είναι γνήσιος σκεπτικιστής;</w:t>
      </w:r>
    </w:p>
    <w:p w:rsidR="00423537" w:rsidRDefault="00423537" w:rsidP="00423537">
      <w:pPr>
        <w:jc w:val="both"/>
        <w:rPr>
          <w:b/>
          <w:lang w:val="el-GR"/>
        </w:rPr>
      </w:pPr>
    </w:p>
    <w:p w:rsidR="00423537" w:rsidRDefault="00423537" w:rsidP="00423537">
      <w:pPr>
        <w:jc w:val="both"/>
        <w:rPr>
          <w:b/>
          <w:lang w:val="el-GR"/>
        </w:rPr>
      </w:pPr>
      <w:r>
        <w:rPr>
          <w:b/>
          <w:lang w:val="el-GR"/>
        </w:rPr>
        <w:t xml:space="preserve">Θέμα </w:t>
      </w:r>
      <w:r w:rsidR="00237466">
        <w:rPr>
          <w:b/>
          <w:lang w:val="el-GR"/>
        </w:rPr>
        <w:t>14</w:t>
      </w:r>
      <w:r w:rsidRPr="00423537">
        <w:rPr>
          <w:b/>
          <w:vertAlign w:val="superscript"/>
          <w:lang w:val="el-GR"/>
        </w:rPr>
        <w:t>ο</w:t>
      </w:r>
      <w:r>
        <w:rPr>
          <w:b/>
          <w:lang w:val="el-GR"/>
        </w:rPr>
        <w:t xml:space="preserve"> </w:t>
      </w:r>
      <w:r w:rsidR="00485F7C">
        <w:rPr>
          <w:b/>
          <w:lang w:val="el-GR"/>
        </w:rPr>
        <w:t>- Αθεϊσμός</w:t>
      </w:r>
    </w:p>
    <w:p w:rsidR="00245089" w:rsidRPr="00245089" w:rsidRDefault="00237466" w:rsidP="00423537">
      <w:pPr>
        <w:jc w:val="both"/>
        <w:rPr>
          <w:lang w:val="el-GR"/>
        </w:rPr>
      </w:pPr>
      <w:r>
        <w:rPr>
          <w:lang w:val="el-GR"/>
        </w:rPr>
        <w:t xml:space="preserve">Α. </w:t>
      </w:r>
      <w:r w:rsidR="00485F7C">
        <w:rPr>
          <w:lang w:val="el-GR"/>
        </w:rPr>
        <w:t>Περιγράψτε την απάντηση του Χιουμ στους «</w:t>
      </w:r>
      <w:r w:rsidR="00245089">
        <w:rPr>
          <w:lang w:val="el-GR"/>
        </w:rPr>
        <w:t>Καρτεσιανο</w:t>
      </w:r>
      <w:r w:rsidR="00485F7C">
        <w:rPr>
          <w:lang w:val="el-GR"/>
        </w:rPr>
        <w:t xml:space="preserve">ύς» όπως αναφέρεται στις σελ. 309-311 της </w:t>
      </w:r>
      <w:r w:rsidR="00485F7C" w:rsidRPr="00485F7C">
        <w:rPr>
          <w:i/>
          <w:lang w:val="el-GR"/>
        </w:rPr>
        <w:t>Πραγματείας</w:t>
      </w:r>
      <w:r w:rsidR="00485F7C">
        <w:rPr>
          <w:lang w:val="el-GR"/>
        </w:rPr>
        <w:t>.</w:t>
      </w:r>
    </w:p>
    <w:p w:rsidR="00341AF2" w:rsidRDefault="00245089" w:rsidP="00423537">
      <w:pPr>
        <w:jc w:val="both"/>
        <w:rPr>
          <w:lang w:val="el-GR"/>
        </w:rPr>
      </w:pPr>
      <w:r>
        <w:t>B</w:t>
      </w:r>
      <w:r w:rsidRPr="00245089">
        <w:rPr>
          <w:lang w:val="el-GR"/>
        </w:rPr>
        <w:t xml:space="preserve">. </w:t>
      </w:r>
      <w:r w:rsidR="00485F7C">
        <w:rPr>
          <w:lang w:val="el-GR"/>
        </w:rPr>
        <w:t xml:space="preserve">Η απάντηση του ερωτήματος Α χρησιμοποιήθηκε ως η βασική κατηγορία περί αθεϊσμού του Χιουμ. Με αναφορά στην </w:t>
      </w:r>
      <w:r w:rsidR="00485F7C" w:rsidRPr="00485F7C">
        <w:rPr>
          <w:i/>
          <w:lang w:val="el-GR"/>
        </w:rPr>
        <w:t>Επιστολή ενός κυρίου</w:t>
      </w:r>
      <w:r w:rsidR="00485F7C">
        <w:rPr>
          <w:lang w:val="el-GR"/>
        </w:rPr>
        <w:t xml:space="preserve"> περιγράψτε τη γενική κατηγορία περί αθεϊσμού ενάντια στο Χιουμ και την απάντηση του ίδιου.</w:t>
      </w:r>
    </w:p>
    <w:p w:rsidR="002A4903" w:rsidRDefault="00485F7C" w:rsidP="00485F7C">
      <w:pPr>
        <w:jc w:val="both"/>
        <w:rPr>
          <w:lang w:val="el-GR"/>
        </w:rPr>
      </w:pPr>
      <w:r>
        <w:rPr>
          <w:lang w:val="el-GR"/>
        </w:rPr>
        <w:t>Γ</w:t>
      </w:r>
      <w:r w:rsidR="002A4903">
        <w:rPr>
          <w:lang w:val="el-GR"/>
        </w:rPr>
        <w:t xml:space="preserve">. </w:t>
      </w:r>
      <w:r>
        <w:rPr>
          <w:lang w:val="el-GR"/>
        </w:rPr>
        <w:t>Κατά τη δική σας άποψη, μπορούμε να αξιολογήσουμε τις θρησκευτικές πεποιθήσεις του Χιουμ από τα κείμενα του;</w:t>
      </w:r>
    </w:p>
    <w:p w:rsidR="00485F7C" w:rsidRPr="00341AF2" w:rsidRDefault="00485F7C" w:rsidP="00485F7C">
      <w:pPr>
        <w:jc w:val="both"/>
        <w:rPr>
          <w:lang w:val="el-GR"/>
        </w:rPr>
      </w:pPr>
      <w:r>
        <w:rPr>
          <w:lang w:val="el-GR"/>
        </w:rPr>
        <w:t>(ως εισαγωγή μπορεί να χρησιμοποιηθεί το ιστορικό πλαίσιο της εποχής του Χιουμ όσον αφορά τις θρησκευτικές διαμάχες ή το φιλοσοφικό πλαίσιο σχετικά με το ρόλο της θεότητας σε μια φιλοσοφική θεωρία)</w:t>
      </w:r>
    </w:p>
    <w:p w:rsidR="00423537" w:rsidRDefault="00423537" w:rsidP="00423537">
      <w:pPr>
        <w:jc w:val="both"/>
        <w:rPr>
          <w:b/>
          <w:lang w:val="el-GR"/>
        </w:rPr>
      </w:pPr>
    </w:p>
    <w:p w:rsidR="00341AF2" w:rsidRDefault="00423537" w:rsidP="00237466">
      <w:pPr>
        <w:jc w:val="both"/>
        <w:rPr>
          <w:b/>
          <w:lang w:val="el-GR"/>
        </w:rPr>
      </w:pPr>
      <w:r>
        <w:rPr>
          <w:b/>
          <w:lang w:val="el-GR"/>
        </w:rPr>
        <w:t xml:space="preserve">Θέμα </w:t>
      </w:r>
      <w:r w:rsidR="00237466">
        <w:rPr>
          <w:b/>
          <w:lang w:val="el-GR"/>
        </w:rPr>
        <w:t>15</w:t>
      </w:r>
      <w:r w:rsidR="00237466" w:rsidRPr="00237466">
        <w:rPr>
          <w:b/>
          <w:vertAlign w:val="superscript"/>
          <w:lang w:val="el-GR"/>
        </w:rPr>
        <w:t>ο</w:t>
      </w:r>
      <w:r w:rsidR="00237466">
        <w:rPr>
          <w:b/>
          <w:lang w:val="el-GR"/>
        </w:rPr>
        <w:t xml:space="preserve"> </w:t>
      </w:r>
    </w:p>
    <w:p w:rsidR="00237466" w:rsidRDefault="00485F7C" w:rsidP="00237466">
      <w:pPr>
        <w:jc w:val="both"/>
        <w:rPr>
          <w:lang w:val="el-GR"/>
        </w:rPr>
      </w:pPr>
      <w:r>
        <w:rPr>
          <w:lang w:val="el-GR"/>
        </w:rPr>
        <w:t>Α. Περιγράψτε τους δύο ορισμούς της αιτιότητας που αναφέρει ο Χιουμ στις σελ. 323-324, και τις διαφορές τους</w:t>
      </w:r>
    </w:p>
    <w:p w:rsidR="00485F7C" w:rsidRDefault="00485F7C" w:rsidP="00237466">
      <w:pPr>
        <w:jc w:val="both"/>
        <w:rPr>
          <w:lang w:val="el-GR"/>
        </w:rPr>
      </w:pPr>
      <w:r>
        <w:rPr>
          <w:lang w:val="el-GR"/>
        </w:rPr>
        <w:t xml:space="preserve">Β. </w:t>
      </w:r>
      <w:r w:rsidR="00A63B83">
        <w:rPr>
          <w:lang w:val="el-GR"/>
        </w:rPr>
        <w:t>Αναφέρετε παραδείγματα αιτιακών σχέσεων που θα μπορούσαν να εμπίπτουν στον ένα ορισμό αλλά όχι στον άλλο.</w:t>
      </w:r>
    </w:p>
    <w:p w:rsidR="00A63B83" w:rsidRPr="00912EEB" w:rsidRDefault="00A63B83" w:rsidP="00237466">
      <w:pPr>
        <w:jc w:val="both"/>
        <w:rPr>
          <w:lang w:val="el-GR"/>
        </w:rPr>
      </w:pPr>
      <w:r>
        <w:rPr>
          <w:lang w:val="el-GR"/>
        </w:rPr>
        <w:t>Γ. Με βάση την απάντηση σας στο ερώτημα Β αξιολογήστε την φιλοσοφική εγκυρότητα των ορισμών της αιτιότητας, υπερασπιζόμενοι μία από τις ακόλουθες απόψεις: (</w:t>
      </w:r>
      <w:r>
        <w:t>i</w:t>
      </w:r>
      <w:r>
        <w:rPr>
          <w:lang w:val="el-GR"/>
        </w:rPr>
        <w:t>) οι ορισμοί δεν είναι έγκυροι διότι δεν καλύπτουν τις ίδιες περιπτώσεις αιτιότητας (</w:t>
      </w:r>
      <w:r>
        <w:t>ii</w:t>
      </w:r>
      <w:r>
        <w:rPr>
          <w:lang w:val="el-GR"/>
        </w:rPr>
        <w:t xml:space="preserve">) οι </w:t>
      </w:r>
      <w:r>
        <w:rPr>
          <w:lang w:val="el-GR"/>
        </w:rPr>
        <w:lastRenderedPageBreak/>
        <w:t>ορισμοί είναι έγκυροι διότι λειτουργούν συμπληρωματικά (</w:t>
      </w:r>
      <w:r>
        <w:t>iii</w:t>
      </w:r>
      <w:r>
        <w:rPr>
          <w:lang w:val="el-GR"/>
        </w:rPr>
        <w:t>) οι ορισμοί είναι έγκυροι</w:t>
      </w:r>
      <w:r w:rsidRPr="00A63B83">
        <w:rPr>
          <w:lang w:val="el-GR"/>
        </w:rPr>
        <w:t>,</w:t>
      </w:r>
      <w:r>
        <w:rPr>
          <w:lang w:val="el-GR"/>
        </w:rPr>
        <w:t xml:space="preserve"> αλλά όπως κάθε εμπειρική πρόταση ή επιστημονική θεωρία διαθέτουν εξαιρέσεις (</w:t>
      </w:r>
      <w:r>
        <w:t>iv</w:t>
      </w:r>
      <w:r>
        <w:rPr>
          <w:lang w:val="el-GR"/>
        </w:rPr>
        <w:t>)</w:t>
      </w:r>
      <w:r w:rsidRPr="00A63B83">
        <w:rPr>
          <w:lang w:val="el-GR"/>
        </w:rPr>
        <w:t xml:space="preserve"> </w:t>
      </w:r>
      <w:r>
        <w:rPr>
          <w:lang w:val="el-GR"/>
        </w:rPr>
        <w:t>οι ορισμοί δεν είναι έγκυροι για κάποιο άλλο λόγο</w:t>
      </w:r>
      <w:r w:rsidR="00912EEB" w:rsidRPr="00912EEB">
        <w:rPr>
          <w:lang w:val="el-GR"/>
        </w:rPr>
        <w:t xml:space="preserve"> (</w:t>
      </w:r>
      <w:r w:rsidR="00912EEB">
        <w:rPr>
          <w:lang w:val="el-GR"/>
        </w:rPr>
        <w:t>π.χ. αντιπαραδείγματα, αδυναμία εξήγησης κάποιων αιτιακών φαινομένων)</w:t>
      </w:r>
    </w:p>
    <w:p w:rsidR="00423537" w:rsidRDefault="00423537" w:rsidP="00423537">
      <w:pPr>
        <w:jc w:val="both"/>
        <w:rPr>
          <w:b/>
          <w:lang w:val="el-GR"/>
        </w:rPr>
      </w:pPr>
    </w:p>
    <w:p w:rsidR="00423537" w:rsidRDefault="00423537" w:rsidP="00423537">
      <w:pPr>
        <w:jc w:val="both"/>
        <w:rPr>
          <w:b/>
          <w:lang w:val="el-GR"/>
        </w:rPr>
      </w:pPr>
      <w:r>
        <w:rPr>
          <w:b/>
          <w:lang w:val="el-GR"/>
        </w:rPr>
        <w:t xml:space="preserve">Θέμα </w:t>
      </w:r>
      <w:r w:rsidR="00237466">
        <w:rPr>
          <w:b/>
          <w:lang w:val="el-GR"/>
        </w:rPr>
        <w:t>16</w:t>
      </w:r>
      <w:r w:rsidRPr="00423537">
        <w:rPr>
          <w:b/>
          <w:vertAlign w:val="superscript"/>
          <w:lang w:val="el-GR"/>
        </w:rPr>
        <w:t>ο</w:t>
      </w:r>
      <w:r>
        <w:rPr>
          <w:b/>
          <w:lang w:val="el-GR"/>
        </w:rPr>
        <w:t xml:space="preserve"> </w:t>
      </w:r>
    </w:p>
    <w:p w:rsidR="00912EEB" w:rsidRDefault="00341AF2" w:rsidP="00237466">
      <w:pPr>
        <w:jc w:val="both"/>
        <w:rPr>
          <w:lang w:val="el-GR"/>
        </w:rPr>
      </w:pPr>
      <w:r>
        <w:rPr>
          <w:lang w:val="el-GR"/>
        </w:rPr>
        <w:t xml:space="preserve">Α. </w:t>
      </w:r>
      <w:r w:rsidR="00A63B83">
        <w:rPr>
          <w:lang w:val="el-GR"/>
        </w:rPr>
        <w:t xml:space="preserve">Ποια είναι η </w:t>
      </w:r>
      <w:r w:rsidR="00912EEB">
        <w:rPr>
          <w:lang w:val="el-GR"/>
        </w:rPr>
        <w:t xml:space="preserve">αρχική </w:t>
      </w:r>
      <w:r w:rsidR="00A63B83">
        <w:rPr>
          <w:lang w:val="el-GR"/>
        </w:rPr>
        <w:t xml:space="preserve">θέση του Χιουμ για την προσωπική ταυτότητα; (βλ. </w:t>
      </w:r>
      <w:r w:rsidR="00A63B83" w:rsidRPr="00912EEB">
        <w:rPr>
          <w:i/>
          <w:lang w:val="el-GR"/>
        </w:rPr>
        <w:t>Πραγματεία</w:t>
      </w:r>
      <w:r w:rsidR="00A63B83">
        <w:rPr>
          <w:lang w:val="el-GR"/>
        </w:rPr>
        <w:t xml:space="preserve"> </w:t>
      </w:r>
      <w:r w:rsidR="00912EEB">
        <w:rPr>
          <w:lang w:val="el-GR"/>
        </w:rPr>
        <w:t>σελ. 439-456, 484-485)</w:t>
      </w:r>
    </w:p>
    <w:p w:rsidR="0026587B" w:rsidRDefault="00912EEB" w:rsidP="00237466">
      <w:pPr>
        <w:jc w:val="both"/>
        <w:rPr>
          <w:lang w:val="el-GR"/>
        </w:rPr>
      </w:pPr>
      <w:r>
        <w:rPr>
          <w:lang w:val="el-GR"/>
        </w:rPr>
        <w:t xml:space="preserve">Β. </w:t>
      </w:r>
      <w:r w:rsidR="0026587B">
        <w:rPr>
          <w:lang w:val="el-GR"/>
        </w:rPr>
        <w:t>Τοποθετήστε την άποψη του Χιουμ στο φιλοσοφικό πλαίσιο θεωριών για την προσωπική ταυτότητα ή/και την ψυχή</w:t>
      </w:r>
    </w:p>
    <w:p w:rsidR="00A63B83" w:rsidRPr="00D2766B" w:rsidRDefault="0026587B" w:rsidP="0026587B">
      <w:pPr>
        <w:jc w:val="both"/>
        <w:rPr>
          <w:lang w:val="el-GR"/>
        </w:rPr>
      </w:pPr>
      <w:r>
        <w:rPr>
          <w:lang w:val="el-GR"/>
        </w:rPr>
        <w:t xml:space="preserve">Γ. Στο Επίμετρο της </w:t>
      </w:r>
      <w:r w:rsidRPr="0026587B">
        <w:rPr>
          <w:i/>
          <w:lang w:val="el-GR"/>
        </w:rPr>
        <w:t>Πραγματείας</w:t>
      </w:r>
      <w:r>
        <w:rPr>
          <w:lang w:val="el-GR"/>
        </w:rPr>
        <w:t xml:space="preserve"> (σελ. </w:t>
      </w:r>
      <w:r w:rsidR="00912EEB">
        <w:rPr>
          <w:lang w:val="el-GR"/>
        </w:rPr>
        <w:t>484-488)</w:t>
      </w:r>
      <w:r>
        <w:rPr>
          <w:lang w:val="el-GR"/>
        </w:rPr>
        <w:t xml:space="preserve"> ο Χιουμ ανασκευάζει σχετικά την αρχική άποψή του περί προσωπικής ταυτότητας. Για ποια σημεία της αρχικής θεωρίας διατηρεί επιφυλάξεις και για πιο λόγο; Αξιολογήστε τη σοβαρότητα των επιφυλάξεων αυτών.</w:t>
      </w:r>
    </w:p>
    <w:p w:rsidR="00341AF2" w:rsidRPr="00D2766B" w:rsidRDefault="00341AF2" w:rsidP="00423537">
      <w:pPr>
        <w:jc w:val="both"/>
        <w:rPr>
          <w:lang w:val="el-GR"/>
        </w:rPr>
      </w:pPr>
    </w:p>
    <w:p w:rsidR="00423537" w:rsidRPr="00EC6A5A" w:rsidRDefault="00423537" w:rsidP="00EC6A5A">
      <w:pPr>
        <w:jc w:val="both"/>
        <w:rPr>
          <w:lang w:val="el-GR"/>
        </w:rPr>
      </w:pPr>
    </w:p>
    <w:sectPr w:rsidR="00423537" w:rsidRPr="00EC6A5A" w:rsidSect="00454650">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E32" w:rsidRDefault="00762E32" w:rsidP="00FD381C">
      <w:r>
        <w:separator/>
      </w:r>
    </w:p>
  </w:endnote>
  <w:endnote w:type="continuationSeparator" w:id="1">
    <w:p w:rsidR="00762E32" w:rsidRDefault="00762E32" w:rsidP="00FD3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1C" w:rsidRDefault="00454650">
    <w:pPr>
      <w:pStyle w:val="Footer"/>
      <w:jc w:val="right"/>
    </w:pPr>
    <w:fldSimple w:instr="PAGE   \* MERGEFORMAT">
      <w:r w:rsidR="0026587B" w:rsidRPr="0026587B">
        <w:rPr>
          <w:noProof/>
          <w:lang w:val="el-GR"/>
        </w:rPr>
        <w:t>1</w:t>
      </w:r>
    </w:fldSimple>
  </w:p>
  <w:p w:rsidR="00FD381C" w:rsidRDefault="00FD38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E32" w:rsidRDefault="00762E32" w:rsidP="00FD381C">
      <w:r>
        <w:separator/>
      </w:r>
    </w:p>
  </w:footnote>
  <w:footnote w:type="continuationSeparator" w:id="1">
    <w:p w:rsidR="00762E32" w:rsidRDefault="00762E32" w:rsidP="00FD38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5728"/>
    <w:multiLevelType w:val="hybridMultilevel"/>
    <w:tmpl w:val="45B81F5E"/>
    <w:lvl w:ilvl="0" w:tplc="E49277D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2DA6099"/>
    <w:multiLevelType w:val="hybridMultilevel"/>
    <w:tmpl w:val="D150A582"/>
    <w:lvl w:ilvl="0" w:tplc="8496F3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4D95446"/>
    <w:multiLevelType w:val="hybridMultilevel"/>
    <w:tmpl w:val="0CB85DC4"/>
    <w:lvl w:ilvl="0" w:tplc="D17638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79E01E7"/>
    <w:multiLevelType w:val="hybridMultilevel"/>
    <w:tmpl w:val="594A0718"/>
    <w:lvl w:ilvl="0" w:tplc="C00CFE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46F401E"/>
    <w:multiLevelType w:val="hybridMultilevel"/>
    <w:tmpl w:val="42BED964"/>
    <w:lvl w:ilvl="0" w:tplc="CD328192">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164627B"/>
    <w:multiLevelType w:val="hybridMultilevel"/>
    <w:tmpl w:val="03F2DA08"/>
    <w:lvl w:ilvl="0" w:tplc="5C2674F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5934CF2"/>
    <w:multiLevelType w:val="hybridMultilevel"/>
    <w:tmpl w:val="CFC0B3CE"/>
    <w:lvl w:ilvl="0" w:tplc="3A4A95A8">
      <w:start w:val="1"/>
      <w:numFmt w:val="decimal"/>
      <w:lvlText w:val="%1)"/>
      <w:lvlJc w:val="left"/>
      <w:pPr>
        <w:tabs>
          <w:tab w:val="num" w:pos="1080"/>
        </w:tabs>
        <w:ind w:left="1080" w:hanging="360"/>
      </w:pPr>
      <w:rPr>
        <w:rFonts w:hint="default"/>
      </w:rPr>
    </w:lvl>
    <w:lvl w:ilvl="1" w:tplc="622CCB6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16F5F82"/>
    <w:multiLevelType w:val="hybridMultilevel"/>
    <w:tmpl w:val="6DDACA68"/>
    <w:lvl w:ilvl="0" w:tplc="E2741A8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5222289D"/>
    <w:multiLevelType w:val="hybridMultilevel"/>
    <w:tmpl w:val="9A8EBF22"/>
    <w:lvl w:ilvl="0" w:tplc="68C608C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EA93789"/>
    <w:multiLevelType w:val="hybridMultilevel"/>
    <w:tmpl w:val="70948148"/>
    <w:lvl w:ilvl="0" w:tplc="DE90B6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C6F271F"/>
    <w:multiLevelType w:val="hybridMultilevel"/>
    <w:tmpl w:val="0F8A7430"/>
    <w:lvl w:ilvl="0" w:tplc="B2D2C12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4BC125D"/>
    <w:multiLevelType w:val="hybridMultilevel"/>
    <w:tmpl w:val="7D720EF2"/>
    <w:lvl w:ilvl="0" w:tplc="6C321E0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83F4B16"/>
    <w:multiLevelType w:val="hybridMultilevel"/>
    <w:tmpl w:val="95240D74"/>
    <w:lvl w:ilvl="0" w:tplc="4B3811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E403118"/>
    <w:multiLevelType w:val="hybridMultilevel"/>
    <w:tmpl w:val="2C5E8986"/>
    <w:lvl w:ilvl="0" w:tplc="5ADACA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9"/>
  </w:num>
  <w:num w:numId="4">
    <w:abstractNumId w:val="8"/>
  </w:num>
  <w:num w:numId="5">
    <w:abstractNumId w:val="5"/>
  </w:num>
  <w:num w:numId="6">
    <w:abstractNumId w:val="2"/>
  </w:num>
  <w:num w:numId="7">
    <w:abstractNumId w:val="3"/>
  </w:num>
  <w:num w:numId="8">
    <w:abstractNumId w:val="12"/>
  </w:num>
  <w:num w:numId="9">
    <w:abstractNumId w:val="11"/>
  </w:num>
  <w:num w:numId="10">
    <w:abstractNumId w:val="7"/>
  </w:num>
  <w:num w:numId="11">
    <w:abstractNumId w:val="0"/>
  </w:num>
  <w:num w:numId="12">
    <w:abstractNumId w:val="10"/>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0"/>
    <w:footnote w:id="1"/>
  </w:footnotePr>
  <w:endnotePr>
    <w:endnote w:id="0"/>
    <w:endnote w:id="1"/>
  </w:endnotePr>
  <w:compat/>
  <w:rsids>
    <w:rsidRoot w:val="00B3678B"/>
    <w:rsid w:val="00037BD5"/>
    <w:rsid w:val="00040110"/>
    <w:rsid w:val="00096B55"/>
    <w:rsid w:val="000D6BA9"/>
    <w:rsid w:val="001145B2"/>
    <w:rsid w:val="00237466"/>
    <w:rsid w:val="00245089"/>
    <w:rsid w:val="0026587B"/>
    <w:rsid w:val="00266EC1"/>
    <w:rsid w:val="00290E56"/>
    <w:rsid w:val="002A4903"/>
    <w:rsid w:val="00300865"/>
    <w:rsid w:val="00341AF2"/>
    <w:rsid w:val="0037727F"/>
    <w:rsid w:val="00383D0E"/>
    <w:rsid w:val="003B7409"/>
    <w:rsid w:val="003F6A3E"/>
    <w:rsid w:val="00405C06"/>
    <w:rsid w:val="00423537"/>
    <w:rsid w:val="004331D5"/>
    <w:rsid w:val="00454650"/>
    <w:rsid w:val="00485F7C"/>
    <w:rsid w:val="00493009"/>
    <w:rsid w:val="004D4240"/>
    <w:rsid w:val="004D6207"/>
    <w:rsid w:val="004E23FC"/>
    <w:rsid w:val="00534E16"/>
    <w:rsid w:val="005377B9"/>
    <w:rsid w:val="00565B1D"/>
    <w:rsid w:val="00594442"/>
    <w:rsid w:val="006064AA"/>
    <w:rsid w:val="00625432"/>
    <w:rsid w:val="00667F55"/>
    <w:rsid w:val="006E3D11"/>
    <w:rsid w:val="00731CDB"/>
    <w:rsid w:val="00762E32"/>
    <w:rsid w:val="00771725"/>
    <w:rsid w:val="00812254"/>
    <w:rsid w:val="00830DD1"/>
    <w:rsid w:val="008A62E8"/>
    <w:rsid w:val="00912EEB"/>
    <w:rsid w:val="00924FBF"/>
    <w:rsid w:val="009911E2"/>
    <w:rsid w:val="009B7D4E"/>
    <w:rsid w:val="009C5D65"/>
    <w:rsid w:val="00A27033"/>
    <w:rsid w:val="00A63B83"/>
    <w:rsid w:val="00A67545"/>
    <w:rsid w:val="00AB0BF7"/>
    <w:rsid w:val="00AB2E2D"/>
    <w:rsid w:val="00AD27A8"/>
    <w:rsid w:val="00B13F6D"/>
    <w:rsid w:val="00B3678B"/>
    <w:rsid w:val="00B37890"/>
    <w:rsid w:val="00B62671"/>
    <w:rsid w:val="00B8764E"/>
    <w:rsid w:val="00BB7DA5"/>
    <w:rsid w:val="00BE024B"/>
    <w:rsid w:val="00BE789F"/>
    <w:rsid w:val="00C43E9D"/>
    <w:rsid w:val="00C45049"/>
    <w:rsid w:val="00CC1CF1"/>
    <w:rsid w:val="00D2766B"/>
    <w:rsid w:val="00DF5C32"/>
    <w:rsid w:val="00E054B3"/>
    <w:rsid w:val="00E16904"/>
    <w:rsid w:val="00EC599F"/>
    <w:rsid w:val="00EC6A5A"/>
    <w:rsid w:val="00F34D28"/>
    <w:rsid w:val="00F930AB"/>
    <w:rsid w:val="00FC68F6"/>
    <w:rsid w:val="00FD381C"/>
    <w:rsid w:val="00FF46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65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678B"/>
    <w:rPr>
      <w:color w:val="0000FF"/>
      <w:u w:val="single"/>
    </w:rPr>
  </w:style>
  <w:style w:type="paragraph" w:styleId="Header">
    <w:name w:val="header"/>
    <w:basedOn w:val="Normal"/>
    <w:link w:val="HeaderChar"/>
    <w:rsid w:val="00FD381C"/>
    <w:pPr>
      <w:tabs>
        <w:tab w:val="center" w:pos="4320"/>
        <w:tab w:val="right" w:pos="8640"/>
      </w:tabs>
    </w:pPr>
  </w:style>
  <w:style w:type="character" w:customStyle="1" w:styleId="HeaderChar">
    <w:name w:val="Header Char"/>
    <w:link w:val="Header"/>
    <w:rsid w:val="00FD381C"/>
    <w:rPr>
      <w:sz w:val="24"/>
      <w:szCs w:val="24"/>
    </w:rPr>
  </w:style>
  <w:style w:type="paragraph" w:styleId="Footer">
    <w:name w:val="footer"/>
    <w:basedOn w:val="Normal"/>
    <w:link w:val="FooterChar"/>
    <w:uiPriority w:val="99"/>
    <w:rsid w:val="00FD381C"/>
    <w:pPr>
      <w:tabs>
        <w:tab w:val="center" w:pos="4320"/>
        <w:tab w:val="right" w:pos="8640"/>
      </w:tabs>
    </w:pPr>
  </w:style>
  <w:style w:type="character" w:customStyle="1" w:styleId="FooterChar">
    <w:name w:val="Footer Char"/>
    <w:link w:val="Footer"/>
    <w:uiPriority w:val="99"/>
    <w:rsid w:val="00FD381C"/>
    <w:rPr>
      <w:sz w:val="24"/>
      <w:szCs w:val="24"/>
    </w:rPr>
  </w:style>
</w:styles>
</file>

<file path=word/webSettings.xml><?xml version="1.0" encoding="utf-8"?>
<w:webSettings xmlns:r="http://schemas.openxmlformats.org/officeDocument/2006/relationships" xmlns:w="http://schemas.openxmlformats.org/wordprocessingml/2006/main">
  <w:divs>
    <w:div w:id="833303871">
      <w:bodyDiv w:val="1"/>
      <w:marLeft w:val="0"/>
      <w:marRight w:val="0"/>
      <w:marTop w:val="0"/>
      <w:marBottom w:val="0"/>
      <w:divBdr>
        <w:top w:val="none" w:sz="0" w:space="0" w:color="auto"/>
        <w:left w:val="none" w:sz="0" w:space="0" w:color="auto"/>
        <w:bottom w:val="none" w:sz="0" w:space="0" w:color="auto"/>
        <w:right w:val="none" w:sz="0" w:space="0" w:color="auto"/>
      </w:divBdr>
      <w:divsChild>
        <w:div w:id="504394758">
          <w:marLeft w:val="0"/>
          <w:marRight w:val="0"/>
          <w:marTop w:val="0"/>
          <w:marBottom w:val="0"/>
          <w:divBdr>
            <w:top w:val="none" w:sz="0" w:space="0" w:color="auto"/>
            <w:left w:val="none" w:sz="0" w:space="0" w:color="auto"/>
            <w:bottom w:val="none" w:sz="0" w:space="0" w:color="auto"/>
            <w:right w:val="none" w:sz="0" w:space="0" w:color="auto"/>
          </w:divBdr>
        </w:div>
      </w:divsChild>
    </w:div>
    <w:div w:id="1371957058">
      <w:bodyDiv w:val="1"/>
      <w:marLeft w:val="0"/>
      <w:marRight w:val="0"/>
      <w:marTop w:val="0"/>
      <w:marBottom w:val="0"/>
      <w:divBdr>
        <w:top w:val="none" w:sz="0" w:space="0" w:color="auto"/>
        <w:left w:val="none" w:sz="0" w:space="0" w:color="auto"/>
        <w:bottom w:val="none" w:sz="0" w:space="0" w:color="auto"/>
        <w:right w:val="none" w:sz="0" w:space="0" w:color="auto"/>
      </w:divBdr>
      <w:divsChild>
        <w:div w:id="1613510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906</Words>
  <Characters>4894</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Phil 20B Midterm Review</vt:lpstr>
      <vt:lpstr>Phil 20B Midterm Review</vt:lpstr>
    </vt:vector>
  </TitlesOfParts>
  <Company>...</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 20B Midterm Review</dc:title>
  <dc:creator>Emile Daniel Nahum</dc:creator>
  <cp:lastModifiedBy>Bill</cp:lastModifiedBy>
  <cp:revision>5</cp:revision>
  <dcterms:created xsi:type="dcterms:W3CDTF">2017-12-30T19:53:00Z</dcterms:created>
  <dcterms:modified xsi:type="dcterms:W3CDTF">2018-01-02T12:58:00Z</dcterms:modified>
</cp:coreProperties>
</file>