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1108" w14:textId="77777777" w:rsidR="00921BD6" w:rsidRPr="004C248F" w:rsidRDefault="00077826" w:rsidP="004C248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ΕΝΟΤΗΤΑ ΠΕΜΠΤΗ</w:t>
      </w:r>
    </w:p>
    <w:p w14:paraId="6B80328D" w14:textId="77777777" w:rsidR="00921BD6" w:rsidRDefault="00921BD6" w:rsidP="004C248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ΦΩΝΟΛΟΓΙΚΕΣ ΜΕΤΑΒΟΛΕΣ ΤΗΣ ΑΤΤΙΚΗΣ ΔΙΑΛΕΚΤΟΥ</w:t>
      </w:r>
    </w:p>
    <w:p w14:paraId="3020327A" w14:textId="77777777" w:rsidR="00921BD6" w:rsidRPr="00132641" w:rsidRDefault="00921BD6" w:rsidP="00132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D317C" w14:textId="77777777" w:rsidR="00921BD6" w:rsidRDefault="00921BD6" w:rsidP="001326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Εισαγωγή</w:t>
      </w:r>
    </w:p>
    <w:p w14:paraId="6CA0409B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Φαινόμενα που από την εποχή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Νεογραμματικών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ονομάζονται συνήθως νόμοι, λόγω της συστηματικότητας τους.</w:t>
      </w:r>
    </w:p>
    <w:p w14:paraId="5ADB5CFD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θα λέγαμε ότι πρόκειται για φωνολογικές μεταβολές, που πρέπει να συνέβησαν σε μία συγκεκριμένη χρονική σειρά, για να εξηγούνται όλοι οι σχετικοί τύποι</w:t>
      </w:r>
    </w:p>
    <w:p w14:paraId="2C8B384B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φαινόμενα αυτά αφορούν συγκεκριμένα φωνολογικά περιβάλλοντα / συμπλέγματα (εξαρτημένες μεταβολές)</w:t>
      </w:r>
    </w:p>
    <w:p w14:paraId="73FB5BAD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συγκεκριμένα περιβάλλοντα παρατηρήθηκαν διαφορετικά φαινόμενα ανά διαλεκτική ομάδα (ή και επιμέρους διαλέκτους), όμως εδώ θα ασχοληθούμε μόνο με την Αττική διάλεκτο</w:t>
      </w:r>
    </w:p>
    <w:p w14:paraId="0CF8F22A" w14:textId="77777777" w:rsidR="00921BD6" w:rsidRDefault="00921BD6" w:rsidP="0027571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EE18A" w14:textId="77777777" w:rsidR="00921BD6" w:rsidRPr="00275717" w:rsidRDefault="00921BD6" w:rsidP="00C43B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717">
        <w:rPr>
          <w:rFonts w:ascii="Times New Roman" w:hAnsi="Times New Roman" w:cs="Times New Roman"/>
          <w:b/>
          <w:bCs/>
          <w:sz w:val="24"/>
          <w:szCs w:val="24"/>
        </w:rPr>
        <w:t>Αντεκτάσεις (ή αναπληρωματικές εκτάσεις)</w:t>
      </w:r>
    </w:p>
    <w:p w14:paraId="49CF5262" w14:textId="77777777" w:rsidR="00921BD6" w:rsidRDefault="00921BD6" w:rsidP="002757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Πρόκειται για </w:t>
      </w:r>
      <w:r w:rsidR="00077826">
        <w:rPr>
          <w:rFonts w:ascii="Times New Roman" w:hAnsi="Times New Roman" w:cs="Times New Roman"/>
          <w:sz w:val="24"/>
          <w:szCs w:val="24"/>
        </w:rPr>
        <w:t>έκταση κάποιου βραχέος φωνήεντος</w:t>
      </w:r>
      <w:r>
        <w:rPr>
          <w:rFonts w:ascii="Times New Roman" w:hAnsi="Times New Roman" w:cs="Times New Roman"/>
          <w:sz w:val="24"/>
          <w:szCs w:val="24"/>
        </w:rPr>
        <w:t xml:space="preserve"> στο αντίστοιχο μακρό ύστερα από </w:t>
      </w:r>
      <w:proofErr w:type="spellStart"/>
      <w:r>
        <w:rPr>
          <w:rFonts w:ascii="Times New Roman" w:hAnsi="Times New Roman" w:cs="Times New Roman"/>
          <w:sz w:val="24"/>
          <w:szCs w:val="24"/>
        </w:rPr>
        <w:t>σίγηση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κάποιου συμφώνου (ή λιγότερο συχνά φωνήεντος). Ουσιαστικά απηχούν την προσπάθεια των ομιλητών να διατηρήσουν την ποσότητα της συλλαβής ύστερα από απαλοιφή συμφώνου. Παρατηρείται σε αρκετές γλώσσες (πβ. Αγγλικά </w:t>
      </w:r>
      <w:r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9E0A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nixt</w:t>
      </w:r>
      <w:proofErr w:type="spellEnd"/>
      <w:r w:rsidRPr="009E0A8C">
        <w:rPr>
          <w:rFonts w:ascii="Times New Roman" w:hAnsi="Times New Roman" w:cs="Times New Roman"/>
          <w:sz w:val="24"/>
          <w:szCs w:val="24"/>
        </w:rPr>
        <w:t>/ &gt;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9E0A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E0A8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την Μεσαιωνική περίοδο</w:t>
      </w:r>
      <w:r w:rsidR="00077826">
        <w:rPr>
          <w:rFonts w:ascii="Times New Roman" w:hAnsi="Times New Roman" w:cs="Times New Roman"/>
          <w:sz w:val="24"/>
          <w:szCs w:val="24"/>
        </w:rPr>
        <w:t>, απώλεια του /</w:t>
      </w:r>
      <w:r w:rsidR="00077826">
        <w:rPr>
          <w:rFonts w:ascii="Times New Roman" w:hAnsi="Times New Roman" w:cs="Times New Roman"/>
          <w:sz w:val="24"/>
          <w:szCs w:val="24"/>
          <w:lang w:val="en-US"/>
        </w:rPr>
        <w:t xml:space="preserve">x/  </w:t>
      </w:r>
      <w:r w:rsidR="00077826">
        <w:rPr>
          <w:rFonts w:ascii="Times New Roman" w:hAnsi="Times New Roman" w:cs="Times New Roman"/>
          <w:sz w:val="24"/>
          <w:szCs w:val="24"/>
        </w:rPr>
        <w:t>και αναπληρωματική έκταση του /</w:t>
      </w:r>
      <w:proofErr w:type="spellStart"/>
      <w:r w:rsidR="000778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778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E0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85EFB" w14:textId="77777777" w:rsidR="00921BD6" w:rsidRDefault="00921BD6" w:rsidP="007F1E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Αττική διάλεκτο, διακρίνονται σε παλαιές και νεότερες (ή δεύτερες) με βάση αν προηγούνται ή έπονται μίας χαρακτηριστικής αλλαγής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Αττικο</w:t>
      </w:r>
      <w:proofErr w:type="spellEnd"/>
      <w:r>
        <w:rPr>
          <w:rFonts w:ascii="Times New Roman" w:hAnsi="Times New Roman" w:cs="Times New Roman"/>
          <w:sz w:val="24"/>
          <w:szCs w:val="24"/>
        </w:rPr>
        <w:t>-ιωνικής: της τροπής α: → η (/α:/ &gt; /ε:/).</w:t>
      </w:r>
    </w:p>
    <w:p w14:paraId="3D8093CF" w14:textId="77777777" w:rsidR="00921BD6" w:rsidRPr="00940388" w:rsidRDefault="00921BD6" w:rsidP="007F1E0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B330C3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Α) </w:t>
      </w:r>
      <w:r w:rsidRPr="007A4BF5">
        <w:rPr>
          <w:rFonts w:ascii="Times New Roman" w:hAnsi="Times New Roman" w:cs="Times New Roman"/>
          <w:sz w:val="24"/>
          <w:szCs w:val="24"/>
          <w:u w:val="single"/>
        </w:rPr>
        <w:t>Παλαιές αντεκτάσεις:</w:t>
      </w:r>
      <w:r>
        <w:rPr>
          <w:rFonts w:ascii="Times New Roman" w:hAnsi="Times New Roman" w:cs="Times New Roman"/>
          <w:sz w:val="24"/>
          <w:szCs w:val="24"/>
        </w:rPr>
        <w:t xml:space="preserve">  Έτσι ονομάζονται οι αντεκτάσεις που έλαβαν χώρα πριν από το φαινόμενο της τροπής α: &gt; η. Π.χ. *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έφανσα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εφα:να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(παλαιά αντέκταση)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έφηνα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(με την τροπή).</w:t>
      </w:r>
    </w:p>
    <w:p w14:paraId="5D626408" w14:textId="77777777" w:rsidR="00921BD6" w:rsidRDefault="00921BD6" w:rsidP="00FD038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473C7" w14:textId="77777777" w:rsidR="00921BD6" w:rsidRPr="00330E4E" w:rsidRDefault="00921BD6" w:rsidP="00330E4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Στις παλαιές αντεκτάσεις ανήκει και η δημιουργία στην Αττική των επιπλέον μακρών φωνηέντων</w:t>
      </w:r>
      <w:r w:rsidR="00077826">
        <w:rPr>
          <w:rFonts w:ascii="Times New Roman" w:hAnsi="Times New Roman" w:cs="Times New Roman"/>
          <w:sz w:val="24"/>
          <w:szCs w:val="24"/>
        </w:rPr>
        <w:t xml:space="preserve"> (των λεγόμενων νόθων διφθόγγων)</w:t>
      </w:r>
      <w:r>
        <w:rPr>
          <w:rFonts w:ascii="Times New Roman" w:hAnsi="Times New Roman" w:cs="Times New Roman"/>
          <w:sz w:val="24"/>
          <w:szCs w:val="24"/>
        </w:rPr>
        <w:t>, δηλαδή: *</w:t>
      </w:r>
      <w:proofErr w:type="spellStart"/>
      <w:r>
        <w:rPr>
          <w:rFonts w:ascii="Times New Roman" w:hAnsi="Times New Roman" w:cs="Times New Roman"/>
          <w:sz w:val="24"/>
          <w:szCs w:val="24"/>
        </w:rPr>
        <w:t>εσμί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ειμί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/ẹ</w:t>
      </w:r>
      <w:r w:rsidRPr="00FD0383">
        <w:rPr>
          <w:rFonts w:ascii="Times New Roman" w:hAnsi="Times New Roman" w:cs="Times New Roman"/>
          <w:sz w:val="24"/>
          <w:szCs w:val="24"/>
        </w:rPr>
        <w:t>:/,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βόλσομαι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βούλομαι </w:t>
      </w:r>
      <w:r w:rsidRPr="00FD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ọ</w:t>
      </w:r>
      <w:r w:rsidRPr="00FD0383">
        <w:rPr>
          <w:rFonts w:ascii="Times New Roman" w:hAnsi="Times New Roman" w:cs="Times New Roman"/>
          <w:sz w:val="24"/>
          <w:szCs w:val="24"/>
        </w:rPr>
        <w:t xml:space="preserve">:/ </w:t>
      </w:r>
      <w:r>
        <w:rPr>
          <w:rFonts w:ascii="Times New Roman" w:hAnsi="Times New Roman" w:cs="Times New Roman"/>
          <w:sz w:val="24"/>
          <w:szCs w:val="24"/>
        </w:rPr>
        <w:t>(Αρκ-</w:t>
      </w:r>
      <w:proofErr w:type="spellStart"/>
      <w:r>
        <w:rPr>
          <w:rFonts w:ascii="Times New Roman" w:hAnsi="Times New Roman" w:cs="Times New Roman"/>
          <w:sz w:val="24"/>
          <w:szCs w:val="24"/>
        </w:rPr>
        <w:t>Κυπρ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Δυτ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βώλομαι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Σε άλλες διαλέκτους έχουμε αντί για αντέκταση αφομοίωση, δηλ.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βόλλομαι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19FA7036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Όπως αναφέρθηκε, πρόκειται για εξαρτημένη μεταβολή, και το ακριβές της φωνολογικό περιβάλλον είναι το εξής:</w:t>
      </w:r>
    </w:p>
    <w:p w14:paraId="37AF9611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 + Συρ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Συρ ή </w:t>
      </w:r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33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33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Pr="00330E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Φ &gt; Φ: +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6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F6E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6E1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Φ</w:t>
      </w:r>
    </w:p>
    <w:p w14:paraId="661CEAD5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Πολλές φορές χαρακτηρίζονται και ως «άσιγμες», μια και ένα βασικό τους χαρακτηριστικό είναι ότι στον τελικό τύπο δεν υπάρχει ο συριστικός φθόγγος.</w:t>
      </w:r>
    </w:p>
    <w:p w14:paraId="7E69D35A" w14:textId="77777777" w:rsidR="00921BD6" w:rsidRDefault="00921BD6" w:rsidP="001869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Παραδείγματα: </w:t>
      </w:r>
    </w:p>
    <w:p w14:paraId="3CDE2C11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χέσλιοι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χείλιοι</w:t>
      </w:r>
      <w:proofErr w:type="spellEnd"/>
    </w:p>
    <w:p w14:paraId="324D5222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έσναι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είναι (Αρκ.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ήναι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B54A08A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εσφαλσα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εσφα:λα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έσφηλα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Ιων</w:t>
      </w:r>
      <w:proofErr w:type="spellEnd"/>
      <w:r>
        <w:rPr>
          <w:rFonts w:ascii="Times New Roman" w:hAnsi="Times New Roman" w:cs="Times New Roman"/>
          <w:sz w:val="24"/>
          <w:szCs w:val="24"/>
        </w:rPr>
        <w:t>-Αττ.)</w:t>
      </w:r>
    </w:p>
    <w:p w14:paraId="589FC531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έφθερσα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έφθειρα</w:t>
      </w:r>
    </w:p>
    <w:p w14:paraId="045CDAB2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έμενσα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έμεινα</w:t>
      </w:r>
    </w:p>
    <w:p w14:paraId="793E95BC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βολνά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βουλά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βουλή (</w:t>
      </w:r>
      <w:proofErr w:type="spellStart"/>
      <w:r>
        <w:rPr>
          <w:rFonts w:ascii="Times New Roman" w:hAnsi="Times New Roman" w:cs="Times New Roman"/>
          <w:sz w:val="24"/>
          <w:szCs w:val="24"/>
        </w:rPr>
        <w:t>Ιων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-Αττ. / </w:t>
      </w:r>
      <w:proofErr w:type="spellStart"/>
      <w:r>
        <w:rPr>
          <w:rFonts w:ascii="Times New Roman" w:hAnsi="Times New Roman" w:cs="Times New Roman"/>
          <w:sz w:val="24"/>
          <w:szCs w:val="24"/>
        </w:rPr>
        <w:t>βωλά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Αρκ. /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βολλά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1033A8A" w14:textId="77777777" w:rsidR="00921BD6" w:rsidRDefault="00921BD6" w:rsidP="008E574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φθερ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ω → φθείρω.</w:t>
      </w:r>
    </w:p>
    <w:p w14:paraId="23E9BA0B" w14:textId="77777777" w:rsidR="00921BD6" w:rsidRDefault="00921BD6" w:rsidP="008E574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2FFDA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Pr="009563A4">
        <w:rPr>
          <w:rFonts w:ascii="Times New Roman" w:hAnsi="Times New Roman" w:cs="Times New Roman"/>
          <w:sz w:val="24"/>
          <w:szCs w:val="24"/>
          <w:u w:val="single"/>
        </w:rPr>
        <w:t>Νεότερες αντεκτάσεις</w:t>
      </w:r>
      <w:r>
        <w:rPr>
          <w:rFonts w:ascii="Times New Roman" w:hAnsi="Times New Roman" w:cs="Times New Roman"/>
          <w:sz w:val="24"/>
          <w:szCs w:val="24"/>
        </w:rPr>
        <w:t xml:space="preserve">: Σημειώθηκαν προφανώς μετά την τροπή α &gt; η,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γι’αυτό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στα προϊόντα τους δεν βλέπουμε αυτό το φαινόμενο. Πρόκειται πάλι για εξαρτημένη μεταβολή με το ακόλουθο φωνολογικό περιβάλλον:</w:t>
      </w:r>
    </w:p>
    <w:p w14:paraId="1A6E2F74" w14:textId="77777777" w:rsidR="00921BD6" w:rsidRPr="00700411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proofErr w:type="spellEnd"/>
      <w:r w:rsidRPr="00700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Φ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41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7004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Συρ + # (τέλος λέξης)</w:t>
      </w:r>
      <w:r w:rsidRPr="0020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0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Φ &gt; Φ: + Συρ.  </w:t>
      </w:r>
    </w:p>
    <w:p w14:paraId="101F4624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0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Φ +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./Συρ/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4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04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0041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Φ &gt; Φ: (και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σιγάται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004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σε άλλες διαλέκτους πλην της Αττικής, π.χ. *</w:t>
      </w:r>
      <w:proofErr w:type="spellStart"/>
      <w:r>
        <w:rPr>
          <w:rFonts w:ascii="Times New Roman" w:hAnsi="Times New Roman" w:cs="Times New Roman"/>
          <w:sz w:val="24"/>
          <w:szCs w:val="24"/>
        </w:rPr>
        <w:t>ξεν</w:t>
      </w:r>
      <w:r>
        <w:rPr>
          <w:rFonts w:ascii="Times New Roman" w:hAnsi="Times New Roman" w:cs="Times New Roman"/>
          <w:sz w:val="24"/>
          <w:szCs w:val="24"/>
          <w:lang w:val="en-US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ξεινος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(Ιων.), </w:t>
      </w:r>
      <w:proofErr w:type="spellStart"/>
      <w:r>
        <w:rPr>
          <w:rFonts w:ascii="Times New Roman" w:hAnsi="Times New Roman" w:cs="Times New Roman"/>
          <w:sz w:val="24"/>
          <w:szCs w:val="24"/>
        </w:rPr>
        <w:t>ξηνος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(Δωρ.) αλλά ξένος (Αττ.)</w:t>
      </w:r>
      <w:r w:rsidR="00A328C2">
        <w:rPr>
          <w:rFonts w:ascii="Times New Roman" w:hAnsi="Times New Roman" w:cs="Times New Roman"/>
          <w:sz w:val="24"/>
          <w:szCs w:val="24"/>
        </w:rPr>
        <w:t>, οι λεγόμενες τρίτες αντεκτάσεις</w:t>
      </w:r>
      <w:bookmarkStart w:id="0" w:name="_GoBack"/>
      <w:bookmarkEnd w:id="0"/>
    </w:p>
    <w:p w14:paraId="1AD2941E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μακρά φωνήεντα που προκύπτουν συμπίπτουν με αυτά των παλαιών αντεκτάσεων, απλά δεν εφαρμόζεται σε αυτά ο κανόνας της τροπής του α:→η. Επίσης ονομάζονται και «</w:t>
      </w:r>
      <w:proofErr w:type="spellStart"/>
      <w:r>
        <w:rPr>
          <w:rFonts w:ascii="Times New Roman" w:hAnsi="Times New Roman" w:cs="Times New Roman"/>
          <w:sz w:val="24"/>
          <w:szCs w:val="24"/>
        </w:rPr>
        <w:t>ένσιγμες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καθώς, σε αντίθεση με τις παλαιές αντεκτάσεις, οι τελικοί τύποι περιέχουν τον συριστικό φθόγγο, εφόσον αυτός υπάρχει στο φωνολογικό περιβάλλον (περίπτωση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F53C1">
        <w:rPr>
          <w:rFonts w:ascii="Times New Roman" w:hAnsi="Times New Roman" w:cs="Times New Roman"/>
          <w:sz w:val="24"/>
          <w:szCs w:val="24"/>
        </w:rPr>
        <w:t>)</w:t>
      </w:r>
    </w:p>
    <w:p w14:paraId="1B890FDA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</w:t>
      </w:r>
    </w:p>
    <w:p w14:paraId="7431E693" w14:textId="77777777" w:rsidR="00921BD6" w:rsidRDefault="00921BD6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τανς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τα:ς</w:t>
      </w:r>
      <w:proofErr w:type="spellEnd"/>
      <w:r>
        <w:rPr>
          <w:rFonts w:ascii="Times New Roman" w:hAnsi="Times New Roman" w:cs="Times New Roman"/>
          <w:sz w:val="24"/>
          <w:szCs w:val="24"/>
        </w:rPr>
        <w:t>,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τονς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τους</w:t>
      </w:r>
    </w:p>
    <w:p w14:paraId="39678113" w14:textId="77777777" w:rsidR="00921BD6" w:rsidRDefault="004B1B4F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λυθεντ</w:t>
      </w:r>
      <w:proofErr w:type="spellEnd"/>
      <w:r>
        <w:rPr>
          <w:rFonts w:ascii="Times New Roman" w:hAnsi="Times New Roman" w:cs="Times New Roman"/>
          <w:sz w:val="24"/>
          <w:szCs w:val="24"/>
        </w:rPr>
        <w:t>-ς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λυθενς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λυθείς</w:t>
      </w:r>
    </w:p>
    <w:p w14:paraId="52CF907D" w14:textId="77777777" w:rsidR="00921BD6" w:rsidRDefault="00921BD6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διδοντι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διδονσι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δίδουσι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δίδοισι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E6FC66" w14:textId="77777777" w:rsidR="00921BD6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-σα &gt; *παν-σα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πασα</w:t>
      </w:r>
      <w:proofErr w:type="spellEnd"/>
    </w:p>
    <w:p w14:paraId="5B6DD1F5" w14:textId="77777777" w:rsidR="00921BD6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τιθενσ</w:t>
      </w:r>
      <w:proofErr w:type="spellEnd"/>
      <w:r>
        <w:rPr>
          <w:rFonts w:ascii="Times New Roman" w:hAnsi="Times New Roman" w:cs="Times New Roman"/>
          <w:sz w:val="24"/>
          <w:szCs w:val="24"/>
        </w:rPr>
        <w:t>-σα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-σα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τιθεισα</w:t>
      </w:r>
      <w:proofErr w:type="spellEnd"/>
    </w:p>
    <w:p w14:paraId="1F1C9C6A" w14:textId="77777777" w:rsidR="00921BD6" w:rsidRPr="00EB259F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φέροντ-σι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φέρονσι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φέρουσι</w:t>
      </w:r>
      <w:proofErr w:type="spellEnd"/>
    </w:p>
    <w:p w14:paraId="27A96461" w14:textId="77777777" w:rsidR="00921BD6" w:rsidRPr="00940388" w:rsidRDefault="00921BD6" w:rsidP="009F492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96DC" w14:textId="77777777" w:rsidR="00921BD6" w:rsidRDefault="00921BD6" w:rsidP="008E5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9E">
        <w:rPr>
          <w:rFonts w:ascii="Times New Roman" w:hAnsi="Times New Roman" w:cs="Times New Roman"/>
          <w:b/>
          <w:bCs/>
          <w:sz w:val="24"/>
          <w:szCs w:val="24"/>
        </w:rPr>
        <w:t>Νόμος της έκτασης στην σύνθεση (</w:t>
      </w:r>
      <w:proofErr w:type="spellStart"/>
      <w:r w:rsidRPr="00195E9E">
        <w:rPr>
          <w:rFonts w:ascii="Times New Roman" w:hAnsi="Times New Roman" w:cs="Times New Roman"/>
          <w:b/>
          <w:bCs/>
          <w:sz w:val="24"/>
          <w:szCs w:val="24"/>
          <w:lang w:val="en-US"/>
        </w:rPr>
        <w:t>Wackernagel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>)</w:t>
      </w:r>
    </w:p>
    <w:p w14:paraId="4EB4438C" w14:textId="77777777" w:rsidR="00921BD6" w:rsidRDefault="00921BD6" w:rsidP="00195E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Πρόκειται για φαινόμενο κατά την σύνθεση: Αν το α΄ συνθετικό λήγει σε φωνήεν και το β΄ αρχίζει από φωνήεν, το αρκτικό φωνήεν του β΄ εκτείνεται στο αντίστοιχο μακρό με αποβολή του φωνήεντος του α΄ (με εξαίρεση ληκτικά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ι,υ</w:t>
      </w:r>
      <w:proofErr w:type="spellEnd"/>
      <w:r>
        <w:rPr>
          <w:rFonts w:ascii="Times New Roman" w:hAnsi="Times New Roman" w:cs="Times New Roman"/>
          <w:sz w:val="24"/>
          <w:szCs w:val="24"/>
        </w:rPr>
        <w:t>&gt;).</w:t>
      </w:r>
    </w:p>
    <w:p w14:paraId="74903297" w14:textId="77777777" w:rsidR="00921BD6" w:rsidRPr="00940388" w:rsidRDefault="00921BD6" w:rsidP="00195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F1B7CD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στρατο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στρατα:γός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στρατηγός,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χρυσο+έλατος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χρυσήλατος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251183" w14:textId="77777777" w:rsidR="00921BD6" w:rsidRDefault="00921BD6" w:rsidP="00195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D807E" w14:textId="77777777" w:rsidR="00921BD6" w:rsidRPr="00940388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Γενικεύτηκε αναλογικά και σε περιβάλλοντα που δεν έχουμε ληκτικό φωνήεν στο α΄ συνθετικό, 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κυν-ηγός</w:t>
      </w:r>
      <w:proofErr w:type="spellEnd"/>
      <w:r>
        <w:rPr>
          <w:rFonts w:ascii="Times New Roman" w:hAnsi="Times New Roman" w:cs="Times New Roman"/>
          <w:sz w:val="24"/>
          <w:szCs w:val="24"/>
        </w:rPr>
        <w:t>, συν-</w:t>
      </w:r>
      <w:proofErr w:type="spellStart"/>
      <w:r>
        <w:rPr>
          <w:rFonts w:ascii="Times New Roman" w:hAnsi="Times New Roman" w:cs="Times New Roman"/>
          <w:sz w:val="24"/>
          <w:szCs w:val="24"/>
        </w:rPr>
        <w:t>ήγορος</w:t>
      </w:r>
      <w:proofErr w:type="spellEnd"/>
    </w:p>
    <w:p w14:paraId="21D73A91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Πολλά παραδείγματα, αλλά και αρκετές εξαιρέσεις. Στα τέλη της κλασικής περιόδου γενικεύεται η τάση για απλή έκθλιψη του ληκτικού φωνήεντος του α΄ χωρίς έκταση του φωνήεντος της β΄: 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ιππ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-αγωγός,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επτ-έτης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E8984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φαινόμενο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Πρωτο</w:t>
      </w:r>
      <w:proofErr w:type="spellEnd"/>
      <w:r>
        <w:rPr>
          <w:rFonts w:ascii="Times New Roman" w:hAnsi="Times New Roman" w:cs="Times New Roman"/>
          <w:sz w:val="24"/>
          <w:szCs w:val="24"/>
        </w:rPr>
        <w:t>-ελληνικής, με άλλα λόγια απαντά σε όλες τις διαλέκτους της ΑΕ.</w:t>
      </w:r>
    </w:p>
    <w:p w14:paraId="521E79AC" w14:textId="77777777" w:rsidR="00921BD6" w:rsidRPr="00940388" w:rsidRDefault="00921BD6" w:rsidP="007B34D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EAAD3" w14:textId="77777777" w:rsidR="00921BD6" w:rsidRPr="007B34DB" w:rsidRDefault="00921BD6" w:rsidP="007B34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b/>
          <w:bCs/>
          <w:sz w:val="24"/>
          <w:szCs w:val="24"/>
        </w:rPr>
        <w:t>Βράχυνση φωνηέντων</w:t>
      </w:r>
    </w:p>
    <w:p w14:paraId="775C5DB4" w14:textId="77777777" w:rsidR="00921BD6" w:rsidRPr="00940388" w:rsidRDefault="00921BD6" w:rsidP="007B34D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Λιγότερο συχνό φαινόμενο σε σχέση με την έκταση,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παρ’όλα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αυτά απαντά με διάφορες μορφές. Η πιο γνωστή, ο νόμος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Osthoff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πιθανώς ανήκει στην ΠΙΕ, φαίνεται να υπάρχει και σε άλλες γλώσσες), σύμφωνα με τον οποίο μακρό φωνήεν ή δίφθογγος βραχύνεται, όταν ακολουθείται από ημίφωνο 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0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03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Σ (σύμφωνο):</w:t>
      </w:r>
    </w:p>
    <w:p w14:paraId="2D83C8BD" w14:textId="77777777" w:rsidR="00921BD6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βασιληυς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βασιλεύς</w:t>
      </w:r>
    </w:p>
    <w:p w14:paraId="33B8C85D" w14:textId="77777777" w:rsidR="00921BD6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λυθηντ-ες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λυθέντες</w:t>
      </w:r>
      <w:proofErr w:type="spellEnd"/>
    </w:p>
    <w:p w14:paraId="52EB591F" w14:textId="77777777" w:rsidR="00921BD6" w:rsidRPr="00940388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τιθηντ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-ς &gt; *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τιθείς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6E317" w14:textId="77777777" w:rsidR="00921BD6" w:rsidRPr="00940388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Άλλη περίπτωση βράχυνσης: μακρό προ μακρού (αφορά κυρίως τον φθόγγο </w:t>
      </w:r>
      <w:r w:rsidRPr="00317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985"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sz w:val="24"/>
          <w:szCs w:val="24"/>
        </w:rPr>
        <w:t>, π.χ. ηώς &gt; έως (Αττικό)</w:t>
      </w:r>
      <w:r w:rsidRPr="00317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βασιλήων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βασιλέων</w:t>
      </w:r>
    </w:p>
    <w:sectPr w:rsidR="00921BD6" w:rsidRPr="00940388" w:rsidSect="0021061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F91C" w14:textId="77777777" w:rsidR="00E64A63" w:rsidRDefault="00E64A63" w:rsidP="004A01E1">
      <w:pPr>
        <w:spacing w:after="0" w:line="240" w:lineRule="auto"/>
      </w:pPr>
      <w:r>
        <w:separator/>
      </w:r>
    </w:p>
  </w:endnote>
  <w:endnote w:type="continuationSeparator" w:id="0">
    <w:p w14:paraId="7A369D1A" w14:textId="77777777" w:rsidR="00E64A63" w:rsidRDefault="00E64A63" w:rsidP="004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6099" w14:textId="77777777" w:rsidR="00921BD6" w:rsidRDefault="00921BD6">
    <w:pPr>
      <w:pStyle w:val="Footer"/>
      <w:jc w:val="center"/>
    </w:pPr>
    <w:r>
      <w:t>[</w:t>
    </w:r>
    <w:r w:rsidR="00E64A63">
      <w:fldChar w:fldCharType="begin"/>
    </w:r>
    <w:r w:rsidR="00E64A63">
      <w:instrText xml:space="preserve"> PAGE   \* MERGEFORMAT </w:instrText>
    </w:r>
    <w:r w:rsidR="00E64A63">
      <w:fldChar w:fldCharType="separate"/>
    </w:r>
    <w:r w:rsidR="00077826">
      <w:rPr>
        <w:noProof/>
      </w:rPr>
      <w:t>1</w:t>
    </w:r>
    <w:r w:rsidR="00E64A63">
      <w:rPr>
        <w:noProof/>
      </w:rPr>
      <w:fldChar w:fldCharType="end"/>
    </w:r>
    <w:r>
      <w:t>]</w:t>
    </w:r>
  </w:p>
  <w:p w14:paraId="2F27BA74" w14:textId="77777777" w:rsidR="00921BD6" w:rsidRDefault="00921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2058" w14:textId="77777777" w:rsidR="00E64A63" w:rsidRDefault="00E64A63" w:rsidP="004A01E1">
      <w:pPr>
        <w:spacing w:after="0" w:line="240" w:lineRule="auto"/>
      </w:pPr>
      <w:r>
        <w:separator/>
      </w:r>
    </w:p>
  </w:footnote>
  <w:footnote w:type="continuationSeparator" w:id="0">
    <w:p w14:paraId="739D943E" w14:textId="77777777" w:rsidR="00E64A63" w:rsidRDefault="00E64A63" w:rsidP="004A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237"/>
    <w:multiLevelType w:val="hybridMultilevel"/>
    <w:tmpl w:val="3EA825E0"/>
    <w:lvl w:ilvl="0" w:tplc="756E5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4102F2"/>
    <w:multiLevelType w:val="hybridMultilevel"/>
    <w:tmpl w:val="BF6287AA"/>
    <w:lvl w:ilvl="0" w:tplc="068C7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02"/>
    <w:multiLevelType w:val="hybridMultilevel"/>
    <w:tmpl w:val="7FD0D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4B5C"/>
    <w:multiLevelType w:val="hybridMultilevel"/>
    <w:tmpl w:val="0D88964C"/>
    <w:lvl w:ilvl="0" w:tplc="8D3CD0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F"/>
    <w:rsid w:val="00032E73"/>
    <w:rsid w:val="00045254"/>
    <w:rsid w:val="0005098B"/>
    <w:rsid w:val="000565B9"/>
    <w:rsid w:val="00077826"/>
    <w:rsid w:val="000A4E56"/>
    <w:rsid w:val="000D5573"/>
    <w:rsid w:val="00132641"/>
    <w:rsid w:val="001350AA"/>
    <w:rsid w:val="00136494"/>
    <w:rsid w:val="00164E3B"/>
    <w:rsid w:val="00165FCC"/>
    <w:rsid w:val="00186227"/>
    <w:rsid w:val="0018692B"/>
    <w:rsid w:val="00195E9E"/>
    <w:rsid w:val="001A76D5"/>
    <w:rsid w:val="001C4227"/>
    <w:rsid w:val="001D3FF9"/>
    <w:rsid w:val="001F6E16"/>
    <w:rsid w:val="002016E8"/>
    <w:rsid w:val="002020FE"/>
    <w:rsid w:val="00207EB0"/>
    <w:rsid w:val="0021061A"/>
    <w:rsid w:val="00260A33"/>
    <w:rsid w:val="00275717"/>
    <w:rsid w:val="0029151C"/>
    <w:rsid w:val="002B4D9C"/>
    <w:rsid w:val="002F31CE"/>
    <w:rsid w:val="00317985"/>
    <w:rsid w:val="00330E4E"/>
    <w:rsid w:val="00341830"/>
    <w:rsid w:val="003633A4"/>
    <w:rsid w:val="00364CFC"/>
    <w:rsid w:val="00386D21"/>
    <w:rsid w:val="003A2114"/>
    <w:rsid w:val="003A6D81"/>
    <w:rsid w:val="003B78E3"/>
    <w:rsid w:val="003C1E81"/>
    <w:rsid w:val="003F403E"/>
    <w:rsid w:val="004373CF"/>
    <w:rsid w:val="00447BC6"/>
    <w:rsid w:val="00453D0A"/>
    <w:rsid w:val="00467A8D"/>
    <w:rsid w:val="004A01E1"/>
    <w:rsid w:val="004B1B4F"/>
    <w:rsid w:val="004C248F"/>
    <w:rsid w:val="004C7E82"/>
    <w:rsid w:val="004D0698"/>
    <w:rsid w:val="004F7612"/>
    <w:rsid w:val="005814F3"/>
    <w:rsid w:val="00581DA7"/>
    <w:rsid w:val="005A4612"/>
    <w:rsid w:val="005B6A55"/>
    <w:rsid w:val="005C65D6"/>
    <w:rsid w:val="005F771A"/>
    <w:rsid w:val="0061090F"/>
    <w:rsid w:val="00623147"/>
    <w:rsid w:val="00625225"/>
    <w:rsid w:val="00637A5F"/>
    <w:rsid w:val="00650DB8"/>
    <w:rsid w:val="00665A1F"/>
    <w:rsid w:val="006C411A"/>
    <w:rsid w:val="006D4ABB"/>
    <w:rsid w:val="006E23F9"/>
    <w:rsid w:val="006F47AD"/>
    <w:rsid w:val="00700411"/>
    <w:rsid w:val="00700F76"/>
    <w:rsid w:val="0071156E"/>
    <w:rsid w:val="00717848"/>
    <w:rsid w:val="00723929"/>
    <w:rsid w:val="0074068A"/>
    <w:rsid w:val="0074760A"/>
    <w:rsid w:val="00750DF9"/>
    <w:rsid w:val="00752717"/>
    <w:rsid w:val="007A4BF5"/>
    <w:rsid w:val="007B34DB"/>
    <w:rsid w:val="007F1E07"/>
    <w:rsid w:val="007F63AE"/>
    <w:rsid w:val="00857C9E"/>
    <w:rsid w:val="00872978"/>
    <w:rsid w:val="00872B31"/>
    <w:rsid w:val="0088046E"/>
    <w:rsid w:val="008808A6"/>
    <w:rsid w:val="00894ECE"/>
    <w:rsid w:val="00895132"/>
    <w:rsid w:val="008E503B"/>
    <w:rsid w:val="008E5743"/>
    <w:rsid w:val="00921BD6"/>
    <w:rsid w:val="00933977"/>
    <w:rsid w:val="009343D3"/>
    <w:rsid w:val="0093692D"/>
    <w:rsid w:val="00940388"/>
    <w:rsid w:val="009563A4"/>
    <w:rsid w:val="00957C6F"/>
    <w:rsid w:val="00966FFB"/>
    <w:rsid w:val="009931F2"/>
    <w:rsid w:val="0099451F"/>
    <w:rsid w:val="009B2113"/>
    <w:rsid w:val="009B221D"/>
    <w:rsid w:val="009C1DFC"/>
    <w:rsid w:val="009D0F2D"/>
    <w:rsid w:val="009E0A8C"/>
    <w:rsid w:val="009F492F"/>
    <w:rsid w:val="00A11903"/>
    <w:rsid w:val="00A328C2"/>
    <w:rsid w:val="00A45B6A"/>
    <w:rsid w:val="00AC2667"/>
    <w:rsid w:val="00B31E5E"/>
    <w:rsid w:val="00B74345"/>
    <w:rsid w:val="00BB5460"/>
    <w:rsid w:val="00BE40CE"/>
    <w:rsid w:val="00BF0777"/>
    <w:rsid w:val="00BF224E"/>
    <w:rsid w:val="00C20E82"/>
    <w:rsid w:val="00C43B42"/>
    <w:rsid w:val="00C75711"/>
    <w:rsid w:val="00CA6D75"/>
    <w:rsid w:val="00CD2EED"/>
    <w:rsid w:val="00CD3AC7"/>
    <w:rsid w:val="00CE1722"/>
    <w:rsid w:val="00CF413F"/>
    <w:rsid w:val="00CF798B"/>
    <w:rsid w:val="00CF7F3A"/>
    <w:rsid w:val="00D270CA"/>
    <w:rsid w:val="00D2734A"/>
    <w:rsid w:val="00D41B87"/>
    <w:rsid w:val="00D6125E"/>
    <w:rsid w:val="00DE33F1"/>
    <w:rsid w:val="00DF53C1"/>
    <w:rsid w:val="00E5404A"/>
    <w:rsid w:val="00E540BA"/>
    <w:rsid w:val="00E64A63"/>
    <w:rsid w:val="00E64E8A"/>
    <w:rsid w:val="00EA0B4F"/>
    <w:rsid w:val="00EB259F"/>
    <w:rsid w:val="00EE450D"/>
    <w:rsid w:val="00EF1241"/>
    <w:rsid w:val="00F104F8"/>
    <w:rsid w:val="00F375DF"/>
    <w:rsid w:val="00F6060E"/>
    <w:rsid w:val="00F746E6"/>
    <w:rsid w:val="00F80655"/>
    <w:rsid w:val="00FC5E29"/>
    <w:rsid w:val="00FD0383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262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48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0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1E1"/>
  </w:style>
  <w:style w:type="paragraph" w:styleId="Footer">
    <w:name w:val="footer"/>
    <w:basedOn w:val="Normal"/>
    <w:link w:val="FooterChar"/>
    <w:uiPriority w:val="99"/>
    <w:rsid w:val="004A0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3871</Characters>
  <Application>Microsoft Macintosh Word</Application>
  <DocSecurity>0</DocSecurity>
  <Lines>32</Lines>
  <Paragraphs>9</Paragraphs>
  <ScaleCrop>false</ScaleCrop>
  <Company>.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 ΤΕΤΑΡΤΟ</dc:title>
  <dc:subject/>
  <dc:creator>Μαρία Χολή</dc:creator>
  <cp:keywords/>
  <dc:description/>
  <cp:lastModifiedBy>Microsoft Office User</cp:lastModifiedBy>
  <cp:revision>2</cp:revision>
  <dcterms:created xsi:type="dcterms:W3CDTF">2018-12-28T21:26:00Z</dcterms:created>
  <dcterms:modified xsi:type="dcterms:W3CDTF">2018-12-28T21:26:00Z</dcterms:modified>
</cp:coreProperties>
</file>