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13" w:rsidRDefault="002E4A13" w:rsidP="002E4A13">
      <w:pPr>
        <w:tabs>
          <w:tab w:val="left" w:pos="4678"/>
        </w:tabs>
        <w:spacing w:after="0"/>
        <w:rPr>
          <w:bCs/>
        </w:rPr>
      </w:pPr>
    </w:p>
    <w:p w:rsidR="00EC7BD0" w:rsidRDefault="00EC7BD0" w:rsidP="002E4A13">
      <w:pPr>
        <w:pStyle w:val="Default"/>
        <w:jc w:val="both"/>
        <w:rPr>
          <w:color w:val="auto"/>
          <w:sz w:val="22"/>
          <w:szCs w:val="22"/>
        </w:rPr>
      </w:pPr>
    </w:p>
    <w:p w:rsidR="00EC7BD0" w:rsidRDefault="00EC7BD0" w:rsidP="00EC7BD0">
      <w:pPr>
        <w:pStyle w:val="Default"/>
        <w:jc w:val="both"/>
        <w:rPr>
          <w:color w:val="auto"/>
          <w:sz w:val="22"/>
          <w:szCs w:val="22"/>
        </w:rPr>
      </w:pPr>
      <w:r>
        <w:rPr>
          <w:color w:val="auto"/>
          <w:sz w:val="22"/>
          <w:szCs w:val="22"/>
        </w:rPr>
        <w:t xml:space="preserve">ΜΒΑ 2017-2018  </w:t>
      </w:r>
    </w:p>
    <w:p w:rsidR="00EC7BD0" w:rsidRDefault="00EC7BD0" w:rsidP="002E4A13">
      <w:pPr>
        <w:pStyle w:val="Default"/>
        <w:jc w:val="both"/>
        <w:rPr>
          <w:color w:val="auto"/>
          <w:sz w:val="22"/>
          <w:szCs w:val="22"/>
        </w:rPr>
      </w:pPr>
      <w:r>
        <w:rPr>
          <w:color w:val="auto"/>
          <w:sz w:val="22"/>
          <w:szCs w:val="22"/>
        </w:rPr>
        <w:t>ΔΙΔΑΣΚΩΝ: ΑΘΑΝ. ΜΠΕΛΛΑΣ</w:t>
      </w:r>
    </w:p>
    <w:p w:rsidR="00EC7BD0" w:rsidRDefault="00EC7BD0" w:rsidP="002E4A13">
      <w:pPr>
        <w:pStyle w:val="Default"/>
        <w:jc w:val="both"/>
        <w:rPr>
          <w:color w:val="auto"/>
          <w:sz w:val="22"/>
          <w:szCs w:val="22"/>
        </w:rPr>
      </w:pPr>
      <w:r>
        <w:rPr>
          <w:color w:val="auto"/>
          <w:sz w:val="22"/>
          <w:szCs w:val="22"/>
        </w:rPr>
        <w:t>ΟΜΟΤΙΜΟΣ ΚΑΘΗΓΗΤΗΣ ΠΑΝ. ΠΑΤΡΩΝ, ΤΔΕ</w:t>
      </w:r>
    </w:p>
    <w:p w:rsidR="00EC7BD0" w:rsidRDefault="00EC7BD0" w:rsidP="002E4A13">
      <w:pPr>
        <w:pStyle w:val="Default"/>
        <w:jc w:val="both"/>
        <w:rPr>
          <w:color w:val="auto"/>
          <w:sz w:val="22"/>
          <w:szCs w:val="22"/>
        </w:rPr>
      </w:pPr>
    </w:p>
    <w:p w:rsidR="00EC7BD0" w:rsidRDefault="00EC7BD0" w:rsidP="002E4A13">
      <w:pPr>
        <w:pStyle w:val="Default"/>
        <w:jc w:val="both"/>
        <w:rPr>
          <w:color w:val="auto"/>
          <w:sz w:val="22"/>
          <w:szCs w:val="22"/>
        </w:rPr>
      </w:pPr>
    </w:p>
    <w:p w:rsidR="002E4A13" w:rsidRDefault="00EC7BD0" w:rsidP="00EC7BD0">
      <w:pPr>
        <w:pStyle w:val="Default"/>
        <w:jc w:val="center"/>
        <w:rPr>
          <w:color w:val="auto"/>
          <w:sz w:val="22"/>
          <w:szCs w:val="22"/>
        </w:rPr>
      </w:pPr>
      <w:r>
        <w:rPr>
          <w:color w:val="auto"/>
          <w:sz w:val="22"/>
          <w:szCs w:val="22"/>
        </w:rPr>
        <w:t>ΑΣΚΗΣΕΙΣ</w:t>
      </w:r>
    </w:p>
    <w:p w:rsidR="002E4A13" w:rsidRDefault="002E4A13" w:rsidP="002E4A13">
      <w:pPr>
        <w:autoSpaceDE w:val="0"/>
        <w:autoSpaceDN w:val="0"/>
        <w:adjustRightInd w:val="0"/>
        <w:spacing w:after="0"/>
        <w:rPr>
          <w:color w:val="000000"/>
        </w:rPr>
      </w:pPr>
    </w:p>
    <w:p w:rsidR="002E4A13" w:rsidRDefault="002E4A13" w:rsidP="002E4A13">
      <w:pPr>
        <w:autoSpaceDE w:val="0"/>
        <w:autoSpaceDN w:val="0"/>
        <w:adjustRightInd w:val="0"/>
        <w:spacing w:after="0"/>
        <w:rPr>
          <w:color w:val="000000"/>
        </w:rPr>
      </w:pPr>
    </w:p>
    <w:p w:rsidR="002E4A13" w:rsidRDefault="002E4A13" w:rsidP="002E4A13">
      <w:pPr>
        <w:numPr>
          <w:ilvl w:val="0"/>
          <w:numId w:val="5"/>
        </w:numPr>
        <w:spacing w:after="0" w:line="240" w:lineRule="auto"/>
        <w:ind w:left="426" w:hanging="426"/>
        <w:jc w:val="both"/>
        <w:rPr>
          <w:bCs/>
          <w:color w:val="000000"/>
        </w:rPr>
      </w:pPr>
      <w:r>
        <w:rPr>
          <w:bCs/>
          <w:color w:val="000000"/>
        </w:rPr>
        <w:t xml:space="preserve">Τον </w:t>
      </w:r>
      <w:r>
        <w:t>Απρίλιο</w:t>
      </w:r>
      <w:r>
        <w:rPr>
          <w:bCs/>
          <w:color w:val="000000"/>
        </w:rPr>
        <w:t xml:space="preserve"> 200Χ, τα κοστολογικά στοιχεία της βιομηχανίας ΑΒΓ Ο.Ε. είχαν ως εξής (ποσά σε ευρώ):</w:t>
      </w:r>
    </w:p>
    <w:p w:rsidR="002E4A13" w:rsidRDefault="002E4A13" w:rsidP="002E4A13">
      <w:pPr>
        <w:autoSpaceDE w:val="0"/>
        <w:autoSpaceDN w:val="0"/>
        <w:adjustRightInd w:val="0"/>
        <w:spacing w:after="0"/>
      </w:pPr>
      <w:r>
        <w:rPr>
          <w:bCs/>
          <w:color w:val="000000"/>
        </w:rPr>
        <w:t>Αναλώσεις πρώτων υλών</w:t>
      </w:r>
      <w:r>
        <w:rPr>
          <w:color w:val="000000"/>
        </w:rPr>
        <w:t xml:space="preserve"> </w:t>
      </w:r>
      <w:r>
        <w:rPr>
          <w:bCs/>
          <w:color w:val="000000"/>
        </w:rPr>
        <w:t xml:space="preserve">69.000 </w:t>
      </w:r>
      <w:r>
        <w:t xml:space="preserve"> </w:t>
      </w:r>
    </w:p>
    <w:p w:rsidR="002E4A13" w:rsidRDefault="002E4A13" w:rsidP="002E4A13">
      <w:pPr>
        <w:autoSpaceDE w:val="0"/>
        <w:autoSpaceDN w:val="0"/>
        <w:adjustRightInd w:val="0"/>
        <w:spacing w:after="0"/>
        <w:rPr>
          <w:bCs/>
          <w:color w:val="000000"/>
        </w:rPr>
      </w:pPr>
      <w:r>
        <w:rPr>
          <w:bCs/>
          <w:color w:val="000000"/>
        </w:rPr>
        <w:t xml:space="preserve">Άµεση εργασία 63.000 </w:t>
      </w:r>
    </w:p>
    <w:p w:rsidR="002E4A13" w:rsidRDefault="002E4A13" w:rsidP="002E4A13">
      <w:pPr>
        <w:autoSpaceDE w:val="0"/>
        <w:autoSpaceDN w:val="0"/>
        <w:adjustRightInd w:val="0"/>
        <w:spacing w:after="0"/>
        <w:rPr>
          <w:color w:val="000000"/>
        </w:rPr>
      </w:pPr>
      <w:r>
        <w:rPr>
          <w:bCs/>
          <w:color w:val="000000"/>
        </w:rPr>
        <w:t xml:space="preserve">ΓΒΕ 111.000 </w:t>
      </w:r>
    </w:p>
    <w:p w:rsidR="002E4A13" w:rsidRPr="002E4A13" w:rsidRDefault="002E4A13" w:rsidP="002E4A13">
      <w:pPr>
        <w:autoSpaceDE w:val="0"/>
        <w:autoSpaceDN w:val="0"/>
        <w:adjustRightInd w:val="0"/>
        <w:spacing w:after="0"/>
        <w:rPr>
          <w:bCs/>
          <w:color w:val="000000"/>
        </w:rPr>
      </w:pPr>
      <w:r>
        <w:rPr>
          <w:bCs/>
          <w:color w:val="000000"/>
        </w:rPr>
        <w:t xml:space="preserve">Παραγωγή σε εξέλιξη: </w:t>
      </w:r>
      <w:r>
        <w:rPr>
          <w:bCs/>
          <w:color w:val="000000"/>
        </w:rPr>
        <w:tab/>
        <w:t>Απόθεµα αρχής: 39.000</w:t>
      </w:r>
    </w:p>
    <w:p w:rsidR="002E4A13" w:rsidRDefault="002E4A13" w:rsidP="002E4A13">
      <w:pPr>
        <w:autoSpaceDE w:val="0"/>
        <w:autoSpaceDN w:val="0"/>
        <w:adjustRightInd w:val="0"/>
        <w:spacing w:after="0"/>
        <w:ind w:left="1440" w:firstLine="720"/>
        <w:rPr>
          <w:bCs/>
          <w:color w:val="000000"/>
        </w:rPr>
      </w:pPr>
      <w:r>
        <w:rPr>
          <w:bCs/>
          <w:color w:val="000000"/>
        </w:rPr>
        <w:t>Απόθεµα τέλους 54.000</w:t>
      </w:r>
    </w:p>
    <w:p w:rsidR="002E4A13" w:rsidRDefault="002E4A13" w:rsidP="002E4A13">
      <w:pPr>
        <w:autoSpaceDE w:val="0"/>
        <w:autoSpaceDN w:val="0"/>
        <w:adjustRightInd w:val="0"/>
        <w:spacing w:after="0"/>
        <w:rPr>
          <w:color w:val="000000"/>
        </w:rPr>
      </w:pPr>
      <w:r>
        <w:rPr>
          <w:bCs/>
          <w:color w:val="000000"/>
        </w:rPr>
        <w:t xml:space="preserve">Ποιο ήταν το κόστος παραχθέντων προϊόντων </w:t>
      </w:r>
      <w:r>
        <w:t>τον µήνα Απρίλιο</w:t>
      </w:r>
      <w:r>
        <w:rPr>
          <w:bCs/>
          <w:color w:val="000000"/>
        </w:rPr>
        <w:t xml:space="preserve">; </w:t>
      </w:r>
    </w:p>
    <w:p w:rsidR="002E4A13" w:rsidRDefault="002E4A13" w:rsidP="002E4A13">
      <w:pPr>
        <w:autoSpaceDE w:val="0"/>
        <w:autoSpaceDN w:val="0"/>
        <w:adjustRightInd w:val="0"/>
        <w:spacing w:after="0"/>
        <w:rPr>
          <w:color w:val="000000"/>
        </w:rPr>
      </w:pPr>
    </w:p>
    <w:p w:rsidR="002E4A13" w:rsidRDefault="002E4A13" w:rsidP="002E4A13">
      <w:pPr>
        <w:autoSpaceDE w:val="0"/>
        <w:autoSpaceDN w:val="0"/>
        <w:adjustRightInd w:val="0"/>
        <w:spacing w:after="0"/>
        <w:rPr>
          <w:color w:val="000000"/>
        </w:rPr>
      </w:pPr>
      <w:r>
        <w:rPr>
          <w:color w:val="000000"/>
        </w:rPr>
        <w:t xml:space="preserve">(α) </w:t>
      </w:r>
      <w:r>
        <w:t xml:space="preserve">€ </w:t>
      </w:r>
      <w:r>
        <w:rPr>
          <w:color w:val="000000"/>
        </w:rPr>
        <w:t xml:space="preserve">228.000 </w:t>
      </w:r>
    </w:p>
    <w:p w:rsidR="002E4A13" w:rsidRDefault="002E4A13" w:rsidP="002E4A13">
      <w:pPr>
        <w:autoSpaceDE w:val="0"/>
        <w:autoSpaceDN w:val="0"/>
        <w:adjustRightInd w:val="0"/>
        <w:spacing w:after="0"/>
        <w:rPr>
          <w:color w:val="000000"/>
        </w:rPr>
      </w:pPr>
      <w:r>
        <w:rPr>
          <w:color w:val="000000"/>
        </w:rPr>
        <w:t xml:space="preserve">(β) </w:t>
      </w:r>
      <w:r>
        <w:t xml:space="preserve">€ </w:t>
      </w:r>
      <w:r>
        <w:rPr>
          <w:color w:val="000000"/>
        </w:rPr>
        <w:t xml:space="preserve">233.000 </w:t>
      </w:r>
    </w:p>
    <w:p w:rsidR="002E4A13" w:rsidRDefault="002E4A13" w:rsidP="002E4A13">
      <w:pPr>
        <w:autoSpaceDE w:val="0"/>
        <w:autoSpaceDN w:val="0"/>
        <w:adjustRightInd w:val="0"/>
        <w:spacing w:after="0"/>
        <w:rPr>
          <w:color w:val="000000"/>
        </w:rPr>
      </w:pPr>
      <w:r>
        <w:rPr>
          <w:color w:val="000000"/>
        </w:rPr>
        <w:t xml:space="preserve">(γ) </w:t>
      </w:r>
      <w:r>
        <w:t xml:space="preserve">€ </w:t>
      </w:r>
      <w:r>
        <w:rPr>
          <w:color w:val="000000"/>
        </w:rPr>
        <w:t xml:space="preserve">238.000 </w:t>
      </w:r>
    </w:p>
    <w:p w:rsidR="002E4A13" w:rsidRDefault="002E4A13" w:rsidP="002E4A13">
      <w:pPr>
        <w:autoSpaceDE w:val="0"/>
        <w:autoSpaceDN w:val="0"/>
        <w:adjustRightInd w:val="0"/>
        <w:spacing w:after="0"/>
        <w:rPr>
          <w:color w:val="000000"/>
        </w:rPr>
      </w:pPr>
      <w:r>
        <w:rPr>
          <w:color w:val="000000"/>
        </w:rPr>
        <w:t xml:space="preserve">(δ) </w:t>
      </w:r>
      <w:r>
        <w:t xml:space="preserve">€ </w:t>
      </w:r>
      <w:r>
        <w:rPr>
          <w:color w:val="000000"/>
        </w:rPr>
        <w:t xml:space="preserve">243.000 </w:t>
      </w:r>
    </w:p>
    <w:p w:rsidR="002E4A13" w:rsidRDefault="002E4A13" w:rsidP="002E4A13">
      <w:pPr>
        <w:autoSpaceDE w:val="0"/>
        <w:autoSpaceDN w:val="0"/>
        <w:adjustRightInd w:val="0"/>
        <w:spacing w:after="0"/>
        <w:rPr>
          <w:color w:val="000000"/>
        </w:rPr>
      </w:pPr>
    </w:p>
    <w:p w:rsidR="002E4A13" w:rsidRDefault="002E4A13" w:rsidP="002E4A13">
      <w:pPr>
        <w:numPr>
          <w:ilvl w:val="0"/>
          <w:numId w:val="5"/>
        </w:numPr>
        <w:spacing w:after="0" w:line="240" w:lineRule="auto"/>
        <w:ind w:left="426" w:hanging="426"/>
        <w:jc w:val="both"/>
      </w:pPr>
      <w:r>
        <w:t xml:space="preserve">Τα </w:t>
      </w:r>
      <w:r>
        <w:rPr>
          <w:bCs/>
          <w:color w:val="000000"/>
        </w:rPr>
        <w:t>παρακάτω</w:t>
      </w:r>
      <w:r>
        <w:t xml:space="preserve"> στοιχεία φορούν τον πιο πρόσφατο µήνα δράσης µιας βιομηχανικής επιχείρησης: </w:t>
      </w:r>
    </w:p>
    <w:p w:rsidR="002E4A13" w:rsidRDefault="002E4A13" w:rsidP="002E4A13">
      <w:pPr>
        <w:spacing w:after="0"/>
      </w:pPr>
      <w:r>
        <w:t xml:space="preserve">Απόθεμα αρχής μήνα σε μονάδες προϊόντος: 0 </w:t>
      </w:r>
    </w:p>
    <w:p w:rsidR="002E4A13" w:rsidRDefault="002E4A13" w:rsidP="002E4A13">
      <w:pPr>
        <w:spacing w:after="0"/>
      </w:pPr>
      <w:r>
        <w:t xml:space="preserve">Μονάδες προϊόντος που έχουν παραχθεί στον μήνα : 11.900 </w:t>
      </w:r>
    </w:p>
    <w:p w:rsidR="002E4A13" w:rsidRDefault="002E4A13" w:rsidP="002E4A13">
      <w:pPr>
        <w:spacing w:after="0"/>
      </w:pPr>
      <w:r>
        <w:t xml:space="preserve">Μονάδες προϊόντος που έχουν πωληθεί στο μήνα: 10.500 </w:t>
      </w:r>
    </w:p>
    <w:p w:rsidR="002E4A13" w:rsidRDefault="002E4A13" w:rsidP="002E4A13">
      <w:pPr>
        <w:spacing w:after="0"/>
      </w:pPr>
      <w:r>
        <w:t xml:space="preserve">Απόθεμα τέλους μήνα σε μονάδες προϊόντος: 1.400 </w:t>
      </w:r>
    </w:p>
    <w:p w:rsidR="002E4A13" w:rsidRDefault="002E4A13" w:rsidP="002E4A13">
      <w:pPr>
        <w:spacing w:after="0"/>
      </w:pPr>
      <w:r>
        <w:t xml:space="preserve">Μεταβλητό κόστος ανά μονάδα προϊόντος: </w:t>
      </w:r>
    </w:p>
    <w:p w:rsidR="002E4A13" w:rsidRDefault="002E4A13" w:rsidP="002E4A13">
      <w:pPr>
        <w:spacing w:after="0"/>
      </w:pPr>
      <w:r>
        <w:t xml:space="preserve">- Πρώτες ύλες € 29 </w:t>
      </w:r>
    </w:p>
    <w:p w:rsidR="002E4A13" w:rsidRDefault="002E4A13" w:rsidP="002E4A13">
      <w:pPr>
        <w:spacing w:after="0"/>
      </w:pPr>
      <w:r>
        <w:t xml:space="preserve">- Άµεση εργασία € 49 </w:t>
      </w:r>
    </w:p>
    <w:p w:rsidR="002E4A13" w:rsidRDefault="002E4A13" w:rsidP="002E4A13">
      <w:pPr>
        <w:spacing w:after="0"/>
      </w:pPr>
      <w:r>
        <w:t xml:space="preserve">- Μεταβλητά γενικά βιομηχανικά έξοδα € 5 </w:t>
      </w:r>
    </w:p>
    <w:p w:rsidR="002E4A13" w:rsidRDefault="002E4A13" w:rsidP="002E4A13">
      <w:pPr>
        <w:spacing w:after="0"/>
      </w:pPr>
      <w:r>
        <w:t xml:space="preserve">- Μεταβλητά έξοδα διοίκησης και διάθεσης € 4 </w:t>
      </w:r>
    </w:p>
    <w:p w:rsidR="002E4A13" w:rsidRDefault="002E4A13" w:rsidP="002E4A13">
      <w:pPr>
        <w:spacing w:after="0"/>
      </w:pPr>
      <w:r>
        <w:t xml:space="preserve">Σταθερό κόστος ανά μήνα: </w:t>
      </w:r>
    </w:p>
    <w:p w:rsidR="002E4A13" w:rsidRDefault="002E4A13" w:rsidP="002E4A13">
      <w:pPr>
        <w:spacing w:after="0"/>
      </w:pPr>
      <w:r>
        <w:t xml:space="preserve"> - Γενικά βιομηχανικά έξοδα € 333.200 </w:t>
      </w:r>
    </w:p>
    <w:p w:rsidR="002E4A13" w:rsidRDefault="002E4A13" w:rsidP="002E4A13">
      <w:pPr>
        <w:spacing w:after="0"/>
      </w:pPr>
      <w:r>
        <w:t xml:space="preserve"> - Έξοδα διοίκησης και διάθεσης € 83.300 </w:t>
      </w:r>
    </w:p>
    <w:p w:rsidR="002E4A13" w:rsidRDefault="002E4A13" w:rsidP="002E4A13">
      <w:pPr>
        <w:spacing w:after="0"/>
      </w:pPr>
      <w:r>
        <w:t xml:space="preserve">Ποιο είναι το κόστος παραγωγής ανά μονάδα προϊόντος με βάση την απορροφητική κοστολόγηση; </w:t>
      </w:r>
    </w:p>
    <w:p w:rsidR="002E4A13" w:rsidRDefault="002E4A13" w:rsidP="002E4A13">
      <w:pPr>
        <w:autoSpaceDE w:val="0"/>
        <w:autoSpaceDN w:val="0"/>
        <w:adjustRightInd w:val="0"/>
        <w:spacing w:after="0"/>
        <w:rPr>
          <w:bCs/>
        </w:rPr>
      </w:pPr>
    </w:p>
    <w:p w:rsidR="002E4A13" w:rsidRDefault="002E4A13" w:rsidP="002E4A13">
      <w:pPr>
        <w:autoSpaceDE w:val="0"/>
        <w:autoSpaceDN w:val="0"/>
        <w:adjustRightInd w:val="0"/>
        <w:spacing w:after="0"/>
      </w:pPr>
      <w:r>
        <w:t xml:space="preserve">(α) € 83 </w:t>
      </w:r>
    </w:p>
    <w:p w:rsidR="002E4A13" w:rsidRDefault="002E4A13" w:rsidP="002E4A13">
      <w:pPr>
        <w:autoSpaceDE w:val="0"/>
        <w:autoSpaceDN w:val="0"/>
        <w:adjustRightInd w:val="0"/>
        <w:spacing w:after="0"/>
      </w:pPr>
      <w:r>
        <w:t xml:space="preserve">(β) € 87 </w:t>
      </w:r>
    </w:p>
    <w:p w:rsidR="002E4A13" w:rsidRDefault="002E4A13" w:rsidP="002E4A13">
      <w:pPr>
        <w:autoSpaceDE w:val="0"/>
        <w:autoSpaceDN w:val="0"/>
        <w:adjustRightInd w:val="0"/>
        <w:spacing w:after="0"/>
      </w:pPr>
      <w:r>
        <w:t xml:space="preserve">(γ) € 111 </w:t>
      </w:r>
    </w:p>
    <w:p w:rsidR="002E4A13" w:rsidRDefault="002E4A13" w:rsidP="002E4A13">
      <w:pPr>
        <w:autoSpaceDE w:val="0"/>
        <w:autoSpaceDN w:val="0"/>
        <w:adjustRightInd w:val="0"/>
        <w:spacing w:after="0"/>
      </w:pPr>
      <w:r>
        <w:t>(δ) € 122</w:t>
      </w:r>
    </w:p>
    <w:p w:rsidR="002E4A13" w:rsidRDefault="002E4A13" w:rsidP="002E4A13">
      <w:pPr>
        <w:autoSpaceDE w:val="0"/>
        <w:autoSpaceDN w:val="0"/>
        <w:adjustRightInd w:val="0"/>
        <w:spacing w:after="0"/>
        <w:rPr>
          <w:color w:val="000000"/>
        </w:rPr>
      </w:pPr>
    </w:p>
    <w:p w:rsidR="002E4A13" w:rsidRDefault="002E4A13" w:rsidP="002E4A13">
      <w:pPr>
        <w:numPr>
          <w:ilvl w:val="0"/>
          <w:numId w:val="5"/>
        </w:numPr>
        <w:spacing w:after="0" w:line="240" w:lineRule="auto"/>
        <w:ind w:left="426" w:hanging="426"/>
        <w:jc w:val="both"/>
        <w:rPr>
          <w:bCs/>
        </w:rPr>
      </w:pPr>
      <w:r>
        <w:rPr>
          <w:bCs/>
        </w:rPr>
        <w:lastRenderedPageBreak/>
        <w:t xml:space="preserve">Η βιοτεχνική </w:t>
      </w:r>
      <w:r>
        <w:rPr>
          <w:bCs/>
          <w:color w:val="000000"/>
        </w:rPr>
        <w:t>επιχείρηση</w:t>
      </w:r>
      <w:r>
        <w:rPr>
          <w:bCs/>
        </w:rPr>
        <w:t xml:space="preserve"> «ΕΞΕΛΙΞΗ» διαθέτει δύο βοηθητικά τµήµατα, το Α και το Β και δύο κύρια παραγωγικά τµήµατα, το Κ και το Λ. Η επιχείρηση έχει ως πάγια κοστολογική πολιτική να επανεπιµερίζει το κόστος των </w:t>
      </w:r>
      <w:r>
        <w:rPr>
          <w:bCs/>
          <w:color w:val="000000"/>
        </w:rPr>
        <w:t>βοηθητικών</w:t>
      </w:r>
      <w:r>
        <w:rPr>
          <w:bCs/>
        </w:rPr>
        <w:t xml:space="preserve"> παραγωγικών τµηµάτων στα κύρια ακολουθώντας την άµεση μέθοδο επανεπιµερισµού. Βάσει στατιστικών αναλύσεων και μετρήσεων έχει εκτιµηθεί ότι το Τµήµα Κ απορροφά το 70% του κόστους του Τµήµατος Α και το 25% του Τµήµατος Β. Το Τµήµα Λ απορροφά τα υπόλοιπο κόστος των δύο βοηθητικών τµηµάτων. Το κόστος των τµηµάτων Α και Β έχει προϋπολογιστεί σε €27.200 και € 54.400 αντίστοιχα. Το κόστος του τµήµατος Κ και του τµήµατος Λ πριν τον επανεπιµερισµό του κόστους των βοηθητικών τµηµάτων έχει προϋπολογιστεί σε € 40.000 και € 50.000 αντίστοιχα. Το κόστος του τµήµατος Κ και του τµήµατος Λ µετά τον επανεπιµερισµό του κόστους των βοηθητικών τµηµάτων ανέρχεται σε: </w:t>
      </w:r>
    </w:p>
    <w:p w:rsidR="002E4A13" w:rsidRDefault="002E4A13" w:rsidP="002E4A13">
      <w:pPr>
        <w:autoSpaceDE w:val="0"/>
        <w:autoSpaceDN w:val="0"/>
        <w:adjustRightInd w:val="0"/>
        <w:spacing w:after="0"/>
        <w:rPr>
          <w:bCs/>
        </w:rPr>
      </w:pPr>
    </w:p>
    <w:tbl>
      <w:tblPr>
        <w:tblW w:w="0" w:type="auto"/>
        <w:tblInd w:w="108" w:type="dxa"/>
        <w:tblLook w:val="04A0"/>
      </w:tblPr>
      <w:tblGrid>
        <w:gridCol w:w="514"/>
        <w:gridCol w:w="1141"/>
        <w:gridCol w:w="1142"/>
      </w:tblGrid>
      <w:tr w:rsidR="002E4A13" w:rsidTr="002E4A13">
        <w:tc>
          <w:tcPr>
            <w:tcW w:w="514" w:type="dxa"/>
          </w:tcPr>
          <w:p w:rsidR="002E4A13" w:rsidRDefault="002E4A13">
            <w:pPr>
              <w:autoSpaceDE w:val="0"/>
              <w:autoSpaceDN w:val="0"/>
              <w:adjustRightInd w:val="0"/>
              <w:spacing w:after="0"/>
              <w:jc w:val="both"/>
              <w:rPr>
                <w:bCs/>
              </w:rPr>
            </w:pPr>
          </w:p>
        </w:tc>
        <w:tc>
          <w:tcPr>
            <w:tcW w:w="1141" w:type="dxa"/>
            <w:hideMark/>
          </w:tcPr>
          <w:p w:rsidR="002E4A13" w:rsidRDefault="002E4A13">
            <w:pPr>
              <w:autoSpaceDE w:val="0"/>
              <w:autoSpaceDN w:val="0"/>
              <w:adjustRightInd w:val="0"/>
              <w:spacing w:after="0"/>
              <w:jc w:val="both"/>
              <w:rPr>
                <w:bCs/>
              </w:rPr>
            </w:pPr>
            <w:r>
              <w:rPr>
                <w:bCs/>
              </w:rPr>
              <w:t>Τμήμα Κ</w:t>
            </w:r>
          </w:p>
        </w:tc>
        <w:tc>
          <w:tcPr>
            <w:tcW w:w="1142" w:type="dxa"/>
            <w:hideMark/>
          </w:tcPr>
          <w:p w:rsidR="002E4A13" w:rsidRDefault="002E4A13">
            <w:pPr>
              <w:autoSpaceDE w:val="0"/>
              <w:autoSpaceDN w:val="0"/>
              <w:adjustRightInd w:val="0"/>
              <w:spacing w:after="0"/>
              <w:jc w:val="both"/>
              <w:rPr>
                <w:bCs/>
                <w:lang w:val="en-GB"/>
              </w:rPr>
            </w:pPr>
            <w:r>
              <w:rPr>
                <w:bCs/>
              </w:rPr>
              <w:t>Τμήμα Λ</w:t>
            </w:r>
          </w:p>
        </w:tc>
      </w:tr>
      <w:tr w:rsidR="002E4A13" w:rsidTr="002E4A13">
        <w:tc>
          <w:tcPr>
            <w:tcW w:w="514" w:type="dxa"/>
            <w:hideMark/>
          </w:tcPr>
          <w:p w:rsidR="002E4A13" w:rsidRDefault="002E4A13">
            <w:pPr>
              <w:autoSpaceDE w:val="0"/>
              <w:autoSpaceDN w:val="0"/>
              <w:adjustRightInd w:val="0"/>
              <w:spacing w:after="0"/>
              <w:jc w:val="both"/>
              <w:rPr>
                <w:bCs/>
              </w:rPr>
            </w:pPr>
            <w:r>
              <w:rPr>
                <w:bCs/>
              </w:rPr>
              <w:t>(α)</w:t>
            </w:r>
          </w:p>
        </w:tc>
        <w:tc>
          <w:tcPr>
            <w:tcW w:w="1141" w:type="dxa"/>
            <w:hideMark/>
          </w:tcPr>
          <w:p w:rsidR="002E4A13" w:rsidRDefault="002E4A13">
            <w:pPr>
              <w:autoSpaceDE w:val="0"/>
              <w:autoSpaceDN w:val="0"/>
              <w:adjustRightInd w:val="0"/>
              <w:spacing w:after="0"/>
              <w:jc w:val="both"/>
              <w:rPr>
                <w:bCs/>
              </w:rPr>
            </w:pPr>
            <w:r>
              <w:rPr>
                <w:bCs/>
              </w:rPr>
              <w:t>€59.040</w:t>
            </w:r>
          </w:p>
        </w:tc>
        <w:tc>
          <w:tcPr>
            <w:tcW w:w="1142" w:type="dxa"/>
            <w:hideMark/>
          </w:tcPr>
          <w:p w:rsidR="002E4A13" w:rsidRDefault="002E4A13">
            <w:pPr>
              <w:autoSpaceDE w:val="0"/>
              <w:autoSpaceDN w:val="0"/>
              <w:adjustRightInd w:val="0"/>
              <w:spacing w:after="0"/>
              <w:jc w:val="both"/>
              <w:rPr>
                <w:bCs/>
              </w:rPr>
            </w:pPr>
            <w:r>
              <w:rPr>
                <w:bCs/>
              </w:rPr>
              <w:t>€58.160</w:t>
            </w:r>
          </w:p>
        </w:tc>
      </w:tr>
      <w:tr w:rsidR="002E4A13" w:rsidTr="002E4A13">
        <w:tc>
          <w:tcPr>
            <w:tcW w:w="514" w:type="dxa"/>
            <w:hideMark/>
          </w:tcPr>
          <w:p w:rsidR="002E4A13" w:rsidRDefault="002E4A13">
            <w:pPr>
              <w:autoSpaceDE w:val="0"/>
              <w:autoSpaceDN w:val="0"/>
              <w:adjustRightInd w:val="0"/>
              <w:spacing w:after="0"/>
              <w:jc w:val="both"/>
              <w:rPr>
                <w:bCs/>
                <w:lang w:val="en-GB"/>
              </w:rPr>
            </w:pPr>
            <w:r>
              <w:rPr>
                <w:bCs/>
              </w:rPr>
              <w:t>(β)</w:t>
            </w:r>
          </w:p>
        </w:tc>
        <w:tc>
          <w:tcPr>
            <w:tcW w:w="1141" w:type="dxa"/>
            <w:hideMark/>
          </w:tcPr>
          <w:p w:rsidR="002E4A13" w:rsidRDefault="002E4A13">
            <w:pPr>
              <w:autoSpaceDE w:val="0"/>
              <w:autoSpaceDN w:val="0"/>
              <w:adjustRightInd w:val="0"/>
              <w:spacing w:after="0"/>
              <w:jc w:val="both"/>
              <w:rPr>
                <w:bCs/>
              </w:rPr>
            </w:pPr>
            <w:r>
              <w:rPr>
                <w:bCs/>
              </w:rPr>
              <w:t>€72.640</w:t>
            </w:r>
          </w:p>
        </w:tc>
        <w:tc>
          <w:tcPr>
            <w:tcW w:w="1142" w:type="dxa"/>
            <w:hideMark/>
          </w:tcPr>
          <w:p w:rsidR="002E4A13" w:rsidRDefault="002E4A13">
            <w:pPr>
              <w:autoSpaceDE w:val="0"/>
              <w:autoSpaceDN w:val="0"/>
              <w:adjustRightInd w:val="0"/>
              <w:spacing w:after="0"/>
              <w:jc w:val="both"/>
              <w:rPr>
                <w:bCs/>
              </w:rPr>
            </w:pPr>
            <w:r>
              <w:rPr>
                <w:bCs/>
              </w:rPr>
              <w:t>€98.960</w:t>
            </w:r>
          </w:p>
        </w:tc>
      </w:tr>
      <w:tr w:rsidR="002E4A13" w:rsidTr="002E4A13">
        <w:tc>
          <w:tcPr>
            <w:tcW w:w="514" w:type="dxa"/>
            <w:hideMark/>
          </w:tcPr>
          <w:p w:rsidR="002E4A13" w:rsidRDefault="002E4A13">
            <w:pPr>
              <w:autoSpaceDE w:val="0"/>
              <w:autoSpaceDN w:val="0"/>
              <w:adjustRightInd w:val="0"/>
              <w:spacing w:after="0"/>
              <w:jc w:val="both"/>
              <w:rPr>
                <w:bCs/>
                <w:lang w:val="en-GB"/>
              </w:rPr>
            </w:pPr>
            <w:r>
              <w:rPr>
                <w:bCs/>
              </w:rPr>
              <w:t>(γ)</w:t>
            </w:r>
          </w:p>
        </w:tc>
        <w:tc>
          <w:tcPr>
            <w:tcW w:w="1141" w:type="dxa"/>
            <w:hideMark/>
          </w:tcPr>
          <w:p w:rsidR="002E4A13" w:rsidRDefault="002E4A13">
            <w:pPr>
              <w:autoSpaceDE w:val="0"/>
              <w:autoSpaceDN w:val="0"/>
              <w:adjustRightInd w:val="0"/>
              <w:spacing w:after="0"/>
              <w:jc w:val="both"/>
              <w:rPr>
                <w:bCs/>
                <w:lang w:val="en-GB"/>
              </w:rPr>
            </w:pPr>
            <w:r>
              <w:rPr>
                <w:bCs/>
              </w:rPr>
              <w:t>€32.640</w:t>
            </w:r>
          </w:p>
        </w:tc>
        <w:tc>
          <w:tcPr>
            <w:tcW w:w="1142" w:type="dxa"/>
            <w:hideMark/>
          </w:tcPr>
          <w:p w:rsidR="002E4A13" w:rsidRDefault="002E4A13">
            <w:pPr>
              <w:autoSpaceDE w:val="0"/>
              <w:autoSpaceDN w:val="0"/>
              <w:adjustRightInd w:val="0"/>
              <w:spacing w:after="0"/>
              <w:jc w:val="both"/>
              <w:rPr>
                <w:bCs/>
              </w:rPr>
            </w:pPr>
            <w:r>
              <w:rPr>
                <w:bCs/>
              </w:rPr>
              <w:t>€48.960</w:t>
            </w:r>
          </w:p>
        </w:tc>
      </w:tr>
      <w:tr w:rsidR="002E4A13" w:rsidTr="002E4A13">
        <w:tc>
          <w:tcPr>
            <w:tcW w:w="514" w:type="dxa"/>
            <w:hideMark/>
          </w:tcPr>
          <w:p w:rsidR="002E4A13" w:rsidRDefault="002E4A13">
            <w:pPr>
              <w:autoSpaceDE w:val="0"/>
              <w:autoSpaceDN w:val="0"/>
              <w:adjustRightInd w:val="0"/>
              <w:spacing w:after="0"/>
              <w:jc w:val="both"/>
              <w:rPr>
                <w:bCs/>
                <w:lang w:val="en-GB"/>
              </w:rPr>
            </w:pPr>
            <w:r>
              <w:rPr>
                <w:bCs/>
              </w:rPr>
              <w:t>(δ)</w:t>
            </w:r>
          </w:p>
        </w:tc>
        <w:tc>
          <w:tcPr>
            <w:tcW w:w="1141" w:type="dxa"/>
            <w:hideMark/>
          </w:tcPr>
          <w:p w:rsidR="002E4A13" w:rsidRDefault="002E4A13">
            <w:pPr>
              <w:autoSpaceDE w:val="0"/>
              <w:autoSpaceDN w:val="0"/>
              <w:adjustRightInd w:val="0"/>
              <w:spacing w:after="0"/>
              <w:jc w:val="both"/>
              <w:rPr>
                <w:bCs/>
                <w:lang w:val="en-GB"/>
              </w:rPr>
            </w:pPr>
            <w:r>
              <w:rPr>
                <w:bCs/>
              </w:rPr>
              <w:t>€72.640</w:t>
            </w:r>
          </w:p>
        </w:tc>
        <w:tc>
          <w:tcPr>
            <w:tcW w:w="1142" w:type="dxa"/>
            <w:hideMark/>
          </w:tcPr>
          <w:p w:rsidR="002E4A13" w:rsidRDefault="002E4A13">
            <w:pPr>
              <w:autoSpaceDE w:val="0"/>
              <w:autoSpaceDN w:val="0"/>
              <w:adjustRightInd w:val="0"/>
              <w:spacing w:after="0"/>
              <w:jc w:val="both"/>
              <w:rPr>
                <w:bCs/>
              </w:rPr>
            </w:pPr>
            <w:r>
              <w:rPr>
                <w:bCs/>
              </w:rPr>
              <w:t>€90.800</w:t>
            </w:r>
          </w:p>
        </w:tc>
      </w:tr>
    </w:tbl>
    <w:p w:rsidR="002E4A13" w:rsidRDefault="002E4A13" w:rsidP="002E4A13">
      <w:pPr>
        <w:autoSpaceDE w:val="0"/>
        <w:autoSpaceDN w:val="0"/>
        <w:adjustRightInd w:val="0"/>
        <w:spacing w:after="0"/>
        <w:rPr>
          <w:bCs/>
          <w:color w:val="000000"/>
        </w:rPr>
      </w:pPr>
    </w:p>
    <w:p w:rsidR="002E4A13" w:rsidRDefault="002E4A13" w:rsidP="002E4A13">
      <w:pPr>
        <w:numPr>
          <w:ilvl w:val="0"/>
          <w:numId w:val="5"/>
        </w:numPr>
        <w:spacing w:after="0" w:line="240" w:lineRule="auto"/>
        <w:ind w:left="426" w:hanging="426"/>
        <w:jc w:val="both"/>
        <w:rPr>
          <w:bCs/>
        </w:rPr>
      </w:pPr>
      <w:r>
        <w:rPr>
          <w:bCs/>
          <w:color w:val="000000"/>
        </w:rPr>
        <w:t xml:space="preserve">Την 15.10.20Χ5, το απόθεμα των πρώτων υλών ανέρχεται σε </w:t>
      </w:r>
      <w:smartTag w:uri="urn:schemas-microsoft-com:office:smarttags" w:element="metricconverter">
        <w:smartTagPr>
          <w:attr w:name="ProductID" w:val="10 κιλά"/>
        </w:smartTagPr>
        <w:r>
          <w:rPr>
            <w:bCs/>
            <w:color w:val="000000"/>
          </w:rPr>
          <w:t>10 κιλά</w:t>
        </w:r>
      </w:smartTag>
      <w:r>
        <w:rPr>
          <w:bCs/>
          <w:color w:val="000000"/>
        </w:rPr>
        <w:t xml:space="preserve"> πρώτης ύλης Χ, κόστους € 10 το κιλό. Την 17/10 αγοράζονται </w:t>
      </w:r>
      <w:smartTag w:uri="urn:schemas-microsoft-com:office:smarttags" w:element="metricconverter">
        <w:smartTagPr>
          <w:attr w:name="ProductID" w:val="8 κιλά"/>
        </w:smartTagPr>
        <w:r>
          <w:rPr>
            <w:bCs/>
            <w:color w:val="000000"/>
          </w:rPr>
          <w:t>8 κιλά</w:t>
        </w:r>
      </w:smartTag>
      <w:r>
        <w:rPr>
          <w:bCs/>
          <w:color w:val="000000"/>
        </w:rPr>
        <w:t xml:space="preserve"> πρώτης ύλης Χ κόστους € 10,5 το κιλό ενώ στις 18/10 αναλώνονται  στην παραγωγή </w:t>
      </w:r>
      <w:smartTag w:uri="urn:schemas-microsoft-com:office:smarttags" w:element="metricconverter">
        <w:smartTagPr>
          <w:attr w:name="ProductID" w:val="16 κιλά"/>
        </w:smartTagPr>
        <w:r>
          <w:rPr>
            <w:bCs/>
            <w:color w:val="000000"/>
          </w:rPr>
          <w:t>16 κιλά</w:t>
        </w:r>
      </w:smartTag>
      <w:r>
        <w:rPr>
          <w:bCs/>
          <w:color w:val="000000"/>
        </w:rPr>
        <w:t xml:space="preserve"> πρώτης ύλης Χ. Ποιο είναι το κόστος της αναλωθείσας πρώτης ύλης Χ µε βάση τις μεθόδους FIFO, LIFO και Σταθμικού Μέσου Κόστους;</w:t>
      </w:r>
    </w:p>
    <w:p w:rsidR="002E4A13" w:rsidRDefault="002E4A13" w:rsidP="002E4A13">
      <w:pPr>
        <w:autoSpaceDE w:val="0"/>
        <w:autoSpaceDN w:val="0"/>
        <w:adjustRightInd w:val="0"/>
        <w:spacing w:after="0"/>
        <w:rPr>
          <w:bCs/>
        </w:rPr>
      </w:pPr>
    </w:p>
    <w:p w:rsidR="002E4A13" w:rsidRPr="002E4A13" w:rsidRDefault="002E4A13" w:rsidP="002E4A13">
      <w:pPr>
        <w:rPr>
          <w:sz w:val="24"/>
          <w:szCs w:val="20"/>
        </w:rPr>
      </w:pPr>
    </w:p>
    <w:p w:rsidR="002E4A13" w:rsidRPr="002E4A13" w:rsidRDefault="002E4A13" w:rsidP="002E4A13"/>
    <w:tbl>
      <w:tblPr>
        <w:tblW w:w="0" w:type="auto"/>
        <w:tblInd w:w="-34" w:type="dxa"/>
        <w:tblLook w:val="04A0"/>
      </w:tblPr>
      <w:tblGrid>
        <w:gridCol w:w="1811"/>
        <w:gridCol w:w="2045"/>
        <w:gridCol w:w="2350"/>
        <w:gridCol w:w="2350"/>
      </w:tblGrid>
      <w:tr w:rsidR="002E4A13" w:rsidTr="002E4A13">
        <w:tc>
          <w:tcPr>
            <w:tcW w:w="2270" w:type="dxa"/>
          </w:tcPr>
          <w:p w:rsidR="002E4A13" w:rsidRDefault="002E4A13">
            <w:pPr>
              <w:autoSpaceDE w:val="0"/>
              <w:autoSpaceDN w:val="0"/>
              <w:adjustRightInd w:val="0"/>
              <w:spacing w:after="0"/>
              <w:jc w:val="both"/>
              <w:rPr>
                <w:bCs/>
              </w:rPr>
            </w:pPr>
          </w:p>
        </w:tc>
        <w:tc>
          <w:tcPr>
            <w:tcW w:w="2519" w:type="dxa"/>
            <w:hideMark/>
          </w:tcPr>
          <w:p w:rsidR="002E4A13" w:rsidRDefault="002E4A13">
            <w:pPr>
              <w:autoSpaceDE w:val="0"/>
              <w:autoSpaceDN w:val="0"/>
              <w:adjustRightInd w:val="0"/>
              <w:spacing w:after="0"/>
              <w:jc w:val="both"/>
              <w:rPr>
                <w:bCs/>
                <w:lang w:val="en-GB"/>
              </w:rPr>
            </w:pPr>
            <w:r>
              <w:rPr>
                <w:bCs/>
                <w:lang w:val="en-GB"/>
              </w:rPr>
              <w:t>FIFO</w:t>
            </w:r>
          </w:p>
        </w:tc>
        <w:tc>
          <w:tcPr>
            <w:tcW w:w="2833" w:type="dxa"/>
            <w:hideMark/>
          </w:tcPr>
          <w:p w:rsidR="002E4A13" w:rsidRDefault="002E4A13">
            <w:pPr>
              <w:autoSpaceDE w:val="0"/>
              <w:autoSpaceDN w:val="0"/>
              <w:adjustRightInd w:val="0"/>
              <w:spacing w:after="0"/>
              <w:jc w:val="both"/>
              <w:rPr>
                <w:bCs/>
                <w:lang w:val="en-GB"/>
              </w:rPr>
            </w:pPr>
            <w:r>
              <w:rPr>
                <w:bCs/>
                <w:lang w:val="en-GB"/>
              </w:rPr>
              <w:t>LIFO</w:t>
            </w:r>
          </w:p>
        </w:tc>
        <w:tc>
          <w:tcPr>
            <w:tcW w:w="2833" w:type="dxa"/>
            <w:hideMark/>
          </w:tcPr>
          <w:p w:rsidR="002E4A13" w:rsidRDefault="002E4A13">
            <w:pPr>
              <w:autoSpaceDE w:val="0"/>
              <w:autoSpaceDN w:val="0"/>
              <w:adjustRightInd w:val="0"/>
              <w:spacing w:after="0"/>
              <w:jc w:val="both"/>
              <w:rPr>
                <w:bCs/>
              </w:rPr>
            </w:pPr>
            <w:r>
              <w:rPr>
                <w:bCs/>
              </w:rPr>
              <w:t>ΣΜΚ</w:t>
            </w:r>
          </w:p>
        </w:tc>
      </w:tr>
      <w:tr w:rsidR="002E4A13" w:rsidTr="002E4A13">
        <w:tc>
          <w:tcPr>
            <w:tcW w:w="2270" w:type="dxa"/>
            <w:hideMark/>
          </w:tcPr>
          <w:p w:rsidR="002E4A13" w:rsidRDefault="002E4A13">
            <w:pPr>
              <w:autoSpaceDE w:val="0"/>
              <w:autoSpaceDN w:val="0"/>
              <w:adjustRightInd w:val="0"/>
              <w:spacing w:after="0"/>
              <w:jc w:val="both"/>
              <w:rPr>
                <w:bCs/>
              </w:rPr>
            </w:pPr>
            <w:r>
              <w:rPr>
                <w:bCs/>
              </w:rPr>
              <w:t>(α)</w:t>
            </w:r>
          </w:p>
        </w:tc>
        <w:tc>
          <w:tcPr>
            <w:tcW w:w="2519" w:type="dxa"/>
            <w:hideMark/>
          </w:tcPr>
          <w:p w:rsidR="002E4A13" w:rsidRDefault="002E4A13">
            <w:pPr>
              <w:spacing w:after="0"/>
              <w:jc w:val="both"/>
            </w:pPr>
            <w:r>
              <w:t>€163</w:t>
            </w:r>
          </w:p>
        </w:tc>
        <w:tc>
          <w:tcPr>
            <w:tcW w:w="2833" w:type="dxa"/>
            <w:hideMark/>
          </w:tcPr>
          <w:p w:rsidR="002E4A13" w:rsidRDefault="002E4A13">
            <w:pPr>
              <w:spacing w:after="0"/>
              <w:jc w:val="both"/>
            </w:pPr>
            <w:r>
              <w:t>€163,52</w:t>
            </w:r>
          </w:p>
        </w:tc>
        <w:tc>
          <w:tcPr>
            <w:tcW w:w="2833" w:type="dxa"/>
            <w:hideMark/>
          </w:tcPr>
          <w:p w:rsidR="002E4A13" w:rsidRDefault="002E4A13">
            <w:pPr>
              <w:spacing w:after="0"/>
              <w:jc w:val="both"/>
            </w:pPr>
            <w:r>
              <w:t>€210</w:t>
            </w:r>
          </w:p>
        </w:tc>
      </w:tr>
      <w:tr w:rsidR="002E4A13" w:rsidTr="002E4A13">
        <w:tc>
          <w:tcPr>
            <w:tcW w:w="2270" w:type="dxa"/>
            <w:hideMark/>
          </w:tcPr>
          <w:p w:rsidR="002E4A13" w:rsidRDefault="002E4A13">
            <w:pPr>
              <w:autoSpaceDE w:val="0"/>
              <w:autoSpaceDN w:val="0"/>
              <w:adjustRightInd w:val="0"/>
              <w:spacing w:after="0"/>
              <w:jc w:val="both"/>
              <w:rPr>
                <w:bCs/>
              </w:rPr>
            </w:pPr>
            <w:r>
              <w:rPr>
                <w:bCs/>
              </w:rPr>
              <w:t>(β)</w:t>
            </w:r>
          </w:p>
        </w:tc>
        <w:tc>
          <w:tcPr>
            <w:tcW w:w="2519" w:type="dxa"/>
            <w:hideMark/>
          </w:tcPr>
          <w:p w:rsidR="002E4A13" w:rsidRDefault="002E4A13">
            <w:pPr>
              <w:spacing w:after="0"/>
              <w:jc w:val="both"/>
            </w:pPr>
            <w:r>
              <w:t>€163</w:t>
            </w:r>
          </w:p>
        </w:tc>
        <w:tc>
          <w:tcPr>
            <w:tcW w:w="2833" w:type="dxa"/>
            <w:hideMark/>
          </w:tcPr>
          <w:p w:rsidR="002E4A13" w:rsidRDefault="002E4A13">
            <w:pPr>
              <w:spacing w:after="0"/>
              <w:jc w:val="both"/>
            </w:pPr>
            <w:r>
              <w:t>€164</w:t>
            </w:r>
          </w:p>
        </w:tc>
        <w:tc>
          <w:tcPr>
            <w:tcW w:w="2833" w:type="dxa"/>
            <w:hideMark/>
          </w:tcPr>
          <w:p w:rsidR="002E4A13" w:rsidRDefault="002E4A13">
            <w:pPr>
              <w:spacing w:after="0"/>
              <w:jc w:val="both"/>
            </w:pPr>
            <w:r>
              <w:t>€163,52</w:t>
            </w:r>
          </w:p>
        </w:tc>
      </w:tr>
      <w:tr w:rsidR="002E4A13" w:rsidTr="002E4A13">
        <w:tc>
          <w:tcPr>
            <w:tcW w:w="2270" w:type="dxa"/>
            <w:hideMark/>
          </w:tcPr>
          <w:p w:rsidR="002E4A13" w:rsidRDefault="002E4A13">
            <w:pPr>
              <w:autoSpaceDE w:val="0"/>
              <w:autoSpaceDN w:val="0"/>
              <w:adjustRightInd w:val="0"/>
              <w:spacing w:after="0"/>
              <w:jc w:val="both"/>
              <w:rPr>
                <w:bCs/>
              </w:rPr>
            </w:pPr>
            <w:r>
              <w:rPr>
                <w:bCs/>
              </w:rPr>
              <w:t>(γ)</w:t>
            </w:r>
          </w:p>
        </w:tc>
        <w:tc>
          <w:tcPr>
            <w:tcW w:w="2519" w:type="dxa"/>
            <w:hideMark/>
          </w:tcPr>
          <w:p w:rsidR="002E4A13" w:rsidRDefault="002E4A13">
            <w:pPr>
              <w:spacing w:after="0"/>
              <w:jc w:val="both"/>
            </w:pPr>
            <w:r>
              <w:t>€163</w:t>
            </w:r>
          </w:p>
        </w:tc>
        <w:tc>
          <w:tcPr>
            <w:tcW w:w="2833" w:type="dxa"/>
            <w:hideMark/>
          </w:tcPr>
          <w:p w:rsidR="002E4A13" w:rsidRDefault="002E4A13">
            <w:pPr>
              <w:spacing w:after="0"/>
              <w:jc w:val="both"/>
            </w:pPr>
            <w:r>
              <w:t>€165</w:t>
            </w:r>
          </w:p>
        </w:tc>
        <w:tc>
          <w:tcPr>
            <w:tcW w:w="2833" w:type="dxa"/>
            <w:hideMark/>
          </w:tcPr>
          <w:p w:rsidR="002E4A13" w:rsidRDefault="002E4A13">
            <w:pPr>
              <w:spacing w:after="0"/>
              <w:jc w:val="both"/>
            </w:pPr>
            <w:r>
              <w:t>€164</w:t>
            </w:r>
          </w:p>
        </w:tc>
      </w:tr>
      <w:tr w:rsidR="002E4A13" w:rsidTr="002E4A13">
        <w:tc>
          <w:tcPr>
            <w:tcW w:w="2270" w:type="dxa"/>
            <w:hideMark/>
          </w:tcPr>
          <w:p w:rsidR="002E4A13" w:rsidRDefault="002E4A13">
            <w:pPr>
              <w:autoSpaceDE w:val="0"/>
              <w:autoSpaceDN w:val="0"/>
              <w:adjustRightInd w:val="0"/>
              <w:spacing w:after="0"/>
              <w:jc w:val="both"/>
              <w:rPr>
                <w:bCs/>
              </w:rPr>
            </w:pPr>
            <w:r>
              <w:rPr>
                <w:bCs/>
              </w:rPr>
              <w:t>(δ)</w:t>
            </w:r>
          </w:p>
        </w:tc>
        <w:tc>
          <w:tcPr>
            <w:tcW w:w="2519" w:type="dxa"/>
            <w:hideMark/>
          </w:tcPr>
          <w:p w:rsidR="002E4A13" w:rsidRDefault="002E4A13">
            <w:pPr>
              <w:spacing w:after="0"/>
              <w:jc w:val="both"/>
            </w:pPr>
            <w:r>
              <w:t>€164</w:t>
            </w:r>
          </w:p>
        </w:tc>
        <w:tc>
          <w:tcPr>
            <w:tcW w:w="2833" w:type="dxa"/>
            <w:hideMark/>
          </w:tcPr>
          <w:p w:rsidR="002E4A13" w:rsidRDefault="002E4A13">
            <w:pPr>
              <w:spacing w:after="0"/>
              <w:jc w:val="both"/>
            </w:pPr>
            <w:r>
              <w:t>€163</w:t>
            </w:r>
          </w:p>
        </w:tc>
        <w:tc>
          <w:tcPr>
            <w:tcW w:w="2833" w:type="dxa"/>
            <w:hideMark/>
          </w:tcPr>
          <w:p w:rsidR="002E4A13" w:rsidRDefault="002E4A13">
            <w:pPr>
              <w:spacing w:after="0"/>
              <w:jc w:val="both"/>
            </w:pPr>
            <w:r>
              <w:t>€163,52</w:t>
            </w:r>
          </w:p>
        </w:tc>
      </w:tr>
    </w:tbl>
    <w:p w:rsidR="002E4A13" w:rsidRDefault="002E4A13" w:rsidP="002E4A13">
      <w:pPr>
        <w:autoSpaceDE w:val="0"/>
        <w:autoSpaceDN w:val="0"/>
        <w:adjustRightInd w:val="0"/>
        <w:spacing w:after="0"/>
        <w:rPr>
          <w:bCs/>
        </w:rPr>
      </w:pPr>
    </w:p>
    <w:p w:rsidR="002E4A13" w:rsidRDefault="002E4A13" w:rsidP="002E4A13">
      <w:pPr>
        <w:tabs>
          <w:tab w:val="left" w:pos="284"/>
        </w:tabs>
        <w:spacing w:after="0"/>
      </w:pPr>
    </w:p>
    <w:p w:rsidR="002E4A13" w:rsidRDefault="002E4A13" w:rsidP="002E4A13">
      <w:pPr>
        <w:tabs>
          <w:tab w:val="num" w:pos="0"/>
          <w:tab w:val="left" w:pos="284"/>
        </w:tabs>
        <w:spacing w:after="0"/>
      </w:pPr>
    </w:p>
    <w:p w:rsidR="002E4A13" w:rsidRDefault="002E4A13" w:rsidP="002E4A13">
      <w:pPr>
        <w:tabs>
          <w:tab w:val="num" w:pos="0"/>
          <w:tab w:val="left" w:pos="284"/>
        </w:tabs>
        <w:spacing w:after="0"/>
      </w:pPr>
    </w:p>
    <w:p w:rsidR="002E4A13" w:rsidRDefault="002E4A13" w:rsidP="002E4A13">
      <w:pPr>
        <w:numPr>
          <w:ilvl w:val="0"/>
          <w:numId w:val="5"/>
        </w:numPr>
        <w:spacing w:after="0" w:line="240" w:lineRule="auto"/>
        <w:ind w:left="426" w:hanging="426"/>
        <w:jc w:val="both"/>
      </w:pPr>
      <w:r>
        <w:t>Η νεοϊδρυθείσα επιχείρηση LIFE παράγει ένα πρωτοποριακό προϊόν και εκτιμά ότι η ζήτηση, οι πωλήσεις και η κερδοφορία της θα αυξημένες στα πρώτα χρόνια κυκλοφορίας του προϊόντος με αναμενόμενη μείωση τα επόμενα χρόνια λόγω εισόδου στην αγορά αντίστοιχων προϊόντων από ανταγωνιστές. Ποια μέθοδο απόσβεσης των παγίων της πιστεύεται ότι πρέπει να εφαρμόσει η επιχείρηση για να εμφανίσει το μικρότερο δυνατό λογιστικό κέρδος και τη μικρότερη φορολογική επιβάρυνση στα πρώτα έτη λειτουργίας της.</w:t>
      </w:r>
    </w:p>
    <w:p w:rsidR="002E4A13" w:rsidRDefault="002E4A13" w:rsidP="002E4A13">
      <w:pPr>
        <w:tabs>
          <w:tab w:val="num" w:pos="0"/>
          <w:tab w:val="left" w:pos="284"/>
        </w:tabs>
        <w:spacing w:after="0"/>
      </w:pPr>
    </w:p>
    <w:p w:rsidR="002E4A13" w:rsidRDefault="002E4A13" w:rsidP="002E4A13">
      <w:pPr>
        <w:tabs>
          <w:tab w:val="num" w:pos="0"/>
          <w:tab w:val="left" w:pos="284"/>
        </w:tabs>
        <w:spacing w:after="0"/>
      </w:pPr>
      <w:r>
        <w:t>(α) Σταθερή</w:t>
      </w:r>
    </w:p>
    <w:p w:rsidR="002E4A13" w:rsidRDefault="002E4A13" w:rsidP="002E4A13">
      <w:pPr>
        <w:tabs>
          <w:tab w:val="num" w:pos="0"/>
          <w:tab w:val="left" w:pos="284"/>
        </w:tabs>
        <w:spacing w:after="0"/>
      </w:pPr>
      <w:r>
        <w:t>(β) Φθίνουσα</w:t>
      </w:r>
    </w:p>
    <w:p w:rsidR="002E4A13" w:rsidRDefault="002E4A13" w:rsidP="002E4A13">
      <w:pPr>
        <w:tabs>
          <w:tab w:val="num" w:pos="0"/>
          <w:tab w:val="left" w:pos="284"/>
        </w:tabs>
        <w:spacing w:after="0"/>
      </w:pPr>
      <w:r>
        <w:t>(γ) Αύξουσα</w:t>
      </w:r>
    </w:p>
    <w:p w:rsidR="002E4A13" w:rsidRDefault="002E4A13" w:rsidP="002E4A13">
      <w:pPr>
        <w:tabs>
          <w:tab w:val="num" w:pos="0"/>
          <w:tab w:val="left" w:pos="284"/>
        </w:tabs>
        <w:spacing w:after="0"/>
      </w:pPr>
      <w:r>
        <w:lastRenderedPageBreak/>
        <w:t>(δ) Όλες οι μέθοδοι θα δώσουν το ίδιο αποτέλεσμα</w:t>
      </w:r>
    </w:p>
    <w:p w:rsidR="002E4A13" w:rsidRDefault="002E4A13" w:rsidP="002E4A13">
      <w:pPr>
        <w:tabs>
          <w:tab w:val="num" w:pos="0"/>
          <w:tab w:val="left" w:pos="284"/>
        </w:tabs>
        <w:spacing w:after="0"/>
      </w:pPr>
    </w:p>
    <w:p w:rsidR="002E4A13" w:rsidRDefault="002E4A13" w:rsidP="002E4A13">
      <w:pPr>
        <w:numPr>
          <w:ilvl w:val="0"/>
          <w:numId w:val="5"/>
        </w:numPr>
        <w:spacing w:after="0" w:line="240" w:lineRule="auto"/>
        <w:ind w:left="426" w:hanging="426"/>
        <w:jc w:val="both"/>
      </w:pPr>
      <w:r>
        <w:t xml:space="preserve">Εάν μειωθεί το σταθερό κόστος παραγωγής και οι πωληθείσες μονάδες είναι ίσες με τις παραχθείσες μονάδες το αποτέλεσμα της χρήσεως, με βάση την οριακή κοστολόγηση, θα είναι: </w:t>
      </w:r>
    </w:p>
    <w:p w:rsidR="002E4A13" w:rsidRPr="002E4A13" w:rsidRDefault="002E4A13" w:rsidP="002E4A13">
      <w:pPr>
        <w:keepNext/>
        <w:tabs>
          <w:tab w:val="num" w:pos="0"/>
          <w:tab w:val="left" w:pos="284"/>
        </w:tabs>
        <w:spacing w:after="0"/>
      </w:pPr>
    </w:p>
    <w:p w:rsidR="002E4A13" w:rsidRDefault="002E4A13" w:rsidP="002E4A13">
      <w:pPr>
        <w:keepNext/>
        <w:tabs>
          <w:tab w:val="num" w:pos="0"/>
          <w:tab w:val="left" w:pos="284"/>
        </w:tabs>
        <w:spacing w:after="0"/>
      </w:pPr>
      <w:r>
        <w:t>(α) Αυξημένο</w:t>
      </w:r>
    </w:p>
    <w:p w:rsidR="002E4A13" w:rsidRDefault="002E4A13" w:rsidP="002E4A13">
      <w:pPr>
        <w:keepNext/>
        <w:tabs>
          <w:tab w:val="num" w:pos="0"/>
          <w:tab w:val="left" w:pos="284"/>
        </w:tabs>
        <w:spacing w:after="0"/>
      </w:pPr>
      <w:r>
        <w:t>(β) Μειωμένο</w:t>
      </w:r>
    </w:p>
    <w:p w:rsidR="002E4A13" w:rsidRDefault="002E4A13" w:rsidP="002E4A13">
      <w:pPr>
        <w:keepNext/>
        <w:tabs>
          <w:tab w:val="num" w:pos="0"/>
          <w:tab w:val="left" w:pos="284"/>
        </w:tabs>
        <w:spacing w:after="0"/>
      </w:pPr>
      <w:r>
        <w:t>(γ) το ίδιο</w:t>
      </w:r>
    </w:p>
    <w:p w:rsidR="002E4A13" w:rsidRDefault="002E4A13" w:rsidP="002E4A13">
      <w:pPr>
        <w:tabs>
          <w:tab w:val="num" w:pos="0"/>
          <w:tab w:val="left" w:pos="284"/>
        </w:tabs>
        <w:spacing w:after="0"/>
      </w:pPr>
      <w:r>
        <w:t>(δ) Δεν μπορώ να γνωρίζω</w:t>
      </w:r>
    </w:p>
    <w:p w:rsidR="002E4A13" w:rsidRDefault="002E4A13" w:rsidP="002E4A13">
      <w:pPr>
        <w:tabs>
          <w:tab w:val="num" w:pos="0"/>
          <w:tab w:val="left" w:pos="284"/>
        </w:tabs>
        <w:spacing w:after="0"/>
      </w:pPr>
    </w:p>
    <w:p w:rsidR="002E4A13" w:rsidRDefault="002E4A13" w:rsidP="002E4A13">
      <w:pPr>
        <w:numPr>
          <w:ilvl w:val="0"/>
          <w:numId w:val="5"/>
        </w:numPr>
        <w:spacing w:after="0" w:line="240" w:lineRule="auto"/>
        <w:ind w:left="426" w:hanging="426"/>
        <w:jc w:val="both"/>
      </w:pPr>
      <w:r>
        <w:t>Μια επιχείρηση κοστολογεί τα προϊόντα της με έναν συντελεστή καταλογισμού Γ.Β.Ε. με βάση τις ώρες λειτουργίας μηχανημάτων (ΩΛΜ) που έχει υπολογισθεί σε 10 €/ΩΛΜ. Η επιχείρηση ασχολήθηκε μόνο με την παραγγελία Νο 30. Οι προϋπολογισθείσες ΩΛΜ για την παραγγελία ήταν 50, ενώ οι πραγματικές ΩΛΜ 40. Τα πραγματικά Γ.Β.Ε. ανήλθαν σε € 510. Το κόστος πρώτων υλών ανήλθε σε € 200 και το κόστος αμέσων εργατικών σε €300. Ποιο είναι το κόστος της παραγγελίας Νο 30:</w:t>
      </w:r>
    </w:p>
    <w:p w:rsidR="002E4A13" w:rsidRDefault="002E4A13" w:rsidP="002E4A13">
      <w:pPr>
        <w:keepNext/>
        <w:tabs>
          <w:tab w:val="num" w:pos="0"/>
          <w:tab w:val="left" w:pos="284"/>
        </w:tabs>
        <w:spacing w:after="0"/>
      </w:pPr>
    </w:p>
    <w:p w:rsidR="002E4A13" w:rsidRDefault="002E4A13" w:rsidP="002E4A13">
      <w:pPr>
        <w:keepNext/>
        <w:tabs>
          <w:tab w:val="num" w:pos="0"/>
          <w:tab w:val="left" w:pos="284"/>
        </w:tabs>
        <w:spacing w:after="0"/>
      </w:pPr>
      <w:r>
        <w:t>(α) € 900</w:t>
      </w:r>
    </w:p>
    <w:p w:rsidR="002E4A13" w:rsidRDefault="002E4A13" w:rsidP="002E4A13">
      <w:pPr>
        <w:keepNext/>
        <w:tabs>
          <w:tab w:val="num" w:pos="0"/>
          <w:tab w:val="left" w:pos="284"/>
        </w:tabs>
        <w:spacing w:after="0"/>
      </w:pPr>
      <w:r>
        <w:t>(β) € 950</w:t>
      </w:r>
    </w:p>
    <w:p w:rsidR="002E4A13" w:rsidRDefault="002E4A13" w:rsidP="002E4A13">
      <w:pPr>
        <w:keepNext/>
        <w:tabs>
          <w:tab w:val="num" w:pos="0"/>
          <w:tab w:val="left" w:pos="284"/>
        </w:tabs>
        <w:spacing w:after="0"/>
      </w:pPr>
      <w:r>
        <w:t>(γ) € 1.010</w:t>
      </w:r>
    </w:p>
    <w:p w:rsidR="002E4A13" w:rsidRDefault="002E4A13" w:rsidP="002E4A13">
      <w:pPr>
        <w:tabs>
          <w:tab w:val="num" w:pos="0"/>
          <w:tab w:val="left" w:pos="284"/>
        </w:tabs>
        <w:spacing w:after="0"/>
      </w:pPr>
      <w:r>
        <w:t>(δ) Κανένα από τα παραπάνω</w:t>
      </w:r>
    </w:p>
    <w:p w:rsidR="002E4A13" w:rsidRDefault="002E4A13" w:rsidP="002E4A13">
      <w:pPr>
        <w:tabs>
          <w:tab w:val="num" w:pos="0"/>
          <w:tab w:val="left" w:pos="284"/>
        </w:tabs>
        <w:spacing w:after="0"/>
      </w:pPr>
    </w:p>
    <w:p w:rsidR="002E4A13" w:rsidRDefault="002E4A13" w:rsidP="002E4A13">
      <w:pPr>
        <w:numPr>
          <w:ilvl w:val="0"/>
          <w:numId w:val="5"/>
        </w:numPr>
        <w:spacing w:after="0" w:line="240" w:lineRule="auto"/>
        <w:ind w:left="426" w:hanging="426"/>
        <w:jc w:val="both"/>
      </w:pPr>
      <w:r>
        <w:t>Η επιχείρηση ΕΜΠΟΡΙΚΗ πούλησε εμπορεύματα κόστους € 50.000 συν ΦΠΑ 19% στον πελάτη ΖΗΤΑ με ετήσια πίστωση, από τον οποίον έλαβε γραμμάτιο, ονομαστικής αξίας Χ. Η επιβάρυνση του πελάτη για την πίστωση που έλαβε είναι 10% επί της τιμής πώλησης των εμπορευμάτων. Το μικτό κέρδος από τη συγκεκριμένη συναλλαγή ανέρχεται στο 30% του κόστους των πωληθέντων εμπορευμάτων. Ποια είναι η ονομαστική αξία του γραμματίου που έλαβε η ΕΜΠΟΡΙΚΗ;</w:t>
      </w:r>
    </w:p>
    <w:p w:rsidR="002E4A13" w:rsidRDefault="002E4A13" w:rsidP="002E4A13">
      <w:pPr>
        <w:tabs>
          <w:tab w:val="num" w:pos="0"/>
          <w:tab w:val="left" w:pos="284"/>
        </w:tabs>
        <w:spacing w:after="0"/>
      </w:pPr>
    </w:p>
    <w:p w:rsidR="002E4A13" w:rsidRDefault="002E4A13" w:rsidP="002E4A13">
      <w:pPr>
        <w:tabs>
          <w:tab w:val="num" w:pos="0"/>
          <w:tab w:val="left" w:pos="284"/>
        </w:tabs>
        <w:spacing w:after="0"/>
      </w:pPr>
      <w:r>
        <w:t>(α) € 85.085</w:t>
      </w:r>
    </w:p>
    <w:p w:rsidR="002E4A13" w:rsidRDefault="002E4A13" w:rsidP="002E4A13">
      <w:pPr>
        <w:tabs>
          <w:tab w:val="num" w:pos="0"/>
          <w:tab w:val="left" w:pos="284"/>
        </w:tabs>
        <w:spacing w:after="0"/>
      </w:pPr>
      <w:r>
        <w:t>(β) € 65.450</w:t>
      </w:r>
    </w:p>
    <w:p w:rsidR="002E4A13" w:rsidRDefault="002E4A13" w:rsidP="002E4A13">
      <w:pPr>
        <w:tabs>
          <w:tab w:val="num" w:pos="0"/>
          <w:tab w:val="left" w:pos="284"/>
        </w:tabs>
        <w:spacing w:after="0"/>
      </w:pPr>
      <w:r>
        <w:t>(γ) € 77.350</w:t>
      </w:r>
    </w:p>
    <w:p w:rsidR="002E4A13" w:rsidRDefault="002E4A13" w:rsidP="002E4A13">
      <w:pPr>
        <w:tabs>
          <w:tab w:val="num" w:pos="0"/>
          <w:tab w:val="left" w:pos="284"/>
        </w:tabs>
        <w:spacing w:after="0"/>
      </w:pPr>
      <w:r>
        <w:t>(δ) € 71.500</w:t>
      </w:r>
    </w:p>
    <w:p w:rsidR="002E4A13" w:rsidRDefault="002E4A13" w:rsidP="002E4A13">
      <w:pPr>
        <w:tabs>
          <w:tab w:val="num" w:pos="0"/>
          <w:tab w:val="left" w:pos="284"/>
        </w:tabs>
        <w:spacing w:after="0"/>
      </w:pPr>
    </w:p>
    <w:p w:rsidR="002E4A13" w:rsidRDefault="002E4A13" w:rsidP="002E4A13">
      <w:pPr>
        <w:tabs>
          <w:tab w:val="num" w:pos="0"/>
          <w:tab w:val="left" w:pos="284"/>
        </w:tabs>
        <w:spacing w:after="0"/>
      </w:pPr>
    </w:p>
    <w:p w:rsidR="002E4A13" w:rsidRDefault="002E4A13" w:rsidP="002E4A13">
      <w:pPr>
        <w:tabs>
          <w:tab w:val="num" w:pos="0"/>
        </w:tabs>
        <w:spacing w:after="0"/>
      </w:pPr>
    </w:p>
    <w:p w:rsidR="002E4A13" w:rsidRDefault="002E4A13" w:rsidP="002E4A13">
      <w:pPr>
        <w:numPr>
          <w:ilvl w:val="0"/>
          <w:numId w:val="5"/>
        </w:numPr>
        <w:spacing w:after="0" w:line="240" w:lineRule="auto"/>
        <w:ind w:left="426" w:hanging="426"/>
        <w:jc w:val="both"/>
      </w:pPr>
      <w:r>
        <w:t>Η επιχείρηση ΑΝΤΑΛΛΑΚΤΙΚΑ αγόρασε την 1/7/2008 εμπορεύματα αντί € 18.000 πλέον ΦΠΑ 19% με υπογραφή γραμματίων εξάμηνης διάρκειας και ονομαστικής αξίας € 21.420. Η τιμή τοις μετρητοίς είναι € 15.000. Με τι ποσό θα χρεωθεί ο λογαριασμός 20 Εμπορεύματα;</w:t>
      </w:r>
    </w:p>
    <w:p w:rsidR="002E4A13" w:rsidRDefault="002E4A13" w:rsidP="002E4A13">
      <w:pPr>
        <w:tabs>
          <w:tab w:val="num" w:pos="0"/>
        </w:tabs>
        <w:spacing w:after="0"/>
      </w:pPr>
    </w:p>
    <w:p w:rsidR="002E4A13" w:rsidRDefault="002E4A13" w:rsidP="002E4A13">
      <w:pPr>
        <w:tabs>
          <w:tab w:val="num" w:pos="0"/>
        </w:tabs>
        <w:spacing w:after="0"/>
      </w:pPr>
      <w:r>
        <w:t>(α) € 15.000</w:t>
      </w:r>
    </w:p>
    <w:p w:rsidR="002E4A13" w:rsidRDefault="002E4A13" w:rsidP="002E4A13">
      <w:pPr>
        <w:tabs>
          <w:tab w:val="num" w:pos="0"/>
        </w:tabs>
        <w:spacing w:after="0"/>
      </w:pPr>
      <w:r>
        <w:t>(β) € 17.850</w:t>
      </w:r>
    </w:p>
    <w:p w:rsidR="002E4A13" w:rsidRDefault="002E4A13" w:rsidP="002E4A13">
      <w:pPr>
        <w:tabs>
          <w:tab w:val="num" w:pos="0"/>
        </w:tabs>
        <w:spacing w:after="0"/>
      </w:pPr>
      <w:r>
        <w:t>(γ) € 21.420</w:t>
      </w:r>
    </w:p>
    <w:p w:rsidR="002E4A13" w:rsidRDefault="002E4A13" w:rsidP="002E4A13">
      <w:pPr>
        <w:tabs>
          <w:tab w:val="num" w:pos="0"/>
        </w:tabs>
        <w:spacing w:after="0"/>
      </w:pPr>
      <w:r>
        <w:t>(δ) € 18.000</w:t>
      </w:r>
    </w:p>
    <w:p w:rsidR="002E4A13" w:rsidRDefault="002E4A13" w:rsidP="002E4A13">
      <w:pPr>
        <w:tabs>
          <w:tab w:val="num" w:pos="0"/>
        </w:tabs>
        <w:spacing w:after="0"/>
        <w:rPr>
          <w:bCs/>
          <w:color w:val="000000"/>
        </w:rPr>
      </w:pPr>
    </w:p>
    <w:p w:rsidR="002E4A13" w:rsidRDefault="002E4A13" w:rsidP="002E4A13">
      <w:pPr>
        <w:pStyle w:val="Default"/>
        <w:tabs>
          <w:tab w:val="num" w:pos="0"/>
        </w:tabs>
        <w:rPr>
          <w:sz w:val="22"/>
          <w:szCs w:val="22"/>
        </w:rPr>
      </w:pPr>
    </w:p>
    <w:p w:rsidR="002E4A13" w:rsidRDefault="002E4A13" w:rsidP="002E4A13">
      <w:pPr>
        <w:tabs>
          <w:tab w:val="num" w:pos="0"/>
        </w:tabs>
        <w:autoSpaceDE w:val="0"/>
        <w:autoSpaceDN w:val="0"/>
        <w:adjustRightInd w:val="0"/>
        <w:spacing w:after="0"/>
        <w:rPr>
          <w:color w:val="000000"/>
        </w:rPr>
      </w:pPr>
    </w:p>
    <w:p w:rsidR="002E4A13" w:rsidRDefault="002E4A13" w:rsidP="002E4A13">
      <w:pPr>
        <w:numPr>
          <w:ilvl w:val="0"/>
          <w:numId w:val="5"/>
        </w:numPr>
        <w:spacing w:after="0" w:line="240" w:lineRule="auto"/>
        <w:ind w:left="426" w:hanging="426"/>
        <w:jc w:val="both"/>
      </w:pPr>
      <w:r>
        <w:rPr>
          <w:bCs/>
          <w:color w:val="000000"/>
        </w:rPr>
        <w:t>Από τα παρακάτω στοιχεία κόστους για την εκτύπωση ενός βιβλίου ποιο θεωρείτε ότι είναι Γενικό Βιομηχανικό Έξοδο;</w:t>
      </w:r>
      <w:r>
        <w:rPr>
          <w:color w:val="000000"/>
        </w:rPr>
        <w:t xml:space="preserve"> </w:t>
      </w:r>
    </w:p>
    <w:p w:rsidR="002E4A13" w:rsidRDefault="002E4A13" w:rsidP="002E4A13">
      <w:pPr>
        <w:tabs>
          <w:tab w:val="num" w:pos="0"/>
        </w:tabs>
        <w:spacing w:after="0"/>
      </w:pPr>
    </w:p>
    <w:p w:rsidR="002E4A13" w:rsidRDefault="002E4A13" w:rsidP="002E4A13">
      <w:pPr>
        <w:tabs>
          <w:tab w:val="num" w:pos="0"/>
        </w:tabs>
        <w:spacing w:after="0"/>
      </w:pPr>
      <w:r>
        <w:t xml:space="preserve">(α) </w:t>
      </w:r>
      <w:r>
        <w:rPr>
          <w:color w:val="000000"/>
        </w:rPr>
        <w:t>η αμοιβή του εργαζόμενου που χειρίζεται τη μηχανή εκτύπωσης</w:t>
      </w:r>
    </w:p>
    <w:p w:rsidR="002E4A13" w:rsidRDefault="002E4A13" w:rsidP="002E4A13">
      <w:pPr>
        <w:tabs>
          <w:tab w:val="num" w:pos="0"/>
        </w:tabs>
        <w:autoSpaceDE w:val="0"/>
        <w:autoSpaceDN w:val="0"/>
        <w:adjustRightInd w:val="0"/>
        <w:spacing w:after="0"/>
        <w:rPr>
          <w:color w:val="000000"/>
        </w:rPr>
      </w:pPr>
      <w:r>
        <w:rPr>
          <w:color w:val="000000"/>
        </w:rPr>
        <w:t xml:space="preserve">(β) το κόστος του χαρτιού </w:t>
      </w:r>
    </w:p>
    <w:p w:rsidR="002E4A13" w:rsidRDefault="002E4A13" w:rsidP="002E4A13">
      <w:pPr>
        <w:tabs>
          <w:tab w:val="num" w:pos="0"/>
        </w:tabs>
        <w:autoSpaceDE w:val="0"/>
        <w:autoSpaceDN w:val="0"/>
        <w:adjustRightInd w:val="0"/>
        <w:spacing w:after="0"/>
        <w:rPr>
          <w:color w:val="000000"/>
        </w:rPr>
      </w:pPr>
      <w:r>
        <w:rPr>
          <w:color w:val="000000"/>
        </w:rPr>
        <w:t>(γ) η αμοιβή του διευθυντή πωλήσεων του τυπογραφείου</w:t>
      </w:r>
    </w:p>
    <w:p w:rsidR="002E4A13" w:rsidRDefault="002E4A13" w:rsidP="002E4A13">
      <w:pPr>
        <w:tabs>
          <w:tab w:val="num" w:pos="0"/>
        </w:tabs>
        <w:spacing w:after="0"/>
        <w:rPr>
          <w:color w:val="000000"/>
        </w:rPr>
      </w:pPr>
      <w:r>
        <w:rPr>
          <w:color w:val="000000"/>
        </w:rPr>
        <w:t>(δ) το κόστος της κόλας που χρησιμοποιείται για τη βιβλιοδεσία</w:t>
      </w:r>
    </w:p>
    <w:p w:rsidR="002E4A13" w:rsidRDefault="002E4A13" w:rsidP="002E4A13">
      <w:pPr>
        <w:tabs>
          <w:tab w:val="num" w:pos="0"/>
        </w:tabs>
        <w:spacing w:after="0"/>
        <w:rPr>
          <w:color w:val="000000"/>
        </w:rPr>
      </w:pPr>
    </w:p>
    <w:p w:rsidR="002E4A13" w:rsidRDefault="002E4A13" w:rsidP="002E4A13">
      <w:pPr>
        <w:tabs>
          <w:tab w:val="num" w:pos="0"/>
        </w:tabs>
        <w:spacing w:after="0"/>
      </w:pPr>
    </w:p>
    <w:p w:rsidR="002E4A13" w:rsidRDefault="002E4A13" w:rsidP="002E4A13">
      <w:pPr>
        <w:tabs>
          <w:tab w:val="num" w:pos="0"/>
        </w:tabs>
        <w:spacing w:after="0"/>
      </w:pPr>
    </w:p>
    <w:p w:rsidR="002E4A13" w:rsidRDefault="002E4A13" w:rsidP="002E4A13">
      <w:pPr>
        <w:tabs>
          <w:tab w:val="num" w:pos="0"/>
        </w:tabs>
        <w:spacing w:after="0"/>
      </w:pPr>
    </w:p>
    <w:p w:rsidR="002E4A13" w:rsidRDefault="002E4A13" w:rsidP="002E4A13">
      <w:pPr>
        <w:numPr>
          <w:ilvl w:val="0"/>
          <w:numId w:val="5"/>
        </w:numPr>
        <w:spacing w:after="0" w:line="240" w:lineRule="auto"/>
        <w:ind w:left="426" w:hanging="426"/>
        <w:jc w:val="both"/>
      </w:pPr>
      <w:r>
        <w:t xml:space="preserve">Σε μια επιχείρηση καταλογίσθηκαν Γ.Β.Ε. στα προϊόντα που παράχθηκαν κατά τη διάρκεια μιας περιόδου ύψους </w:t>
      </w:r>
      <w:r>
        <w:rPr>
          <w:bCs/>
          <w:color w:val="000000"/>
        </w:rPr>
        <w:t>120</w:t>
      </w:r>
      <w:r>
        <w:t>.100 €. Τα πραγματικά Γ.Β.Ε. της περιόδου ανήλθαν σε 120.000 €. Για την τακτοποίηση της διαφοράς καταλογισμού στο τέλος της περιόδου μπορεί να γίνει η ακόλουθη εγγραφή:</w:t>
      </w:r>
    </w:p>
    <w:p w:rsidR="002E4A13" w:rsidRDefault="002E4A13" w:rsidP="002E4A13">
      <w:pPr>
        <w:keepNext/>
        <w:spacing w:after="0"/>
        <w:rPr>
          <w:b/>
        </w:rPr>
      </w:pPr>
    </w:p>
    <w:p w:rsidR="002E4A13" w:rsidRDefault="002E4A13" w:rsidP="002E4A13">
      <w:pPr>
        <w:keepNext/>
        <w:tabs>
          <w:tab w:val="left" w:pos="988"/>
        </w:tabs>
        <w:spacing w:after="0"/>
      </w:pPr>
      <w:r>
        <w:t xml:space="preserve">(α) Γ.Β.Ε. καταλογισμένα </w:t>
      </w:r>
      <w:r>
        <w:rPr>
          <w:b/>
        </w:rPr>
        <w:tab/>
        <w:t xml:space="preserve">       </w:t>
      </w:r>
      <w:r>
        <w:t xml:space="preserve">100 </w:t>
      </w:r>
    </w:p>
    <w:p w:rsidR="002E4A13" w:rsidRDefault="002E4A13" w:rsidP="002E4A13">
      <w:pPr>
        <w:keepNext/>
        <w:tabs>
          <w:tab w:val="left" w:pos="988"/>
          <w:tab w:val="left" w:pos="3317"/>
          <w:tab w:val="left" w:pos="4309"/>
        </w:tabs>
        <w:spacing w:after="0"/>
      </w:pPr>
      <w:r>
        <w:rPr>
          <w:b/>
        </w:rPr>
        <w:tab/>
      </w:r>
      <w:r>
        <w:t xml:space="preserve">Γ.Β.Ε. </w:t>
      </w:r>
      <w:r>
        <w:rPr>
          <w:b/>
        </w:rPr>
        <w:tab/>
      </w:r>
      <w:r>
        <w:rPr>
          <w:b/>
        </w:rPr>
        <w:tab/>
      </w:r>
      <w:r>
        <w:rPr>
          <w:b/>
        </w:rPr>
        <w:tab/>
      </w:r>
      <w:r>
        <w:t xml:space="preserve">100 </w:t>
      </w:r>
    </w:p>
    <w:p w:rsidR="002E4A13" w:rsidRDefault="002E4A13" w:rsidP="002E4A13">
      <w:pPr>
        <w:keepNext/>
        <w:tabs>
          <w:tab w:val="left" w:pos="988"/>
        </w:tabs>
        <w:spacing w:after="0"/>
      </w:pPr>
      <w:r>
        <w:t xml:space="preserve">(β) Γ.Β.Ε. καταλογισμένα </w:t>
      </w:r>
      <w:r>
        <w:rPr>
          <w:b/>
        </w:rPr>
        <w:tab/>
      </w:r>
      <w:r>
        <w:t xml:space="preserve">120.100 </w:t>
      </w:r>
    </w:p>
    <w:p w:rsidR="002E4A13" w:rsidRDefault="002E4A13" w:rsidP="002E4A13">
      <w:pPr>
        <w:keepNext/>
        <w:tabs>
          <w:tab w:val="left" w:pos="988"/>
          <w:tab w:val="left" w:pos="3317"/>
          <w:tab w:val="left" w:pos="4309"/>
        </w:tabs>
        <w:spacing w:after="0"/>
      </w:pPr>
      <w:r>
        <w:rPr>
          <w:b/>
        </w:rPr>
        <w:tab/>
      </w:r>
      <w:r>
        <w:t xml:space="preserve">Γ.Β.Ε. </w:t>
      </w:r>
      <w:r>
        <w:rPr>
          <w:b/>
        </w:rPr>
        <w:tab/>
      </w:r>
      <w:r>
        <w:rPr>
          <w:b/>
        </w:rPr>
        <w:tab/>
      </w:r>
      <w:r>
        <w:rPr>
          <w:b/>
        </w:rPr>
        <w:tab/>
      </w:r>
      <w:r>
        <w:t>120.000</w:t>
      </w:r>
    </w:p>
    <w:p w:rsidR="002E4A13" w:rsidRDefault="002E4A13" w:rsidP="002E4A13">
      <w:pPr>
        <w:keepNext/>
        <w:tabs>
          <w:tab w:val="left" w:pos="988"/>
          <w:tab w:val="left" w:pos="3317"/>
          <w:tab w:val="left" w:pos="4309"/>
        </w:tabs>
        <w:spacing w:after="0"/>
      </w:pPr>
      <w:r>
        <w:t xml:space="preserve"> </w:t>
      </w:r>
      <w:r>
        <w:tab/>
        <w:t xml:space="preserve">Κόστος Πωληθέντων </w:t>
      </w:r>
      <w:r>
        <w:tab/>
      </w:r>
      <w:r>
        <w:tab/>
      </w:r>
      <w:r w:rsidRPr="002E4A13">
        <w:t xml:space="preserve">       </w:t>
      </w:r>
      <w:r>
        <w:t xml:space="preserve">100 </w:t>
      </w:r>
    </w:p>
    <w:p w:rsidR="002E4A13" w:rsidRDefault="002E4A13" w:rsidP="002E4A13">
      <w:pPr>
        <w:keepNext/>
        <w:tabs>
          <w:tab w:val="left" w:pos="988"/>
        </w:tabs>
        <w:spacing w:after="0"/>
      </w:pPr>
      <w:r>
        <w:t xml:space="preserve">(γ) Γ.Β.Ε. καταλογισμένα </w:t>
      </w:r>
      <w:r>
        <w:rPr>
          <w:b/>
        </w:rPr>
        <w:tab/>
      </w:r>
      <w:r>
        <w:t>120.000</w:t>
      </w:r>
    </w:p>
    <w:p w:rsidR="002E4A13" w:rsidRDefault="002E4A13" w:rsidP="002E4A13">
      <w:pPr>
        <w:keepNext/>
        <w:tabs>
          <w:tab w:val="left" w:pos="284"/>
          <w:tab w:val="left" w:pos="988"/>
          <w:tab w:val="left" w:pos="3317"/>
          <w:tab w:val="left" w:pos="4309"/>
        </w:tabs>
        <w:spacing w:after="0"/>
      </w:pPr>
      <w:r>
        <w:tab/>
        <w:t xml:space="preserve">Κόστος Πωληθέντων </w:t>
      </w:r>
      <w:r>
        <w:rPr>
          <w:b/>
        </w:rPr>
        <w:tab/>
      </w:r>
      <w:r>
        <w:t xml:space="preserve">100 </w:t>
      </w:r>
    </w:p>
    <w:p w:rsidR="002E4A13" w:rsidRDefault="002E4A13" w:rsidP="002E4A13">
      <w:pPr>
        <w:keepNext/>
        <w:tabs>
          <w:tab w:val="left" w:pos="988"/>
          <w:tab w:val="left" w:pos="3317"/>
          <w:tab w:val="left" w:pos="4309"/>
        </w:tabs>
        <w:spacing w:after="0"/>
      </w:pPr>
      <w:r>
        <w:rPr>
          <w:b/>
        </w:rPr>
        <w:tab/>
      </w:r>
      <w:r>
        <w:t xml:space="preserve">Γ.Β.Ε. </w:t>
      </w:r>
      <w:r>
        <w:rPr>
          <w:b/>
        </w:rPr>
        <w:tab/>
      </w:r>
      <w:r>
        <w:rPr>
          <w:b/>
        </w:rPr>
        <w:tab/>
      </w:r>
      <w:r>
        <w:rPr>
          <w:b/>
        </w:rPr>
        <w:tab/>
      </w:r>
      <w:r>
        <w:t xml:space="preserve">120.100 </w:t>
      </w:r>
    </w:p>
    <w:p w:rsidR="002E4A13" w:rsidRDefault="002E4A13" w:rsidP="002E4A13">
      <w:pPr>
        <w:tabs>
          <w:tab w:val="left" w:pos="988"/>
        </w:tabs>
        <w:spacing w:after="0"/>
        <w:rPr>
          <w:b/>
        </w:rPr>
      </w:pPr>
      <w:r>
        <w:t>(δ). Κανένα από τα παραπάνω</w:t>
      </w:r>
    </w:p>
    <w:p w:rsidR="002E4A13" w:rsidRDefault="002E4A13" w:rsidP="002E4A13">
      <w:pPr>
        <w:keepNext/>
        <w:spacing w:after="0"/>
      </w:pPr>
      <w:r>
        <w:rPr>
          <w:highlight w:val="yellow"/>
        </w:rPr>
        <w:t xml:space="preserve"> </w:t>
      </w:r>
    </w:p>
    <w:p w:rsidR="002E4A13" w:rsidRDefault="002E4A13" w:rsidP="002E4A13">
      <w:pPr>
        <w:numPr>
          <w:ilvl w:val="0"/>
          <w:numId w:val="5"/>
        </w:numPr>
        <w:spacing w:after="0" w:line="240" w:lineRule="auto"/>
        <w:ind w:left="426" w:hanging="426"/>
        <w:jc w:val="both"/>
      </w:pPr>
      <w:r>
        <w:t xml:space="preserve">Μια επιχείρηση χρησιμοποιεί για την αποτίμηση των αποθεμάτων της τη Μέθοδο </w:t>
      </w:r>
      <w:r>
        <w:rPr>
          <w:lang w:val="en-US"/>
        </w:rPr>
        <w:t>LIFO</w:t>
      </w:r>
      <w:r>
        <w:t xml:space="preserve">. Προμηθεύτηκε πρώτη ύλη ως </w:t>
      </w:r>
      <w:r>
        <w:rPr>
          <w:bCs/>
          <w:color w:val="000000"/>
        </w:rPr>
        <w:t>εξής</w:t>
      </w:r>
      <w:r>
        <w:t xml:space="preserve">: την 3/6/2006 </w:t>
      </w:r>
      <w:smartTag w:uri="urn:schemas-microsoft-com:office:smarttags" w:element="metricconverter">
        <w:smartTagPr>
          <w:attr w:name="ProductID" w:val="1.000 Kg"/>
        </w:smartTagPr>
        <w:r>
          <w:t xml:space="preserve">1.000 </w:t>
        </w:r>
        <w:r>
          <w:rPr>
            <w:lang w:val="en-US"/>
          </w:rPr>
          <w:t>Kg</w:t>
        </w:r>
      </w:smartTag>
      <w:r>
        <w:t xml:space="preserve"> στην τιμή των 4 €/</w:t>
      </w:r>
      <w:r>
        <w:rPr>
          <w:lang w:val="en-US"/>
        </w:rPr>
        <w:t>Kg</w:t>
      </w:r>
      <w:r>
        <w:t xml:space="preserve"> , την 2/7/2006 </w:t>
      </w:r>
      <w:smartTag w:uri="urn:schemas-microsoft-com:office:smarttags" w:element="metricconverter">
        <w:smartTagPr>
          <w:attr w:name="ProductID" w:val="1.500 Kg"/>
        </w:smartTagPr>
        <w:r>
          <w:t xml:space="preserve">1.500 </w:t>
        </w:r>
        <w:r>
          <w:rPr>
            <w:lang w:val="en-US"/>
          </w:rPr>
          <w:t>Kg</w:t>
        </w:r>
      </w:smartTag>
      <w:r>
        <w:t xml:space="preserve"> στην τιμή των 4,1 €/</w:t>
      </w:r>
      <w:r>
        <w:rPr>
          <w:lang w:val="en-US"/>
        </w:rPr>
        <w:t>Kg</w:t>
      </w:r>
      <w:r>
        <w:t xml:space="preserve"> και την 4/7/2006 </w:t>
      </w:r>
      <w:smartTag w:uri="urn:schemas-microsoft-com:office:smarttags" w:element="metricconverter">
        <w:smartTagPr>
          <w:attr w:name="ProductID" w:val="500 Kg"/>
        </w:smartTagPr>
        <w:r>
          <w:t xml:space="preserve">500 </w:t>
        </w:r>
        <w:r>
          <w:rPr>
            <w:lang w:val="en-US"/>
          </w:rPr>
          <w:t>Kg</w:t>
        </w:r>
      </w:smartTag>
      <w:r>
        <w:t xml:space="preserve"> στην τιμή των 4,2 €/</w:t>
      </w:r>
      <w:r>
        <w:rPr>
          <w:lang w:val="en-US"/>
        </w:rPr>
        <w:t>Kg</w:t>
      </w:r>
      <w:r>
        <w:t xml:space="preserve">. Για την εκτέλεση της Παραγγελίας 111 χορηγήθηκαν από την αποθήκη την 3/7/2006 </w:t>
      </w:r>
      <w:smartTag w:uri="urn:schemas-microsoft-com:office:smarttags" w:element="metricconverter">
        <w:smartTagPr>
          <w:attr w:name="ProductID" w:val="1.000 Kg"/>
        </w:smartTagPr>
        <w:r>
          <w:t>1.000 Kg</w:t>
        </w:r>
      </w:smartTag>
      <w:r>
        <w:t xml:space="preserve"> πρώτης ύλης. Ποιο είναι το κόστος Άμεσων Υλικών της Παραγγελίας 111;</w:t>
      </w:r>
    </w:p>
    <w:p w:rsidR="002E4A13" w:rsidRDefault="002E4A13" w:rsidP="002E4A13">
      <w:pPr>
        <w:keepNext/>
        <w:tabs>
          <w:tab w:val="left" w:pos="988"/>
        </w:tabs>
        <w:spacing w:after="0"/>
      </w:pPr>
    </w:p>
    <w:p w:rsidR="002E4A13" w:rsidRDefault="002E4A13" w:rsidP="002E4A13">
      <w:pPr>
        <w:keepNext/>
        <w:tabs>
          <w:tab w:val="left" w:pos="988"/>
        </w:tabs>
        <w:spacing w:after="0"/>
      </w:pPr>
      <w:r>
        <w:t>(α) € 4.000</w:t>
      </w:r>
    </w:p>
    <w:p w:rsidR="002E4A13" w:rsidRDefault="002E4A13" w:rsidP="002E4A13">
      <w:pPr>
        <w:keepNext/>
        <w:tabs>
          <w:tab w:val="left" w:pos="988"/>
        </w:tabs>
        <w:spacing w:after="0"/>
      </w:pPr>
      <w:r>
        <w:t>(β) € 4.100</w:t>
      </w:r>
    </w:p>
    <w:p w:rsidR="002E4A13" w:rsidRDefault="002E4A13" w:rsidP="002E4A13">
      <w:pPr>
        <w:keepNext/>
        <w:tabs>
          <w:tab w:val="left" w:pos="988"/>
        </w:tabs>
        <w:spacing w:after="0"/>
      </w:pPr>
      <w:r>
        <w:t>(γ) € 4.150</w:t>
      </w:r>
    </w:p>
    <w:p w:rsidR="002E4A13" w:rsidRDefault="002E4A13" w:rsidP="002E4A13">
      <w:pPr>
        <w:spacing w:after="0"/>
      </w:pPr>
      <w:r>
        <w:t>(δ) Απαιτείται επιπλέον πληροφορία</w:t>
      </w:r>
    </w:p>
    <w:p w:rsidR="002E4A13" w:rsidRDefault="002E4A13" w:rsidP="002E4A13">
      <w:pPr>
        <w:spacing w:after="0"/>
      </w:pPr>
    </w:p>
    <w:p w:rsidR="002E4A13" w:rsidRDefault="002E4A13" w:rsidP="002E4A13">
      <w:pPr>
        <w:numPr>
          <w:ilvl w:val="0"/>
          <w:numId w:val="5"/>
        </w:numPr>
        <w:spacing w:after="0" w:line="240" w:lineRule="auto"/>
        <w:ind w:left="426" w:hanging="426"/>
        <w:jc w:val="both"/>
      </w:pPr>
      <w:r>
        <w:t xml:space="preserve">Μια επιχείρηση κοστολογεί τα προϊόντα της με έναν συντελεστή καταλογισμού Γ.Β.Ε. με βάση τις ώρες λειτουργίας </w:t>
      </w:r>
      <w:r>
        <w:rPr>
          <w:bCs/>
          <w:color w:val="000000"/>
        </w:rPr>
        <w:t>μηχανημάτων</w:t>
      </w:r>
      <w:r>
        <w:t xml:space="preserve"> (ΩΛΜ) που έχει υπολογισθεί σε 5 €/ΩΛΜ. Η επιχείρηση ασχολήθηκε μόνο με την παραγγελία Νο 44. Οι προϋπολογισθείσες ΩΛΜ για την παραγγελία ήταν 110, ενώ οι πραγματικές ΩΛΜ 100. Τα πραγματικά Γ.Β.Ε. ανήλθαν σε € 510. Το κόστος πρώτων υλών ανήλθε σε € 200 και το κόστος αμέσων εργατικών σε €300. Ποιο είναι το κόστος της παραγγελίας Νο 44:</w:t>
      </w:r>
    </w:p>
    <w:p w:rsidR="002E4A13" w:rsidRDefault="002E4A13" w:rsidP="002E4A13">
      <w:pPr>
        <w:keepNext/>
        <w:tabs>
          <w:tab w:val="num" w:pos="0"/>
          <w:tab w:val="left" w:pos="988"/>
        </w:tabs>
        <w:spacing w:after="0"/>
      </w:pPr>
    </w:p>
    <w:p w:rsidR="002E4A13" w:rsidRDefault="002E4A13" w:rsidP="002E4A13">
      <w:pPr>
        <w:keepNext/>
        <w:tabs>
          <w:tab w:val="num" w:pos="0"/>
          <w:tab w:val="left" w:pos="988"/>
        </w:tabs>
        <w:spacing w:after="0"/>
      </w:pPr>
      <w:r>
        <w:t>(α) € 1.000</w:t>
      </w:r>
    </w:p>
    <w:p w:rsidR="002E4A13" w:rsidRDefault="002E4A13" w:rsidP="002E4A13">
      <w:pPr>
        <w:keepNext/>
        <w:tabs>
          <w:tab w:val="num" w:pos="0"/>
          <w:tab w:val="left" w:pos="988"/>
        </w:tabs>
        <w:spacing w:after="0"/>
      </w:pPr>
      <w:r>
        <w:t>(β) € 1.010</w:t>
      </w:r>
    </w:p>
    <w:p w:rsidR="002E4A13" w:rsidRDefault="002E4A13" w:rsidP="002E4A13">
      <w:pPr>
        <w:keepNext/>
        <w:tabs>
          <w:tab w:val="num" w:pos="0"/>
          <w:tab w:val="left" w:pos="988"/>
        </w:tabs>
        <w:spacing w:after="0"/>
      </w:pPr>
      <w:r>
        <w:t>(γ) € 1.050</w:t>
      </w:r>
    </w:p>
    <w:p w:rsidR="002E4A13" w:rsidRDefault="002E4A13" w:rsidP="002E4A13">
      <w:pPr>
        <w:tabs>
          <w:tab w:val="num" w:pos="0"/>
          <w:tab w:val="left" w:pos="988"/>
        </w:tabs>
        <w:spacing w:after="0"/>
      </w:pPr>
      <w:r>
        <w:t>(δ) Κανένα από τα παραπάνω</w:t>
      </w:r>
    </w:p>
    <w:p w:rsidR="001C1C70" w:rsidRDefault="001C1C70" w:rsidP="001C1C70">
      <w:pPr>
        <w:spacing w:line="10" w:lineRule="atLeast"/>
        <w:jc w:val="both"/>
        <w:rPr>
          <w:rFonts w:ascii="Arial" w:hAnsi="Arial" w:cs="Arial"/>
          <w:b/>
        </w:rPr>
      </w:pPr>
      <w:r>
        <w:rPr>
          <w:rFonts w:ascii="Arial" w:hAnsi="Arial" w:cs="Arial"/>
          <w:b/>
        </w:rPr>
        <w:t>1</w:t>
      </w:r>
      <w:r w:rsidRPr="001C1C70">
        <w:rPr>
          <w:rFonts w:ascii="Arial" w:hAnsi="Arial" w:cs="Arial"/>
          <w:b/>
        </w:rPr>
        <w:t>4</w:t>
      </w:r>
      <w:r>
        <w:rPr>
          <w:rFonts w:ascii="Arial" w:hAnsi="Arial" w:cs="Arial"/>
          <w:b/>
        </w:rPr>
        <w:t>. Η επιχείρηση Μ πραγματοποίησε ΓΒΕ αξίας € 200  κατά τη διάρκεια του Απριλίου 2012. Λαμβάνοντας υπόψη ότι τα ΓΒΕ καταλογίζονται με συντελεστή €2 / ΩΑΕ, ότι οι ΩΑΕ ανήλθαν σε 150 και οι προϋπολογισμένες  ΩΑΕ είναι 170, ποια είναι η διαφορά καταλογισμού που εντοπίστηκε στην επιχείρηση στο τέλος του μήνα:</w:t>
      </w:r>
    </w:p>
    <w:p w:rsidR="001C1C70" w:rsidRDefault="001C1C70" w:rsidP="001C1C70">
      <w:pPr>
        <w:spacing w:line="10" w:lineRule="atLeast"/>
        <w:jc w:val="both"/>
        <w:rPr>
          <w:rFonts w:ascii="Arial" w:hAnsi="Arial" w:cs="Arial"/>
        </w:rPr>
      </w:pPr>
      <w:r>
        <w:rPr>
          <w:rFonts w:ascii="Arial" w:hAnsi="Arial" w:cs="Arial"/>
        </w:rPr>
        <w:t>Α) 100, υπερκαταλογισμός</w:t>
      </w:r>
    </w:p>
    <w:p w:rsidR="001C1C70" w:rsidRDefault="001C1C70" w:rsidP="001C1C70">
      <w:pPr>
        <w:spacing w:line="10" w:lineRule="atLeast"/>
        <w:jc w:val="both"/>
        <w:rPr>
          <w:rFonts w:ascii="Arial" w:hAnsi="Arial" w:cs="Arial"/>
        </w:rPr>
      </w:pPr>
      <w:r>
        <w:rPr>
          <w:rFonts w:ascii="Arial" w:hAnsi="Arial" w:cs="Arial"/>
        </w:rPr>
        <w:t>Β) 100, υποκαταλογισμός</w:t>
      </w:r>
    </w:p>
    <w:p w:rsidR="001C1C70" w:rsidRDefault="001C1C70" w:rsidP="001C1C70">
      <w:pPr>
        <w:spacing w:line="10" w:lineRule="atLeast"/>
        <w:jc w:val="both"/>
        <w:rPr>
          <w:rFonts w:ascii="Arial" w:hAnsi="Arial" w:cs="Arial"/>
        </w:rPr>
      </w:pPr>
      <w:r>
        <w:rPr>
          <w:rFonts w:ascii="Arial" w:hAnsi="Arial" w:cs="Arial"/>
        </w:rPr>
        <w:t>Γ) 140, υποκαταλογισμός</w:t>
      </w:r>
    </w:p>
    <w:p w:rsidR="001C1C70" w:rsidRDefault="001C1C70" w:rsidP="001C1C70">
      <w:pPr>
        <w:spacing w:line="10" w:lineRule="atLeast"/>
        <w:jc w:val="both"/>
        <w:rPr>
          <w:rFonts w:ascii="Arial" w:hAnsi="Arial" w:cs="Arial"/>
        </w:rPr>
      </w:pPr>
    </w:p>
    <w:p w:rsidR="001C1C70" w:rsidRDefault="001C1C70" w:rsidP="001C1C70">
      <w:pPr>
        <w:spacing w:line="10" w:lineRule="atLeast"/>
        <w:jc w:val="both"/>
        <w:rPr>
          <w:rFonts w:ascii="Arial" w:hAnsi="Arial" w:cs="Arial"/>
        </w:rPr>
      </w:pPr>
    </w:p>
    <w:p w:rsidR="001C1C70" w:rsidRDefault="001C1C70" w:rsidP="001C1C70">
      <w:pPr>
        <w:jc w:val="both"/>
        <w:rPr>
          <w:rFonts w:ascii="Arial" w:hAnsi="Arial" w:cs="Arial"/>
          <w:b/>
          <w:bCs/>
        </w:rPr>
      </w:pPr>
      <w:r w:rsidRPr="00EC7BD0">
        <w:rPr>
          <w:rFonts w:ascii="Arial" w:hAnsi="Arial" w:cs="Arial"/>
          <w:b/>
          <w:bCs/>
        </w:rPr>
        <w:t>15</w:t>
      </w:r>
      <w:r>
        <w:rPr>
          <w:rFonts w:ascii="Arial" w:hAnsi="Arial" w:cs="Arial"/>
          <w:b/>
          <w:bCs/>
        </w:rPr>
        <w:t xml:space="preserve">.  Τα δεδομένα σε € που ακολουθούν αφορούν βιομηχανική εταιρία για τη χρήση 2011. </w:t>
      </w:r>
    </w:p>
    <w:p w:rsidR="001C1C70" w:rsidRDefault="001C1C70" w:rsidP="001C1C70">
      <w:pPr>
        <w:jc w:val="both"/>
        <w:rPr>
          <w:rFonts w:ascii="Arial" w:hAnsi="Arial" w:cs="Arial"/>
          <w:bCs/>
        </w:rPr>
      </w:pPr>
      <w:r>
        <w:rPr>
          <w:rFonts w:ascii="Arial" w:hAnsi="Arial" w:cs="Arial"/>
          <w:bCs/>
        </w:rPr>
        <w:t>Απογραφές 1/1: ΑΥ=250, ΠΕ=80, Έτοιμα Προϊόντα= 220</w:t>
      </w:r>
    </w:p>
    <w:p w:rsidR="001C1C70" w:rsidRDefault="001C1C70" w:rsidP="001C1C70">
      <w:pPr>
        <w:jc w:val="both"/>
        <w:rPr>
          <w:rFonts w:ascii="Arial" w:hAnsi="Arial" w:cs="Arial"/>
          <w:bCs/>
        </w:rPr>
      </w:pPr>
      <w:r>
        <w:rPr>
          <w:rFonts w:ascii="Arial" w:hAnsi="Arial" w:cs="Arial"/>
          <w:bCs/>
        </w:rPr>
        <w:t xml:space="preserve">               31/12: ΑΥ=  70 , ΠΕ=210, Έτοιμα Προϊόντα = 190</w:t>
      </w:r>
    </w:p>
    <w:p w:rsidR="001C1C70" w:rsidRDefault="001C1C70" w:rsidP="001C1C70">
      <w:pPr>
        <w:jc w:val="both"/>
        <w:rPr>
          <w:rFonts w:ascii="Arial" w:hAnsi="Arial" w:cs="Arial"/>
          <w:bCs/>
        </w:rPr>
      </w:pPr>
      <w:r>
        <w:rPr>
          <w:rFonts w:ascii="Arial" w:hAnsi="Arial" w:cs="Arial"/>
          <w:bCs/>
        </w:rPr>
        <w:t>Αγορές ΑΥ=400, ΑΕ=100, ΓΒΕ=220</w:t>
      </w:r>
    </w:p>
    <w:p w:rsidR="001C1C70" w:rsidRDefault="001C1C70" w:rsidP="001C1C70">
      <w:pPr>
        <w:jc w:val="both"/>
        <w:rPr>
          <w:rFonts w:ascii="Arial" w:hAnsi="Arial" w:cs="Arial"/>
          <w:bCs/>
        </w:rPr>
      </w:pPr>
    </w:p>
    <w:p w:rsidR="001C1C70" w:rsidRDefault="001C1C70" w:rsidP="001C1C70">
      <w:pPr>
        <w:jc w:val="both"/>
        <w:rPr>
          <w:rFonts w:ascii="Arial" w:hAnsi="Arial" w:cs="Arial"/>
          <w:bCs/>
        </w:rPr>
      </w:pPr>
      <w:r>
        <w:rPr>
          <w:rFonts w:ascii="Arial" w:hAnsi="Arial" w:cs="Arial"/>
          <w:bCs/>
        </w:rPr>
        <w:t>Ποιο ποσό από τα παρακάτω αντιπροσωπεύει το Κόστος Παραχθέντων;</w:t>
      </w:r>
    </w:p>
    <w:p w:rsidR="001C1C70" w:rsidRDefault="001C1C70" w:rsidP="001C1C70">
      <w:pPr>
        <w:jc w:val="both"/>
        <w:rPr>
          <w:rFonts w:ascii="Arial" w:hAnsi="Arial" w:cs="Arial"/>
        </w:rPr>
      </w:pPr>
    </w:p>
    <w:p w:rsidR="001C1C70" w:rsidRDefault="001C1C70" w:rsidP="001C1C70">
      <w:pPr>
        <w:jc w:val="both"/>
        <w:rPr>
          <w:rFonts w:ascii="Arial" w:hAnsi="Arial" w:cs="Arial"/>
        </w:rPr>
      </w:pPr>
      <w:r>
        <w:rPr>
          <w:rFonts w:ascii="Arial" w:hAnsi="Arial" w:cs="Arial"/>
        </w:rPr>
        <w:t>Α. 980</w:t>
      </w:r>
    </w:p>
    <w:p w:rsidR="001C1C70" w:rsidRDefault="001C1C70" w:rsidP="001C1C70">
      <w:pPr>
        <w:jc w:val="both"/>
        <w:rPr>
          <w:rFonts w:ascii="Arial" w:hAnsi="Arial" w:cs="Arial"/>
        </w:rPr>
      </w:pPr>
      <w:r>
        <w:rPr>
          <w:rFonts w:ascii="Arial" w:hAnsi="Arial" w:cs="Arial"/>
        </w:rPr>
        <w:t xml:space="preserve">Β. 990 € </w:t>
      </w:r>
    </w:p>
    <w:p w:rsidR="001C1C70" w:rsidRDefault="001C1C70" w:rsidP="001C1C70">
      <w:pPr>
        <w:jc w:val="both"/>
        <w:rPr>
          <w:rFonts w:ascii="Arial" w:hAnsi="Arial" w:cs="Arial"/>
        </w:rPr>
      </w:pPr>
      <w:r>
        <w:rPr>
          <w:rFonts w:ascii="Arial" w:hAnsi="Arial" w:cs="Arial"/>
        </w:rPr>
        <w:t>Γ. 780 €</w:t>
      </w:r>
    </w:p>
    <w:p w:rsidR="001C1C70" w:rsidRDefault="001C1C70" w:rsidP="001C1C70">
      <w:pPr>
        <w:jc w:val="both"/>
        <w:rPr>
          <w:rFonts w:ascii="Arial" w:hAnsi="Arial" w:cs="Arial"/>
        </w:rPr>
      </w:pPr>
      <w:r>
        <w:rPr>
          <w:rFonts w:ascii="Arial" w:hAnsi="Arial" w:cs="Arial"/>
        </w:rPr>
        <w:t>Δ. Κανένα από τα παραπάνω</w:t>
      </w:r>
    </w:p>
    <w:p w:rsidR="001C1C70" w:rsidRDefault="001C1C70" w:rsidP="001C1C70">
      <w:pPr>
        <w:spacing w:line="10" w:lineRule="atLeast"/>
        <w:jc w:val="both"/>
        <w:rPr>
          <w:rFonts w:ascii="Arial" w:hAnsi="Arial" w:cs="Arial"/>
        </w:rPr>
      </w:pPr>
    </w:p>
    <w:p w:rsidR="001C1C70" w:rsidRDefault="001C1C70" w:rsidP="001C1C70">
      <w:pPr>
        <w:spacing w:line="10" w:lineRule="atLeast"/>
        <w:jc w:val="both"/>
        <w:rPr>
          <w:rFonts w:ascii="Arial" w:hAnsi="Arial" w:cs="Arial"/>
          <w:b/>
        </w:rPr>
      </w:pPr>
    </w:p>
    <w:p w:rsidR="001C1C70" w:rsidRDefault="001C1C70" w:rsidP="001C1C70">
      <w:pPr>
        <w:spacing w:line="10" w:lineRule="atLeast"/>
        <w:jc w:val="both"/>
        <w:rPr>
          <w:rFonts w:ascii="Arial" w:hAnsi="Arial" w:cs="Arial"/>
          <w:b/>
        </w:rPr>
      </w:pPr>
    </w:p>
    <w:p w:rsidR="001C1C70" w:rsidRDefault="001C1C70" w:rsidP="001C1C70">
      <w:pPr>
        <w:spacing w:line="10" w:lineRule="atLeast"/>
        <w:jc w:val="both"/>
        <w:rPr>
          <w:rFonts w:ascii="Arial" w:hAnsi="Arial" w:cs="Arial"/>
        </w:rPr>
      </w:pPr>
    </w:p>
    <w:p w:rsidR="001C1C70" w:rsidRDefault="001C1C70" w:rsidP="001C1C70">
      <w:pPr>
        <w:spacing w:line="10" w:lineRule="atLeast"/>
        <w:jc w:val="both"/>
        <w:rPr>
          <w:rFonts w:ascii="Arial" w:hAnsi="Arial" w:cs="Arial"/>
          <w:b/>
        </w:rPr>
      </w:pPr>
      <w:r w:rsidRPr="001C1C70">
        <w:rPr>
          <w:rFonts w:ascii="Arial" w:hAnsi="Arial" w:cs="Arial"/>
          <w:b/>
        </w:rPr>
        <w:t>16</w:t>
      </w:r>
      <w:r>
        <w:rPr>
          <w:rFonts w:ascii="Arial" w:hAnsi="Arial" w:cs="Arial"/>
          <w:b/>
        </w:rPr>
        <w:t>. Η επιχείρηση Χ παράγει τα προϊόντα της στο πλαίσιο μιας εξατομικευμένης παραγωγικής διαδικασίας. Ο λογαριασμός Παραγωγή σε Εξέλιξη παρουσίασε την ακόλουθη κίνηση για το μήνα Μάιο 2012 (σε ευρώ):</w:t>
      </w:r>
    </w:p>
    <w:p w:rsidR="001C1C70" w:rsidRDefault="001C1C70" w:rsidP="001C1C70">
      <w:pPr>
        <w:spacing w:line="10" w:lineRule="atLeast"/>
        <w:jc w:val="both"/>
        <w:rPr>
          <w:rFonts w:ascii="Arial" w:hAnsi="Arial" w:cs="Arial"/>
        </w:rPr>
      </w:pPr>
      <w:r>
        <w:rPr>
          <w:rFonts w:ascii="Arial" w:hAnsi="Arial" w:cs="Arial"/>
        </w:rPr>
        <w:lastRenderedPageBreak/>
        <w:t>Χρεωμένος με: Αρχικό Απόθεμα 20.000, Πρώτες Ύλες 80.000, Άμεση Εργασία 60.000 και ΓΒΕ Καταλογισμένα 36.000</w:t>
      </w:r>
    </w:p>
    <w:p w:rsidR="001C1C70" w:rsidRDefault="001C1C70" w:rsidP="001C1C70">
      <w:pPr>
        <w:spacing w:line="10" w:lineRule="atLeast"/>
        <w:jc w:val="both"/>
        <w:rPr>
          <w:rFonts w:ascii="Arial" w:hAnsi="Arial" w:cs="Arial"/>
        </w:rPr>
      </w:pPr>
      <w:r>
        <w:rPr>
          <w:rFonts w:ascii="Arial" w:hAnsi="Arial" w:cs="Arial"/>
        </w:rPr>
        <w:t>Πιστωμένος με: Κόστος Παραχθέντων 160.000</w:t>
      </w:r>
    </w:p>
    <w:p w:rsidR="001C1C70" w:rsidRDefault="001C1C70" w:rsidP="001C1C70">
      <w:pPr>
        <w:spacing w:line="10" w:lineRule="atLeast"/>
        <w:jc w:val="both"/>
        <w:rPr>
          <w:rFonts w:ascii="Arial" w:hAnsi="Arial" w:cs="Arial"/>
        </w:rPr>
      </w:pPr>
      <w:r>
        <w:rPr>
          <w:rFonts w:ascii="Arial" w:hAnsi="Arial" w:cs="Arial"/>
        </w:rPr>
        <w:t>Λαμβάνοντας υπόψη ότι η εταιρία καταλογίζει τα ΓΒΕ στις παραγγελίες με 60% επί του κόστους της Άμεσης Εργασίας και ότι η παραγγελία με αριθμό 120 η οποία δόθηκε 10/5/2012 είχε κόστος εργασίας 15.000 και ήταν η μόνη ημικατεργασμένη στο τέλος του μήνα, ποιο είναι το κόστος των πρώτων υλών της παραγγελίας αυτής:</w:t>
      </w:r>
    </w:p>
    <w:p w:rsidR="001C1C70" w:rsidRDefault="001C1C70" w:rsidP="001C1C70">
      <w:pPr>
        <w:spacing w:line="10" w:lineRule="atLeast"/>
        <w:jc w:val="both"/>
        <w:rPr>
          <w:rFonts w:ascii="Arial" w:hAnsi="Arial" w:cs="Arial"/>
        </w:rPr>
      </w:pPr>
      <w:r>
        <w:rPr>
          <w:rFonts w:ascii="Arial" w:hAnsi="Arial" w:cs="Arial"/>
        </w:rPr>
        <w:t>Α) 24.000</w:t>
      </w:r>
    </w:p>
    <w:p w:rsidR="001C1C70" w:rsidRDefault="001C1C70" w:rsidP="001C1C70">
      <w:pPr>
        <w:spacing w:line="10" w:lineRule="atLeast"/>
        <w:jc w:val="both"/>
        <w:rPr>
          <w:rFonts w:ascii="Arial" w:hAnsi="Arial" w:cs="Arial"/>
        </w:rPr>
      </w:pPr>
      <w:r>
        <w:rPr>
          <w:rFonts w:ascii="Arial" w:hAnsi="Arial" w:cs="Arial"/>
        </w:rPr>
        <w:t>Β) 9.000</w:t>
      </w:r>
    </w:p>
    <w:p w:rsidR="001C1C70" w:rsidRDefault="001C1C70" w:rsidP="001C1C70">
      <w:pPr>
        <w:spacing w:line="10" w:lineRule="atLeast"/>
        <w:jc w:val="both"/>
        <w:rPr>
          <w:rFonts w:ascii="Arial" w:hAnsi="Arial" w:cs="Arial"/>
        </w:rPr>
      </w:pPr>
      <w:r>
        <w:rPr>
          <w:rFonts w:ascii="Arial" w:hAnsi="Arial" w:cs="Arial"/>
        </w:rPr>
        <w:t>Γ) 12.000</w:t>
      </w:r>
    </w:p>
    <w:p w:rsidR="001C1C70" w:rsidRDefault="001C1C70" w:rsidP="001C1C70">
      <w:pPr>
        <w:jc w:val="center"/>
        <w:rPr>
          <w:rFonts w:ascii="Arial" w:hAnsi="Arial" w:cs="Arial"/>
          <w:b/>
          <w:bCs/>
          <w:u w:val="single"/>
        </w:rPr>
      </w:pPr>
    </w:p>
    <w:p w:rsidR="001C1C70" w:rsidRDefault="001C1C70" w:rsidP="001C1C70">
      <w:pPr>
        <w:rPr>
          <w:rFonts w:ascii="Arial" w:hAnsi="Arial" w:cs="Arial"/>
          <w:b/>
          <w:bCs/>
          <w:u w:val="single"/>
        </w:rPr>
      </w:pPr>
    </w:p>
    <w:p w:rsidR="001C1C70" w:rsidRDefault="001C1C70" w:rsidP="001C1C70">
      <w:pPr>
        <w:jc w:val="center"/>
        <w:rPr>
          <w:rFonts w:ascii="Arial" w:hAnsi="Arial" w:cs="Arial"/>
          <w:b/>
          <w:bCs/>
          <w:u w:val="single"/>
        </w:rPr>
      </w:pPr>
    </w:p>
    <w:p w:rsidR="001C1C70" w:rsidRDefault="001C1C70" w:rsidP="001C1C70">
      <w:pPr>
        <w:jc w:val="center"/>
        <w:rPr>
          <w:rFonts w:ascii="Arial" w:hAnsi="Arial" w:cs="Arial"/>
          <w:b/>
          <w:bCs/>
          <w:u w:val="single"/>
        </w:rPr>
      </w:pPr>
    </w:p>
    <w:p w:rsidR="001C1C70" w:rsidRDefault="001C1C70" w:rsidP="001C1C70">
      <w:pPr>
        <w:jc w:val="both"/>
        <w:rPr>
          <w:rFonts w:ascii="Arial" w:hAnsi="Arial" w:cs="Arial"/>
          <w:b/>
          <w:bCs/>
        </w:rPr>
      </w:pPr>
      <w:r w:rsidRPr="00EC7BD0">
        <w:rPr>
          <w:rFonts w:ascii="Arial" w:hAnsi="Arial" w:cs="Arial"/>
          <w:b/>
          <w:bCs/>
        </w:rPr>
        <w:t>17</w:t>
      </w:r>
      <w:r>
        <w:rPr>
          <w:rFonts w:ascii="Arial" w:hAnsi="Arial" w:cs="Arial"/>
          <w:b/>
          <w:bCs/>
        </w:rPr>
        <w:t xml:space="preserve">.  Τα δεδομένα σε € που ακολουθούν αφορούν βιομηχανική εταιρία για τη χρήση 2011. </w:t>
      </w:r>
    </w:p>
    <w:p w:rsidR="001C1C70" w:rsidRDefault="001C1C70" w:rsidP="001C1C70">
      <w:pPr>
        <w:jc w:val="both"/>
        <w:rPr>
          <w:rFonts w:ascii="Arial" w:hAnsi="Arial" w:cs="Arial"/>
          <w:bCs/>
        </w:rPr>
      </w:pPr>
      <w:r>
        <w:rPr>
          <w:rFonts w:ascii="Arial" w:hAnsi="Arial" w:cs="Arial"/>
          <w:bCs/>
        </w:rPr>
        <w:t>Αγορές ΑΥ= 510,60 , ΑΕ=176,10, ΓΒΕ=72,80</w:t>
      </w:r>
    </w:p>
    <w:p w:rsidR="001C1C70" w:rsidRDefault="001C1C70" w:rsidP="001C1C70">
      <w:pPr>
        <w:jc w:val="both"/>
        <w:rPr>
          <w:rFonts w:ascii="Arial" w:hAnsi="Arial" w:cs="Arial"/>
          <w:bCs/>
        </w:rPr>
      </w:pPr>
      <w:r>
        <w:rPr>
          <w:rFonts w:ascii="Arial" w:hAnsi="Arial" w:cs="Arial"/>
          <w:bCs/>
        </w:rPr>
        <w:t xml:space="preserve">Απογραφές 1/1: ΑΥ=167,30 , ΠΕ= 35,20 , Έτοιμα Προϊόντα= 184,90  </w:t>
      </w:r>
    </w:p>
    <w:p w:rsidR="001C1C70" w:rsidRPr="001C1C70" w:rsidRDefault="001C1C70" w:rsidP="001C1C70">
      <w:pPr>
        <w:jc w:val="both"/>
        <w:rPr>
          <w:rFonts w:ascii="Arial" w:hAnsi="Arial" w:cs="Arial"/>
          <w:bCs/>
        </w:rPr>
      </w:pPr>
      <w:r>
        <w:rPr>
          <w:rFonts w:ascii="Arial" w:hAnsi="Arial" w:cs="Arial"/>
          <w:bCs/>
        </w:rPr>
        <w:t xml:space="preserve">               31/12: ΑΥ=  72,20 , ΠΕ= 52,80 , Έτοιμα Προϊόντα = 214,20 </w:t>
      </w:r>
    </w:p>
    <w:p w:rsidR="001C1C70" w:rsidRDefault="001C1C70" w:rsidP="001C1C70">
      <w:pPr>
        <w:jc w:val="both"/>
        <w:rPr>
          <w:rFonts w:ascii="Arial" w:hAnsi="Arial" w:cs="Arial"/>
          <w:bCs/>
        </w:rPr>
      </w:pPr>
      <w:r>
        <w:rPr>
          <w:rFonts w:ascii="Arial" w:hAnsi="Arial" w:cs="Arial"/>
          <w:bCs/>
        </w:rPr>
        <w:t>Ποιο ποσό από τα παρακάτω αντιπροσωπεύει το Κόστος Παραχθέντων;</w:t>
      </w:r>
    </w:p>
    <w:p w:rsidR="001C1C70" w:rsidRPr="001C1C70" w:rsidRDefault="001C1C70" w:rsidP="001C1C70">
      <w:pPr>
        <w:jc w:val="both"/>
        <w:rPr>
          <w:rFonts w:ascii="Arial" w:hAnsi="Arial" w:cs="Arial"/>
        </w:rPr>
      </w:pPr>
    </w:p>
    <w:p w:rsidR="001C1C70" w:rsidRDefault="001C1C70" w:rsidP="001C1C70">
      <w:pPr>
        <w:jc w:val="both"/>
        <w:rPr>
          <w:rFonts w:ascii="Arial" w:hAnsi="Arial" w:cs="Arial"/>
        </w:rPr>
      </w:pPr>
      <w:r>
        <w:rPr>
          <w:rFonts w:ascii="Arial" w:hAnsi="Arial" w:cs="Arial"/>
        </w:rPr>
        <w:t>Α. 889,80€</w:t>
      </w:r>
    </w:p>
    <w:p w:rsidR="001C1C70" w:rsidRDefault="001C1C70" w:rsidP="001C1C70">
      <w:pPr>
        <w:jc w:val="both"/>
        <w:rPr>
          <w:rFonts w:ascii="Arial" w:hAnsi="Arial" w:cs="Arial"/>
        </w:rPr>
      </w:pPr>
      <w:r>
        <w:rPr>
          <w:rFonts w:ascii="Arial" w:hAnsi="Arial" w:cs="Arial"/>
        </w:rPr>
        <w:t xml:space="preserve">Β. 837,00€ </w:t>
      </w:r>
    </w:p>
    <w:p w:rsidR="001C1C70" w:rsidRDefault="001C1C70" w:rsidP="001C1C70">
      <w:pPr>
        <w:jc w:val="both"/>
        <w:rPr>
          <w:rFonts w:ascii="Arial" w:hAnsi="Arial" w:cs="Arial"/>
        </w:rPr>
      </w:pPr>
      <w:r>
        <w:rPr>
          <w:rFonts w:ascii="Arial" w:hAnsi="Arial" w:cs="Arial"/>
        </w:rPr>
        <w:t>Γ. 847,00€</w:t>
      </w:r>
    </w:p>
    <w:p w:rsidR="001C1C70" w:rsidRDefault="001C1C70" w:rsidP="001C1C70">
      <w:pPr>
        <w:jc w:val="both"/>
        <w:rPr>
          <w:rFonts w:ascii="Arial" w:hAnsi="Arial" w:cs="Arial"/>
        </w:rPr>
      </w:pPr>
      <w:r>
        <w:rPr>
          <w:rFonts w:ascii="Arial" w:hAnsi="Arial" w:cs="Arial"/>
        </w:rPr>
        <w:t>Δ. Κανένα από τα παραπάνω</w:t>
      </w:r>
    </w:p>
    <w:p w:rsidR="001C1C70" w:rsidRDefault="001C1C70" w:rsidP="001C1C70">
      <w:pPr>
        <w:jc w:val="both"/>
        <w:rPr>
          <w:rFonts w:ascii="Arial" w:hAnsi="Arial" w:cs="Arial"/>
        </w:rPr>
      </w:pPr>
    </w:p>
    <w:p w:rsidR="001C1C70" w:rsidRDefault="001C1C70" w:rsidP="001C1C70">
      <w:pPr>
        <w:jc w:val="both"/>
        <w:rPr>
          <w:rFonts w:ascii="Arial" w:hAnsi="Arial" w:cs="Arial"/>
        </w:rPr>
      </w:pPr>
    </w:p>
    <w:p w:rsidR="001C1C70" w:rsidRDefault="001C1C70" w:rsidP="001C1C70">
      <w:pPr>
        <w:jc w:val="both"/>
        <w:rPr>
          <w:rFonts w:ascii="Arial" w:hAnsi="Arial" w:cs="Arial"/>
          <w:bCs/>
        </w:rPr>
      </w:pPr>
    </w:p>
    <w:p w:rsidR="001C1C70" w:rsidRDefault="001C1C70" w:rsidP="001C1C70">
      <w:pPr>
        <w:jc w:val="both"/>
        <w:rPr>
          <w:rFonts w:ascii="Arial" w:hAnsi="Arial" w:cs="Arial"/>
          <w:b/>
          <w:bCs/>
        </w:rPr>
      </w:pPr>
      <w:r w:rsidRPr="00EC7BD0">
        <w:rPr>
          <w:rFonts w:ascii="Arial" w:hAnsi="Arial" w:cs="Arial"/>
          <w:b/>
          <w:bCs/>
        </w:rPr>
        <w:t>18</w:t>
      </w:r>
      <w:r>
        <w:rPr>
          <w:rFonts w:ascii="Arial" w:hAnsi="Arial" w:cs="Arial"/>
          <w:b/>
          <w:bCs/>
        </w:rPr>
        <w:t>. Τα κοστολογικά στοιχεία της βιομηχανίας ΑΣΤΕΡΑΣ ΕΠΕ για τη χρήση 2011 έχουν ως εξής (σε ευρώ):</w:t>
      </w:r>
    </w:p>
    <w:p w:rsidR="001C1C70" w:rsidRDefault="001C1C70" w:rsidP="001C1C70">
      <w:pPr>
        <w:jc w:val="both"/>
        <w:rPr>
          <w:rFonts w:ascii="Arial" w:hAnsi="Arial" w:cs="Arial"/>
          <w:bCs/>
        </w:rPr>
      </w:pPr>
      <w:r>
        <w:rPr>
          <w:rFonts w:ascii="Arial" w:hAnsi="Arial" w:cs="Arial"/>
          <w:bCs/>
        </w:rPr>
        <w:t>Αγορές ΑΥ= 470.000 , ΓΒΕ=330.000, Κόστος Πωληθέντων= 1.040.000</w:t>
      </w:r>
    </w:p>
    <w:p w:rsidR="001C1C70" w:rsidRDefault="001C1C70" w:rsidP="001C1C70">
      <w:pPr>
        <w:jc w:val="both"/>
        <w:rPr>
          <w:rFonts w:ascii="Arial" w:hAnsi="Arial" w:cs="Arial"/>
          <w:bCs/>
        </w:rPr>
      </w:pPr>
      <w:r>
        <w:rPr>
          <w:rFonts w:ascii="Arial" w:hAnsi="Arial" w:cs="Arial"/>
          <w:bCs/>
        </w:rPr>
        <w:t xml:space="preserve">Αρχικά Αποθέματα: ΑΥ=210.000 , ΠΕ= 50.000 , Έτοιμα Προϊόντα= 310.000  </w:t>
      </w:r>
    </w:p>
    <w:p w:rsidR="001C1C70" w:rsidRDefault="001C1C70" w:rsidP="001C1C70">
      <w:pPr>
        <w:jc w:val="both"/>
        <w:rPr>
          <w:rFonts w:ascii="Arial" w:hAnsi="Arial" w:cs="Arial"/>
          <w:bCs/>
        </w:rPr>
      </w:pPr>
      <w:r>
        <w:rPr>
          <w:rFonts w:ascii="Arial" w:hAnsi="Arial" w:cs="Arial"/>
          <w:bCs/>
        </w:rPr>
        <w:lastRenderedPageBreak/>
        <w:t>Τελικά Αποθέματα: ΑΥ=230.000 , ΠΕ= 20.000 , Έτοιμα Προϊόντα = 370.000</w:t>
      </w:r>
    </w:p>
    <w:p w:rsidR="001C1C70" w:rsidRPr="001C1C70" w:rsidRDefault="001C1C70" w:rsidP="001C1C70">
      <w:pPr>
        <w:jc w:val="both"/>
        <w:rPr>
          <w:rFonts w:ascii="Arial" w:hAnsi="Arial" w:cs="Arial"/>
          <w:bCs/>
        </w:rPr>
      </w:pPr>
      <w:r>
        <w:rPr>
          <w:rFonts w:ascii="Arial" w:hAnsi="Arial" w:cs="Arial"/>
          <w:bCs/>
        </w:rPr>
        <w:t>Το κόστος Άμεσης Εργασίας ανέρχεται στα:</w:t>
      </w:r>
    </w:p>
    <w:p w:rsidR="001C1C70" w:rsidRPr="001C1C70" w:rsidRDefault="001C1C70" w:rsidP="001C1C70">
      <w:pPr>
        <w:jc w:val="both"/>
        <w:rPr>
          <w:rFonts w:ascii="Arial" w:hAnsi="Arial" w:cs="Arial"/>
          <w:bCs/>
        </w:rPr>
      </w:pPr>
    </w:p>
    <w:p w:rsidR="001C1C70" w:rsidRDefault="001C1C70" w:rsidP="001C1C70">
      <w:pPr>
        <w:jc w:val="both"/>
        <w:rPr>
          <w:rFonts w:ascii="Arial" w:hAnsi="Arial" w:cs="Arial"/>
        </w:rPr>
      </w:pPr>
      <w:r>
        <w:rPr>
          <w:rFonts w:ascii="Arial" w:hAnsi="Arial" w:cs="Arial"/>
        </w:rPr>
        <w:t>Α.  290.000 €</w:t>
      </w:r>
    </w:p>
    <w:p w:rsidR="001C1C70" w:rsidRDefault="001C1C70" w:rsidP="001C1C70">
      <w:pPr>
        <w:jc w:val="both"/>
        <w:rPr>
          <w:rFonts w:ascii="Arial" w:hAnsi="Arial" w:cs="Arial"/>
        </w:rPr>
      </w:pPr>
      <w:r>
        <w:rPr>
          <w:rFonts w:ascii="Arial" w:hAnsi="Arial" w:cs="Arial"/>
        </w:rPr>
        <w:t xml:space="preserve">Β.  280.000 € </w:t>
      </w:r>
    </w:p>
    <w:p w:rsidR="001C1C70" w:rsidRDefault="001C1C70" w:rsidP="001C1C70">
      <w:pPr>
        <w:jc w:val="both"/>
        <w:rPr>
          <w:rFonts w:ascii="Arial" w:hAnsi="Arial" w:cs="Arial"/>
        </w:rPr>
      </w:pPr>
      <w:r>
        <w:rPr>
          <w:rFonts w:ascii="Arial" w:hAnsi="Arial" w:cs="Arial"/>
        </w:rPr>
        <w:t>Γ.  200.000 €</w:t>
      </w:r>
    </w:p>
    <w:p w:rsidR="001C1C70" w:rsidRDefault="001C1C70" w:rsidP="001C1C70">
      <w:pPr>
        <w:jc w:val="both"/>
        <w:rPr>
          <w:rFonts w:ascii="Arial" w:hAnsi="Arial" w:cs="Arial"/>
        </w:rPr>
      </w:pPr>
      <w:r>
        <w:rPr>
          <w:rFonts w:ascii="Arial" w:hAnsi="Arial" w:cs="Arial"/>
        </w:rPr>
        <w:t>Δ.  400.000 €</w:t>
      </w:r>
    </w:p>
    <w:p w:rsidR="00A34236" w:rsidRPr="00F77460" w:rsidRDefault="00A34236" w:rsidP="00F77460">
      <w:pPr>
        <w:tabs>
          <w:tab w:val="left" w:pos="4678"/>
        </w:tabs>
        <w:spacing w:after="0"/>
        <w:rPr>
          <w:lang w:val="en-US"/>
        </w:rPr>
      </w:pPr>
    </w:p>
    <w:sectPr w:rsidR="00A34236" w:rsidRPr="00F77460" w:rsidSect="00E918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EC22998"/>
    <w:lvl w:ilvl="0">
      <w:start w:val="1"/>
      <w:numFmt w:val="decimal"/>
      <w:pStyle w:val="2"/>
      <w:lvlText w:val="%1."/>
      <w:lvlJc w:val="left"/>
      <w:pPr>
        <w:tabs>
          <w:tab w:val="num" w:pos="643"/>
        </w:tabs>
        <w:ind w:left="643" w:hanging="360"/>
      </w:pPr>
    </w:lvl>
  </w:abstractNum>
  <w:abstractNum w:abstractNumId="1">
    <w:nsid w:val="FFFFFF88"/>
    <w:multiLevelType w:val="singleLevel"/>
    <w:tmpl w:val="B5A2AB46"/>
    <w:lvl w:ilvl="0">
      <w:start w:val="1"/>
      <w:numFmt w:val="decimal"/>
      <w:pStyle w:val="a"/>
      <w:lvlText w:val="%1."/>
      <w:lvlJc w:val="left"/>
      <w:pPr>
        <w:tabs>
          <w:tab w:val="num" w:pos="360"/>
        </w:tabs>
        <w:ind w:left="360" w:hanging="360"/>
      </w:pPr>
    </w:lvl>
  </w:abstractNum>
  <w:abstractNum w:abstractNumId="2">
    <w:nsid w:val="FFFFFF89"/>
    <w:multiLevelType w:val="singleLevel"/>
    <w:tmpl w:val="2B54ABEC"/>
    <w:lvl w:ilvl="0">
      <w:start w:val="1"/>
      <w:numFmt w:val="bullet"/>
      <w:pStyle w:val="a0"/>
      <w:lvlText w:val=""/>
      <w:lvlJc w:val="left"/>
      <w:pPr>
        <w:tabs>
          <w:tab w:val="num" w:pos="360"/>
        </w:tabs>
        <w:ind w:left="360" w:hanging="360"/>
      </w:pPr>
      <w:rPr>
        <w:rFonts w:ascii="Symbol" w:hAnsi="Symbol" w:hint="default"/>
      </w:rPr>
    </w:lvl>
  </w:abstractNum>
  <w:abstractNum w:abstractNumId="3">
    <w:nsid w:val="14605881"/>
    <w:multiLevelType w:val="hybridMultilevel"/>
    <w:tmpl w:val="6A2EF092"/>
    <w:lvl w:ilvl="0" w:tplc="3F2C04A4">
      <w:start w:val="3"/>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5EE1EB2"/>
    <w:multiLevelType w:val="hybridMultilevel"/>
    <w:tmpl w:val="7444181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3E627071"/>
    <w:multiLevelType w:val="hybridMultilevel"/>
    <w:tmpl w:val="F9D03E48"/>
    <w:lvl w:ilvl="0" w:tplc="513A99D8">
      <w:start w:val="1"/>
      <w:numFmt w:val="decimal"/>
      <w:lvlText w:val="%1)"/>
      <w:lvlJc w:val="left"/>
      <w:pPr>
        <w:tabs>
          <w:tab w:val="num" w:pos="663"/>
        </w:tabs>
        <w:ind w:left="663" w:hanging="3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72E5A55"/>
    <w:multiLevelType w:val="singleLevel"/>
    <w:tmpl w:val="771CE26E"/>
    <w:lvl w:ilvl="0">
      <w:start w:val="1"/>
      <w:numFmt w:val="bullet"/>
      <w:pStyle w:val="20"/>
      <w:lvlText w:val=""/>
      <w:lvlJc w:val="left"/>
      <w:pPr>
        <w:tabs>
          <w:tab w:val="num" w:pos="643"/>
        </w:tabs>
        <w:ind w:left="643" w:hanging="360"/>
      </w:pPr>
      <w:rPr>
        <w:rFonts w:ascii="Symbol" w:hAnsi="Symbol" w:hint="default"/>
      </w:rPr>
    </w:lvl>
  </w:abstractNum>
  <w:abstractNum w:abstractNumId="7">
    <w:nsid w:val="67E87025"/>
    <w:multiLevelType w:val="hybridMultilevel"/>
    <w:tmpl w:val="B060FA72"/>
    <w:lvl w:ilvl="0" w:tplc="A76C55BA">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6F9C9F44"/>
    <w:multiLevelType w:val="hybridMultilevel"/>
    <w:tmpl w:val="CB946DF6"/>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2"/>
  </w:num>
  <w:num w:numId="2">
    <w:abstractNumId w:val="1"/>
    <w:lvlOverride w:ilvl="0">
      <w:startOverride w:val="1"/>
    </w:lvlOverride>
  </w:num>
  <w:num w:numId="3">
    <w:abstractNumId w:val="6"/>
  </w:num>
  <w:num w:numId="4">
    <w:abstractNumId w:val="0"/>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2E4A13"/>
    <w:rsid w:val="001C1C70"/>
    <w:rsid w:val="002E4A13"/>
    <w:rsid w:val="00A34236"/>
    <w:rsid w:val="00D5393B"/>
    <w:rsid w:val="00E04CFB"/>
    <w:rsid w:val="00E7696B"/>
    <w:rsid w:val="00E918DB"/>
    <w:rsid w:val="00EC7BD0"/>
    <w:rsid w:val="00F774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18DB"/>
  </w:style>
  <w:style w:type="paragraph" w:styleId="1">
    <w:name w:val="heading 1"/>
    <w:basedOn w:val="a1"/>
    <w:next w:val="a1"/>
    <w:link w:val="1Char"/>
    <w:qFormat/>
    <w:rsid w:val="002E4A13"/>
    <w:pPr>
      <w:keepNext/>
      <w:spacing w:before="480" w:after="480" w:line="240" w:lineRule="auto"/>
      <w:jc w:val="center"/>
      <w:outlineLvl w:val="0"/>
    </w:pPr>
    <w:rPr>
      <w:rFonts w:ascii="Arial" w:eastAsia="Times New Roman" w:hAnsi="Arial" w:cs="Times New Roman"/>
      <w:b/>
      <w:kern w:val="28"/>
      <w:sz w:val="32"/>
      <w:szCs w:val="20"/>
    </w:rPr>
  </w:style>
  <w:style w:type="paragraph" w:styleId="21">
    <w:name w:val="heading 2"/>
    <w:basedOn w:val="a1"/>
    <w:next w:val="a1"/>
    <w:link w:val="2Char"/>
    <w:unhideWhenUsed/>
    <w:qFormat/>
    <w:rsid w:val="002E4A13"/>
    <w:pPr>
      <w:keepNext/>
      <w:spacing w:before="240" w:after="240" w:line="240" w:lineRule="auto"/>
      <w:jc w:val="both"/>
      <w:outlineLvl w:val="1"/>
    </w:pPr>
    <w:rPr>
      <w:rFonts w:ascii="Times New Roman" w:eastAsia="Times New Roman" w:hAnsi="Times New Roman" w:cs="Times New Roman"/>
      <w:b/>
      <w:sz w:val="28"/>
      <w:szCs w:val="20"/>
    </w:rPr>
  </w:style>
  <w:style w:type="paragraph" w:styleId="3">
    <w:name w:val="heading 3"/>
    <w:basedOn w:val="a1"/>
    <w:next w:val="a1"/>
    <w:link w:val="3Char"/>
    <w:semiHidden/>
    <w:unhideWhenUsed/>
    <w:qFormat/>
    <w:rsid w:val="002E4A13"/>
    <w:pPr>
      <w:keepNext/>
      <w:spacing w:after="240" w:line="240" w:lineRule="auto"/>
      <w:jc w:val="both"/>
      <w:outlineLvl w:val="2"/>
    </w:pPr>
    <w:rPr>
      <w:rFonts w:ascii="Times New Roman" w:eastAsia="Times New Roman" w:hAnsi="Times New Roman" w:cs="Times New Roman"/>
      <w:b/>
      <w:sz w:val="24"/>
      <w:szCs w:val="20"/>
    </w:rPr>
  </w:style>
  <w:style w:type="paragraph" w:styleId="4">
    <w:name w:val="heading 4"/>
    <w:basedOn w:val="a1"/>
    <w:next w:val="a1"/>
    <w:link w:val="4Char"/>
    <w:semiHidden/>
    <w:unhideWhenUsed/>
    <w:qFormat/>
    <w:rsid w:val="002E4A13"/>
    <w:pPr>
      <w:keepNext/>
      <w:spacing w:after="0" w:line="240" w:lineRule="auto"/>
      <w:ind w:left="720"/>
      <w:outlineLvl w:val="3"/>
    </w:pPr>
    <w:rPr>
      <w:rFonts w:ascii="Times New Roman" w:eastAsia="Times New Roman" w:hAnsi="Times New Roman" w:cs="Times New Roman"/>
      <w:b/>
      <w:bCs/>
      <w:sz w:val="20"/>
      <w:szCs w:val="24"/>
      <w:lang w:eastAsia="en-US"/>
    </w:rPr>
  </w:style>
  <w:style w:type="paragraph" w:styleId="5">
    <w:name w:val="heading 5"/>
    <w:basedOn w:val="a1"/>
    <w:next w:val="a1"/>
    <w:link w:val="5Char"/>
    <w:semiHidden/>
    <w:unhideWhenUsed/>
    <w:qFormat/>
    <w:rsid w:val="002E4A13"/>
    <w:pPr>
      <w:spacing w:before="240" w:after="60" w:line="240" w:lineRule="auto"/>
      <w:jc w:val="both"/>
      <w:outlineLvl w:val="4"/>
    </w:pPr>
    <w:rPr>
      <w:rFonts w:ascii="Times New Roman" w:eastAsia="Times New Roman" w:hAnsi="Times New Roman" w:cs="Times New Roman"/>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2E4A13"/>
    <w:rPr>
      <w:rFonts w:ascii="Arial" w:eastAsia="Times New Roman" w:hAnsi="Arial" w:cs="Times New Roman"/>
      <w:b/>
      <w:kern w:val="28"/>
      <w:sz w:val="32"/>
      <w:szCs w:val="20"/>
    </w:rPr>
  </w:style>
  <w:style w:type="character" w:customStyle="1" w:styleId="2Char">
    <w:name w:val="Επικεφαλίδα 2 Char"/>
    <w:basedOn w:val="a2"/>
    <w:link w:val="21"/>
    <w:rsid w:val="002E4A13"/>
    <w:rPr>
      <w:rFonts w:ascii="Times New Roman" w:eastAsia="Times New Roman" w:hAnsi="Times New Roman" w:cs="Times New Roman"/>
      <w:b/>
      <w:sz w:val="28"/>
      <w:szCs w:val="20"/>
    </w:rPr>
  </w:style>
  <w:style w:type="character" w:customStyle="1" w:styleId="3Char">
    <w:name w:val="Επικεφαλίδα 3 Char"/>
    <w:basedOn w:val="a2"/>
    <w:link w:val="3"/>
    <w:semiHidden/>
    <w:rsid w:val="002E4A13"/>
    <w:rPr>
      <w:rFonts w:ascii="Times New Roman" w:eastAsia="Times New Roman" w:hAnsi="Times New Roman" w:cs="Times New Roman"/>
      <w:b/>
      <w:sz w:val="24"/>
      <w:szCs w:val="20"/>
    </w:rPr>
  </w:style>
  <w:style w:type="character" w:customStyle="1" w:styleId="4Char">
    <w:name w:val="Επικεφαλίδα 4 Char"/>
    <w:basedOn w:val="a2"/>
    <w:link w:val="4"/>
    <w:semiHidden/>
    <w:rsid w:val="002E4A13"/>
    <w:rPr>
      <w:rFonts w:ascii="Times New Roman" w:eastAsia="Times New Roman" w:hAnsi="Times New Roman" w:cs="Times New Roman"/>
      <w:b/>
      <w:bCs/>
      <w:sz w:val="20"/>
      <w:szCs w:val="24"/>
      <w:lang w:eastAsia="en-US"/>
    </w:rPr>
  </w:style>
  <w:style w:type="character" w:customStyle="1" w:styleId="5Char">
    <w:name w:val="Επικεφαλίδα 5 Char"/>
    <w:basedOn w:val="a2"/>
    <w:link w:val="5"/>
    <w:semiHidden/>
    <w:rsid w:val="002E4A13"/>
    <w:rPr>
      <w:rFonts w:ascii="Times New Roman" w:eastAsia="Times New Roman" w:hAnsi="Times New Roman" w:cs="Times New Roman"/>
      <w:b/>
      <w:bCs/>
      <w:i/>
      <w:iCs/>
      <w:sz w:val="26"/>
      <w:szCs w:val="26"/>
    </w:rPr>
  </w:style>
  <w:style w:type="paragraph" w:styleId="a5">
    <w:name w:val="header"/>
    <w:basedOn w:val="a1"/>
    <w:link w:val="Char"/>
    <w:semiHidden/>
    <w:unhideWhenUsed/>
    <w:rsid w:val="002E4A13"/>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Char">
    <w:name w:val="Κεφαλίδα Char"/>
    <w:basedOn w:val="a2"/>
    <w:link w:val="a5"/>
    <w:semiHidden/>
    <w:rsid w:val="002E4A13"/>
    <w:rPr>
      <w:rFonts w:ascii="Times New Roman" w:eastAsia="Times New Roman" w:hAnsi="Times New Roman" w:cs="Times New Roman"/>
      <w:sz w:val="24"/>
      <w:szCs w:val="20"/>
    </w:rPr>
  </w:style>
  <w:style w:type="paragraph" w:styleId="a6">
    <w:name w:val="footer"/>
    <w:basedOn w:val="a1"/>
    <w:link w:val="Char0"/>
    <w:semiHidden/>
    <w:unhideWhenUsed/>
    <w:rsid w:val="002E4A13"/>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Char0">
    <w:name w:val="Υποσέλιδο Char"/>
    <w:basedOn w:val="a2"/>
    <w:link w:val="a6"/>
    <w:semiHidden/>
    <w:rsid w:val="002E4A13"/>
    <w:rPr>
      <w:rFonts w:ascii="Times New Roman" w:eastAsia="Times New Roman" w:hAnsi="Times New Roman" w:cs="Times New Roman"/>
      <w:sz w:val="24"/>
      <w:szCs w:val="20"/>
    </w:rPr>
  </w:style>
  <w:style w:type="paragraph" w:styleId="a0">
    <w:name w:val="List Bullet"/>
    <w:basedOn w:val="a1"/>
    <w:autoRedefine/>
    <w:semiHidden/>
    <w:unhideWhenUsed/>
    <w:rsid w:val="002E4A13"/>
    <w:pPr>
      <w:numPr>
        <w:numId w:val="1"/>
      </w:numPr>
      <w:spacing w:after="240" w:line="240" w:lineRule="auto"/>
      <w:jc w:val="both"/>
    </w:pPr>
    <w:rPr>
      <w:rFonts w:ascii="Times New Roman" w:eastAsia="Times New Roman" w:hAnsi="Times New Roman" w:cs="Times New Roman"/>
      <w:b/>
      <w:i/>
      <w:sz w:val="24"/>
      <w:szCs w:val="20"/>
    </w:rPr>
  </w:style>
  <w:style w:type="paragraph" w:styleId="a">
    <w:name w:val="List Number"/>
    <w:basedOn w:val="a1"/>
    <w:semiHidden/>
    <w:unhideWhenUsed/>
    <w:rsid w:val="002E4A13"/>
    <w:pPr>
      <w:numPr>
        <w:numId w:val="2"/>
      </w:numPr>
      <w:spacing w:after="120" w:line="240" w:lineRule="auto"/>
      <w:contextualSpacing/>
    </w:pPr>
    <w:rPr>
      <w:rFonts w:ascii="Times New Roman" w:eastAsia="Times New Roman" w:hAnsi="Times New Roman" w:cs="Times New Roman"/>
      <w:sz w:val="24"/>
      <w:szCs w:val="20"/>
      <w:lang w:eastAsia="en-US"/>
    </w:rPr>
  </w:style>
  <w:style w:type="paragraph" w:styleId="20">
    <w:name w:val="List Bullet 2"/>
    <w:basedOn w:val="a1"/>
    <w:autoRedefine/>
    <w:semiHidden/>
    <w:unhideWhenUsed/>
    <w:rsid w:val="002E4A13"/>
    <w:pPr>
      <w:numPr>
        <w:numId w:val="3"/>
      </w:numPr>
      <w:spacing w:after="240" w:line="240" w:lineRule="auto"/>
      <w:jc w:val="both"/>
    </w:pPr>
    <w:rPr>
      <w:rFonts w:ascii="Times New Roman" w:eastAsia="Times New Roman" w:hAnsi="Times New Roman" w:cs="Times New Roman"/>
      <w:sz w:val="24"/>
      <w:szCs w:val="20"/>
    </w:rPr>
  </w:style>
  <w:style w:type="paragraph" w:styleId="2">
    <w:name w:val="List Number 2"/>
    <w:basedOn w:val="a1"/>
    <w:semiHidden/>
    <w:unhideWhenUsed/>
    <w:rsid w:val="002E4A13"/>
    <w:pPr>
      <w:numPr>
        <w:numId w:val="4"/>
      </w:numPr>
      <w:spacing w:after="120" w:line="240" w:lineRule="auto"/>
      <w:ind w:left="641" w:hanging="357"/>
      <w:contextualSpacing/>
    </w:pPr>
    <w:rPr>
      <w:rFonts w:ascii="Times New Roman" w:eastAsia="Times New Roman" w:hAnsi="Times New Roman" w:cs="Times New Roman"/>
      <w:sz w:val="24"/>
      <w:szCs w:val="20"/>
      <w:lang w:eastAsia="en-US"/>
    </w:rPr>
  </w:style>
  <w:style w:type="paragraph" w:styleId="a7">
    <w:name w:val="Title"/>
    <w:basedOn w:val="a1"/>
    <w:link w:val="Char1"/>
    <w:qFormat/>
    <w:rsid w:val="002E4A13"/>
    <w:pPr>
      <w:spacing w:after="240" w:line="240" w:lineRule="auto"/>
      <w:jc w:val="center"/>
    </w:pPr>
    <w:rPr>
      <w:rFonts w:ascii="Arial" w:eastAsia="Times New Roman" w:hAnsi="Arial" w:cs="Times New Roman"/>
      <w:b/>
      <w:sz w:val="28"/>
      <w:szCs w:val="20"/>
    </w:rPr>
  </w:style>
  <w:style w:type="character" w:customStyle="1" w:styleId="Char1">
    <w:name w:val="Τίτλος Char"/>
    <w:basedOn w:val="a2"/>
    <w:link w:val="a7"/>
    <w:rsid w:val="002E4A13"/>
    <w:rPr>
      <w:rFonts w:ascii="Arial" w:eastAsia="Times New Roman" w:hAnsi="Arial" w:cs="Times New Roman"/>
      <w:b/>
      <w:sz w:val="28"/>
      <w:szCs w:val="20"/>
    </w:rPr>
  </w:style>
  <w:style w:type="paragraph" w:styleId="a8">
    <w:name w:val="Body Text"/>
    <w:basedOn w:val="a1"/>
    <w:link w:val="Char2"/>
    <w:semiHidden/>
    <w:unhideWhenUsed/>
    <w:rsid w:val="002E4A13"/>
    <w:pPr>
      <w:spacing w:after="220" w:line="220" w:lineRule="atLeast"/>
      <w:ind w:left="840" w:right="-360"/>
      <w:jc w:val="both"/>
    </w:pPr>
    <w:rPr>
      <w:rFonts w:ascii="Times New Roman" w:eastAsia="Times New Roman" w:hAnsi="Times New Roman" w:cs="Times New Roman"/>
      <w:sz w:val="20"/>
      <w:szCs w:val="20"/>
    </w:rPr>
  </w:style>
  <w:style w:type="character" w:customStyle="1" w:styleId="Char2">
    <w:name w:val="Σώμα κειμένου Char"/>
    <w:basedOn w:val="a2"/>
    <w:link w:val="a8"/>
    <w:semiHidden/>
    <w:rsid w:val="002E4A13"/>
    <w:rPr>
      <w:rFonts w:ascii="Times New Roman" w:eastAsia="Times New Roman" w:hAnsi="Times New Roman" w:cs="Times New Roman"/>
      <w:sz w:val="20"/>
      <w:szCs w:val="20"/>
    </w:rPr>
  </w:style>
  <w:style w:type="paragraph" w:styleId="a9">
    <w:name w:val="Body Text Indent"/>
    <w:basedOn w:val="a1"/>
    <w:link w:val="Char3"/>
    <w:semiHidden/>
    <w:unhideWhenUsed/>
    <w:rsid w:val="002E4A13"/>
    <w:pPr>
      <w:spacing w:after="0" w:line="240" w:lineRule="auto"/>
      <w:ind w:left="900" w:hanging="900"/>
    </w:pPr>
    <w:rPr>
      <w:rFonts w:ascii="Times New Roman" w:eastAsia="Times New Roman" w:hAnsi="Times New Roman" w:cs="Times New Roman"/>
      <w:sz w:val="24"/>
      <w:szCs w:val="24"/>
      <w:lang w:eastAsia="en-US"/>
    </w:rPr>
  </w:style>
  <w:style w:type="character" w:customStyle="1" w:styleId="Char3">
    <w:name w:val="Σώμα κείμενου με εσοχή Char"/>
    <w:basedOn w:val="a2"/>
    <w:link w:val="a9"/>
    <w:semiHidden/>
    <w:rsid w:val="002E4A13"/>
    <w:rPr>
      <w:rFonts w:ascii="Times New Roman" w:eastAsia="Times New Roman" w:hAnsi="Times New Roman" w:cs="Times New Roman"/>
      <w:sz w:val="24"/>
      <w:szCs w:val="24"/>
      <w:lang w:eastAsia="en-US"/>
    </w:rPr>
  </w:style>
  <w:style w:type="paragraph" w:styleId="22">
    <w:name w:val="Body Text 2"/>
    <w:basedOn w:val="a1"/>
    <w:link w:val="2Char0"/>
    <w:semiHidden/>
    <w:unhideWhenUsed/>
    <w:rsid w:val="002E4A13"/>
    <w:pPr>
      <w:spacing w:after="240" w:line="240" w:lineRule="auto"/>
      <w:jc w:val="both"/>
    </w:pPr>
    <w:rPr>
      <w:rFonts w:ascii="Times New Roman" w:eastAsia="Times New Roman" w:hAnsi="Times New Roman" w:cs="Times New Roman"/>
      <w:sz w:val="24"/>
      <w:szCs w:val="20"/>
    </w:rPr>
  </w:style>
  <w:style w:type="character" w:customStyle="1" w:styleId="2Char0">
    <w:name w:val="Σώμα κείμενου 2 Char"/>
    <w:basedOn w:val="a2"/>
    <w:link w:val="22"/>
    <w:semiHidden/>
    <w:rsid w:val="002E4A13"/>
    <w:rPr>
      <w:rFonts w:ascii="Times New Roman" w:eastAsia="Times New Roman" w:hAnsi="Times New Roman" w:cs="Times New Roman"/>
      <w:sz w:val="24"/>
      <w:szCs w:val="20"/>
    </w:rPr>
  </w:style>
  <w:style w:type="paragraph" w:styleId="30">
    <w:name w:val="Body Text 3"/>
    <w:basedOn w:val="a1"/>
    <w:link w:val="3Char0"/>
    <w:semiHidden/>
    <w:unhideWhenUsed/>
    <w:rsid w:val="002E4A13"/>
    <w:pPr>
      <w:spacing w:after="240" w:line="240" w:lineRule="auto"/>
      <w:jc w:val="both"/>
    </w:pPr>
    <w:rPr>
      <w:rFonts w:ascii="Times New Roman" w:eastAsia="Times New Roman" w:hAnsi="Times New Roman" w:cs="Times New Roman"/>
      <w:szCs w:val="20"/>
    </w:rPr>
  </w:style>
  <w:style w:type="character" w:customStyle="1" w:styleId="3Char0">
    <w:name w:val="Σώμα κείμενου 3 Char"/>
    <w:basedOn w:val="a2"/>
    <w:link w:val="30"/>
    <w:semiHidden/>
    <w:rsid w:val="002E4A13"/>
    <w:rPr>
      <w:rFonts w:ascii="Times New Roman" w:eastAsia="Times New Roman" w:hAnsi="Times New Roman" w:cs="Times New Roman"/>
      <w:szCs w:val="20"/>
    </w:rPr>
  </w:style>
  <w:style w:type="paragraph" w:styleId="aa">
    <w:name w:val="Balloon Text"/>
    <w:basedOn w:val="a1"/>
    <w:link w:val="Char4"/>
    <w:semiHidden/>
    <w:unhideWhenUsed/>
    <w:rsid w:val="002E4A13"/>
    <w:pPr>
      <w:spacing w:after="0" w:line="240" w:lineRule="auto"/>
      <w:jc w:val="both"/>
    </w:pPr>
    <w:rPr>
      <w:rFonts w:ascii="Tahoma" w:eastAsia="Times New Roman" w:hAnsi="Tahoma" w:cs="Tahoma"/>
      <w:sz w:val="16"/>
      <w:szCs w:val="16"/>
    </w:rPr>
  </w:style>
  <w:style w:type="character" w:customStyle="1" w:styleId="Char4">
    <w:name w:val="Κείμενο πλαισίου Char"/>
    <w:basedOn w:val="a2"/>
    <w:link w:val="aa"/>
    <w:semiHidden/>
    <w:rsid w:val="002E4A13"/>
    <w:rPr>
      <w:rFonts w:ascii="Tahoma" w:eastAsia="Times New Roman" w:hAnsi="Tahoma" w:cs="Tahoma"/>
      <w:sz w:val="16"/>
      <w:szCs w:val="16"/>
    </w:rPr>
  </w:style>
  <w:style w:type="paragraph" w:customStyle="1" w:styleId="boxesappendix">
    <w:name w:val="boxes appendix"/>
    <w:basedOn w:val="a1"/>
    <w:rsid w:val="002E4A13"/>
    <w:pPr>
      <w:spacing w:after="120" w:line="240" w:lineRule="auto"/>
      <w:ind w:left="340"/>
      <w:jc w:val="both"/>
    </w:pPr>
    <w:rPr>
      <w:rFonts w:ascii="Garamond" w:eastAsia="Times New Roman" w:hAnsi="Garamond" w:cs="Times New Roman"/>
      <w:color w:val="FF00FF"/>
      <w:sz w:val="18"/>
      <w:szCs w:val="20"/>
      <w:lang w:val="en-GB"/>
    </w:rPr>
  </w:style>
  <w:style w:type="paragraph" w:customStyle="1" w:styleId="aaaa">
    <w:name w:val="aaaa"/>
    <w:basedOn w:val="a1"/>
    <w:rsid w:val="002E4A13"/>
    <w:pPr>
      <w:spacing w:before="120" w:after="120" w:line="360" w:lineRule="auto"/>
      <w:jc w:val="both"/>
    </w:pPr>
    <w:rPr>
      <w:rFonts w:ascii="Arial" w:eastAsia="Times New Roman" w:hAnsi="Arial" w:cs="Times New Roman"/>
      <w:szCs w:val="24"/>
      <w:lang w:eastAsia="en-US"/>
    </w:rPr>
  </w:style>
  <w:style w:type="paragraph" w:customStyle="1" w:styleId="ab">
    <w:name w:val="ΠΙΝΑΚΑΣ"/>
    <w:basedOn w:val="a8"/>
    <w:rsid w:val="002E4A13"/>
    <w:pPr>
      <w:snapToGrid w:val="0"/>
      <w:spacing w:after="0" w:line="240" w:lineRule="auto"/>
      <w:ind w:left="0" w:right="0"/>
      <w:jc w:val="left"/>
    </w:pPr>
    <w:rPr>
      <w:rFonts w:ascii="Arial" w:hAnsi="Arial"/>
      <w:noProof/>
      <w:sz w:val="22"/>
    </w:rPr>
  </w:style>
  <w:style w:type="paragraph" w:customStyle="1" w:styleId="Default">
    <w:name w:val="Default"/>
    <w:rsid w:val="002E4A1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c">
    <w:name w:val="Table Grid"/>
    <w:basedOn w:val="a3"/>
    <w:rsid w:val="002E4A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0308331">
      <w:bodyDiv w:val="1"/>
      <w:marLeft w:val="0"/>
      <w:marRight w:val="0"/>
      <w:marTop w:val="0"/>
      <w:marBottom w:val="0"/>
      <w:divBdr>
        <w:top w:val="none" w:sz="0" w:space="0" w:color="auto"/>
        <w:left w:val="none" w:sz="0" w:space="0" w:color="auto"/>
        <w:bottom w:val="none" w:sz="0" w:space="0" w:color="auto"/>
        <w:right w:val="none" w:sz="0" w:space="0" w:color="auto"/>
      </w:divBdr>
    </w:div>
    <w:div w:id="16030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1373</Words>
  <Characters>7415</Characters>
  <Application>Microsoft Office Word</Application>
  <DocSecurity>0</DocSecurity>
  <Lines>61</Lines>
  <Paragraphs>17</Paragraphs>
  <ScaleCrop>false</ScaleCrop>
  <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RioTech</cp:lastModifiedBy>
  <cp:revision>2</cp:revision>
  <dcterms:created xsi:type="dcterms:W3CDTF">2018-01-15T07:20:00Z</dcterms:created>
  <dcterms:modified xsi:type="dcterms:W3CDTF">2018-01-15T07:20:00Z</dcterms:modified>
</cp:coreProperties>
</file>