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6D" w:rsidRPr="005E0896" w:rsidRDefault="0050346D" w:rsidP="0050346D">
      <w:pPr>
        <w:pStyle w:val="aa"/>
        <w:spacing w:line="360" w:lineRule="auto"/>
        <w:jc w:val="center"/>
      </w:pPr>
    </w:p>
    <w:p w:rsidR="0050346D" w:rsidRPr="00390868" w:rsidRDefault="0050346D" w:rsidP="0050346D">
      <w:pPr>
        <w:pStyle w:val="aa"/>
        <w:spacing w:line="360" w:lineRule="auto"/>
        <w:jc w:val="center"/>
        <w:rPr>
          <w:lang w:val="en-US"/>
        </w:rPr>
      </w:pPr>
    </w:p>
    <w:p w:rsidR="0050346D" w:rsidRPr="00154433" w:rsidRDefault="0050346D" w:rsidP="0050346D">
      <w:pPr>
        <w:pStyle w:val="aa"/>
        <w:spacing w:line="360" w:lineRule="auto"/>
        <w:jc w:val="center"/>
        <w:rPr>
          <w:b/>
          <w:lang w:val="en-US"/>
        </w:rPr>
      </w:pPr>
    </w:p>
    <w:p w:rsidR="0050346D" w:rsidRPr="00154433" w:rsidRDefault="00154433" w:rsidP="0050346D">
      <w:pPr>
        <w:pStyle w:val="aa"/>
        <w:spacing w:line="360" w:lineRule="auto"/>
        <w:jc w:val="center"/>
        <w:rPr>
          <w:b/>
          <w:bCs/>
          <w:spacing w:val="20"/>
          <w:sz w:val="28"/>
        </w:rPr>
      </w:pPr>
      <w:r w:rsidRPr="00154433">
        <w:rPr>
          <w:b/>
        </w:rPr>
        <w:t>ΕΙΣΑΓΩΓΗ ΣΤΗΝ ΤΡΑΠΕΖΙΚΗ ΟΙΚΟΝΟΜΙΚΗ ΚΑΙ ΤΙΣ ΚΕΦΑΛΑΙΑΓΟΡΕΣ</w:t>
      </w:r>
    </w:p>
    <w:p w:rsidR="0050346D" w:rsidRPr="00390868" w:rsidRDefault="0050346D" w:rsidP="0050346D">
      <w:pPr>
        <w:pStyle w:val="aa"/>
        <w:spacing w:line="360" w:lineRule="auto"/>
        <w:jc w:val="center"/>
        <w:rPr>
          <w:b/>
          <w:bCs/>
          <w:sz w:val="28"/>
        </w:rPr>
      </w:pPr>
    </w:p>
    <w:p w:rsidR="0050346D" w:rsidRPr="00390868" w:rsidRDefault="0050346D" w:rsidP="0050346D">
      <w:pPr>
        <w:pStyle w:val="aa"/>
        <w:tabs>
          <w:tab w:val="clear" w:pos="4153"/>
          <w:tab w:val="clear" w:pos="8306"/>
        </w:tabs>
        <w:spacing w:line="360" w:lineRule="auto"/>
        <w:jc w:val="center"/>
      </w:pPr>
      <w:r w:rsidRPr="00390868">
        <w:t xml:space="preserve">ΣΥΡΙΟΠΟΥΛΟΣ ΚΩΝΣΤΑΝΤΙΝΟΣ </w:t>
      </w:r>
    </w:p>
    <w:p w:rsidR="0050346D" w:rsidRPr="00390868" w:rsidRDefault="0050346D" w:rsidP="0050346D">
      <w:pPr>
        <w:pStyle w:val="aa"/>
        <w:tabs>
          <w:tab w:val="clear" w:pos="4153"/>
          <w:tab w:val="clear" w:pos="8306"/>
        </w:tabs>
        <w:spacing w:line="360" w:lineRule="auto"/>
        <w:jc w:val="center"/>
      </w:pPr>
    </w:p>
    <w:p w:rsidR="0050346D" w:rsidRPr="00390868" w:rsidRDefault="0050346D" w:rsidP="0050346D">
      <w:pPr>
        <w:pStyle w:val="aa"/>
        <w:tabs>
          <w:tab w:val="clear" w:pos="4153"/>
          <w:tab w:val="clear" w:pos="8306"/>
        </w:tabs>
        <w:spacing w:line="360" w:lineRule="auto"/>
        <w:jc w:val="center"/>
      </w:pPr>
      <w:r w:rsidRPr="00390868">
        <w:t xml:space="preserve">ΠΑΠΑΔΑΜΟΥ ΣΤΕΦΑΝΟΣ </w:t>
      </w:r>
    </w:p>
    <w:p w:rsidR="0050346D" w:rsidRPr="00390868" w:rsidRDefault="0050346D" w:rsidP="0050346D">
      <w:pPr>
        <w:pStyle w:val="aa"/>
        <w:tabs>
          <w:tab w:val="clear" w:pos="4153"/>
          <w:tab w:val="clear" w:pos="8306"/>
        </w:tabs>
        <w:spacing w:line="360" w:lineRule="auto"/>
        <w:jc w:val="center"/>
      </w:pPr>
    </w:p>
    <w:p w:rsidR="0050346D" w:rsidRPr="00390868" w:rsidRDefault="0050346D" w:rsidP="0050346D">
      <w:pPr>
        <w:pStyle w:val="aa"/>
        <w:tabs>
          <w:tab w:val="clear" w:pos="4153"/>
          <w:tab w:val="clear" w:pos="8306"/>
        </w:tabs>
        <w:spacing w:line="360" w:lineRule="auto"/>
        <w:jc w:val="center"/>
      </w:pPr>
    </w:p>
    <w:p w:rsidR="0050346D" w:rsidRPr="00390868" w:rsidRDefault="0050346D" w:rsidP="0050346D">
      <w:pPr>
        <w:pStyle w:val="aa"/>
        <w:tabs>
          <w:tab w:val="clear" w:pos="4153"/>
          <w:tab w:val="clear" w:pos="8306"/>
        </w:tabs>
        <w:spacing w:line="360" w:lineRule="auto"/>
        <w:jc w:val="center"/>
        <w:rPr>
          <w:sz w:val="20"/>
        </w:rPr>
      </w:pPr>
    </w:p>
    <w:p w:rsidR="0050346D" w:rsidRPr="00154433" w:rsidRDefault="00154433" w:rsidP="0050346D">
      <w:pPr>
        <w:pStyle w:val="aa"/>
        <w:tabs>
          <w:tab w:val="clear" w:pos="4153"/>
          <w:tab w:val="clear" w:pos="8306"/>
        </w:tabs>
        <w:spacing w:line="360" w:lineRule="auto"/>
        <w:jc w:val="center"/>
        <w:rPr>
          <w:sz w:val="20"/>
        </w:rPr>
      </w:pPr>
      <w:r>
        <w:rPr>
          <w:sz w:val="20"/>
        </w:rPr>
        <w:t>ΠΑΤΡΑ</w:t>
      </w:r>
    </w:p>
    <w:p w:rsidR="0050346D" w:rsidRPr="00390868" w:rsidRDefault="0050346D" w:rsidP="0050346D">
      <w:pPr>
        <w:pStyle w:val="aa"/>
        <w:tabs>
          <w:tab w:val="clear" w:pos="4153"/>
          <w:tab w:val="clear" w:pos="8306"/>
        </w:tabs>
        <w:spacing w:line="360" w:lineRule="auto"/>
        <w:jc w:val="center"/>
      </w:pPr>
      <w:r w:rsidRPr="00390868">
        <w:rPr>
          <w:sz w:val="20"/>
        </w:rPr>
        <w:t>ΦΕΒΡΟΥΑΡΙΟΣ  2014</w:t>
      </w:r>
    </w:p>
    <w:p w:rsidR="0050346D" w:rsidRPr="00390868" w:rsidRDefault="0050346D" w:rsidP="0050346D">
      <w:pPr>
        <w:pStyle w:val="a7"/>
        <w:spacing w:line="360" w:lineRule="auto"/>
        <w:jc w:val="center"/>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1672EE" w:rsidRPr="00390868" w:rsidRDefault="001672EE">
      <w:pPr>
        <w:spacing w:line="360" w:lineRule="auto"/>
        <w:jc w:val="center"/>
        <w:rPr>
          <w:b/>
          <w:sz w:val="32"/>
          <w:szCs w:val="32"/>
        </w:rPr>
      </w:pPr>
      <w:r w:rsidRPr="00390868">
        <w:rPr>
          <w:b/>
          <w:sz w:val="32"/>
          <w:szCs w:val="32"/>
        </w:rPr>
        <w:lastRenderedPageBreak/>
        <w:t>ΠΕΡΙΕΧΟΜΕΝΑ</w:t>
      </w:r>
    </w:p>
    <w:bookmarkStart w:id="0" w:name="_Toc325409021"/>
    <w:p w:rsidR="00574CF1" w:rsidRDefault="00177F7A">
      <w:pPr>
        <w:pStyle w:val="10"/>
        <w:rPr>
          <w:rFonts w:asciiTheme="minorHAnsi" w:eastAsiaTheme="minorEastAsia" w:hAnsiTheme="minorHAnsi" w:cstheme="minorBidi"/>
          <w:sz w:val="22"/>
          <w:szCs w:val="22"/>
        </w:rPr>
      </w:pPr>
      <w:r w:rsidRPr="00177F7A">
        <w:fldChar w:fldCharType="begin"/>
      </w:r>
      <w:r w:rsidR="001672EE" w:rsidRPr="00390868">
        <w:instrText xml:space="preserve"> TOC \o "1-3" \f \h \z \u </w:instrText>
      </w:r>
      <w:r w:rsidRPr="00177F7A">
        <w:fldChar w:fldCharType="separate"/>
      </w:r>
      <w:hyperlink w:anchor="_Toc396034949" w:history="1">
        <w:r w:rsidR="00574CF1" w:rsidRPr="003F4AD8">
          <w:rPr>
            <w:rStyle w:val="-"/>
          </w:rPr>
          <w:t>ΚΕΦΑΛΑΙΟ 6</w:t>
        </w:r>
        <w:r w:rsidR="00574CF1">
          <w:rPr>
            <w:webHidden/>
          </w:rPr>
          <w:tab/>
        </w:r>
        <w:r>
          <w:rPr>
            <w:webHidden/>
          </w:rPr>
          <w:fldChar w:fldCharType="begin"/>
        </w:r>
        <w:r w:rsidR="00574CF1">
          <w:rPr>
            <w:webHidden/>
          </w:rPr>
          <w:instrText xml:space="preserve"> PAGEREF _Toc396034949 \h </w:instrText>
        </w:r>
        <w:r>
          <w:rPr>
            <w:webHidden/>
          </w:rPr>
        </w:r>
        <w:r>
          <w:rPr>
            <w:webHidden/>
          </w:rPr>
          <w:fldChar w:fldCharType="separate"/>
        </w:r>
        <w:r w:rsidR="00574CF1">
          <w:rPr>
            <w:webHidden/>
          </w:rPr>
          <w:t>3</w:t>
        </w:r>
        <w:r>
          <w:rPr>
            <w:webHidden/>
          </w:rPr>
          <w:fldChar w:fldCharType="end"/>
        </w:r>
      </w:hyperlink>
    </w:p>
    <w:p w:rsidR="00574CF1" w:rsidRDefault="00177F7A">
      <w:pPr>
        <w:pStyle w:val="10"/>
        <w:rPr>
          <w:rFonts w:asciiTheme="minorHAnsi" w:eastAsiaTheme="minorEastAsia" w:hAnsiTheme="minorHAnsi" w:cstheme="minorBidi"/>
          <w:sz w:val="22"/>
          <w:szCs w:val="22"/>
        </w:rPr>
      </w:pPr>
      <w:hyperlink w:anchor="_Toc396034950" w:history="1">
        <w:r w:rsidR="00574CF1" w:rsidRPr="003F4AD8">
          <w:rPr>
            <w:rStyle w:val="-"/>
          </w:rPr>
          <w:t>ΤΡΑΠΕΖΙΚΗ ΕΠΟΠΤΕΙΑ ΚΑΙ ΡΥΘΜΙΣΤΙΚΟ ΠΛΑΙΣΙΟ ΤΩΝ ΧΡΗΜΑΤΟΟΙΚΟΝΟΜΙΚΩΝ ΑΓΟΡΩΝ</w:t>
        </w:r>
        <w:r w:rsidR="00574CF1">
          <w:rPr>
            <w:webHidden/>
          </w:rPr>
          <w:tab/>
        </w:r>
        <w:r>
          <w:rPr>
            <w:webHidden/>
          </w:rPr>
          <w:fldChar w:fldCharType="begin"/>
        </w:r>
        <w:r w:rsidR="00574CF1">
          <w:rPr>
            <w:webHidden/>
          </w:rPr>
          <w:instrText xml:space="preserve"> PAGEREF _Toc396034950 \h </w:instrText>
        </w:r>
        <w:r>
          <w:rPr>
            <w:webHidden/>
          </w:rPr>
        </w:r>
        <w:r>
          <w:rPr>
            <w:webHidden/>
          </w:rPr>
          <w:fldChar w:fldCharType="separate"/>
        </w:r>
        <w:r w:rsidR="00574CF1">
          <w:rPr>
            <w:webHidden/>
          </w:rPr>
          <w:t>3</w:t>
        </w:r>
        <w:r>
          <w:rPr>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1" w:history="1">
        <w:r w:rsidR="00574CF1" w:rsidRPr="003F4AD8">
          <w:rPr>
            <w:rStyle w:val="-"/>
            <w:noProof/>
          </w:rPr>
          <w:t>6.1 Η σημασία ενός θεσμικού-ρυθμιστικού πλαισίου</w:t>
        </w:r>
        <w:r w:rsidR="00574CF1">
          <w:rPr>
            <w:noProof/>
            <w:webHidden/>
          </w:rPr>
          <w:tab/>
        </w:r>
        <w:r>
          <w:rPr>
            <w:noProof/>
            <w:webHidden/>
          </w:rPr>
          <w:fldChar w:fldCharType="begin"/>
        </w:r>
        <w:r w:rsidR="00574CF1">
          <w:rPr>
            <w:noProof/>
            <w:webHidden/>
          </w:rPr>
          <w:instrText xml:space="preserve"> PAGEREF _Toc396034951 \h </w:instrText>
        </w:r>
        <w:r>
          <w:rPr>
            <w:noProof/>
            <w:webHidden/>
          </w:rPr>
        </w:r>
        <w:r>
          <w:rPr>
            <w:noProof/>
            <w:webHidden/>
          </w:rPr>
          <w:fldChar w:fldCharType="separate"/>
        </w:r>
        <w:r w:rsidR="00574CF1">
          <w:rPr>
            <w:noProof/>
            <w:webHidden/>
          </w:rPr>
          <w:t>3</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2" w:history="1">
        <w:r w:rsidR="00574CF1" w:rsidRPr="003F4AD8">
          <w:rPr>
            <w:rStyle w:val="-"/>
            <w:noProof/>
          </w:rPr>
          <w:t>6.2 Λόγοι υπέρ και κατά της τραπεζικής εποπτείας</w:t>
        </w:r>
        <w:r w:rsidR="00574CF1">
          <w:rPr>
            <w:noProof/>
            <w:webHidden/>
          </w:rPr>
          <w:tab/>
        </w:r>
        <w:r>
          <w:rPr>
            <w:noProof/>
            <w:webHidden/>
          </w:rPr>
          <w:fldChar w:fldCharType="begin"/>
        </w:r>
        <w:r w:rsidR="00574CF1">
          <w:rPr>
            <w:noProof/>
            <w:webHidden/>
          </w:rPr>
          <w:instrText xml:space="preserve"> PAGEREF _Toc396034952 \h </w:instrText>
        </w:r>
        <w:r>
          <w:rPr>
            <w:noProof/>
            <w:webHidden/>
          </w:rPr>
        </w:r>
        <w:r>
          <w:rPr>
            <w:noProof/>
            <w:webHidden/>
          </w:rPr>
          <w:fldChar w:fldCharType="separate"/>
        </w:r>
        <w:r w:rsidR="00574CF1">
          <w:rPr>
            <w:noProof/>
            <w:webHidden/>
          </w:rPr>
          <w:t>4</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3" w:history="1">
        <w:r w:rsidR="00574CF1" w:rsidRPr="003F4AD8">
          <w:rPr>
            <w:rStyle w:val="-"/>
            <w:noProof/>
          </w:rPr>
          <w:t>6.3 Διεθνοποίηση του ρυθμιστικού πλαισίου</w:t>
        </w:r>
        <w:r w:rsidR="00574CF1">
          <w:rPr>
            <w:noProof/>
            <w:webHidden/>
          </w:rPr>
          <w:tab/>
        </w:r>
        <w:r>
          <w:rPr>
            <w:noProof/>
            <w:webHidden/>
          </w:rPr>
          <w:fldChar w:fldCharType="begin"/>
        </w:r>
        <w:r w:rsidR="00574CF1">
          <w:rPr>
            <w:noProof/>
            <w:webHidden/>
          </w:rPr>
          <w:instrText xml:space="preserve"> PAGEREF _Toc396034953 \h </w:instrText>
        </w:r>
        <w:r>
          <w:rPr>
            <w:noProof/>
            <w:webHidden/>
          </w:rPr>
        </w:r>
        <w:r>
          <w:rPr>
            <w:noProof/>
            <w:webHidden/>
          </w:rPr>
          <w:fldChar w:fldCharType="separate"/>
        </w:r>
        <w:r w:rsidR="00574CF1">
          <w:rPr>
            <w:noProof/>
            <w:webHidden/>
          </w:rPr>
          <w:t>7</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4" w:history="1">
        <w:r w:rsidR="00574CF1" w:rsidRPr="003F4AD8">
          <w:rPr>
            <w:rStyle w:val="-"/>
            <w:noProof/>
          </w:rPr>
          <w:t>6.4 Ρυθμιστικό πλαίσιο των πιστωτικών ιδρυμάτων: Η Επιτροπή της Βασιλείας</w:t>
        </w:r>
        <w:r w:rsidR="00574CF1">
          <w:rPr>
            <w:noProof/>
            <w:webHidden/>
          </w:rPr>
          <w:tab/>
        </w:r>
        <w:r>
          <w:rPr>
            <w:noProof/>
            <w:webHidden/>
          </w:rPr>
          <w:fldChar w:fldCharType="begin"/>
        </w:r>
        <w:r w:rsidR="00574CF1">
          <w:rPr>
            <w:noProof/>
            <w:webHidden/>
          </w:rPr>
          <w:instrText xml:space="preserve"> PAGEREF _Toc396034954 \h </w:instrText>
        </w:r>
        <w:r>
          <w:rPr>
            <w:noProof/>
            <w:webHidden/>
          </w:rPr>
        </w:r>
        <w:r>
          <w:rPr>
            <w:noProof/>
            <w:webHidden/>
          </w:rPr>
          <w:fldChar w:fldCharType="separate"/>
        </w:r>
        <w:r w:rsidR="00574CF1">
          <w:rPr>
            <w:noProof/>
            <w:webHidden/>
          </w:rPr>
          <w:t>9</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5" w:history="1">
        <w:r w:rsidR="00574CF1" w:rsidRPr="003F4AD8">
          <w:rPr>
            <w:rStyle w:val="-"/>
            <w:noProof/>
          </w:rPr>
          <w:t>6.4.1 Το σύμφωνο για την τραπεζική εποπτεία Βασιλεία Ι</w:t>
        </w:r>
        <w:r w:rsidR="00574CF1">
          <w:rPr>
            <w:noProof/>
            <w:webHidden/>
          </w:rPr>
          <w:tab/>
        </w:r>
        <w:r>
          <w:rPr>
            <w:noProof/>
            <w:webHidden/>
          </w:rPr>
          <w:fldChar w:fldCharType="begin"/>
        </w:r>
        <w:r w:rsidR="00574CF1">
          <w:rPr>
            <w:noProof/>
            <w:webHidden/>
          </w:rPr>
          <w:instrText xml:space="preserve"> PAGEREF _Toc396034955 \h </w:instrText>
        </w:r>
        <w:r>
          <w:rPr>
            <w:noProof/>
            <w:webHidden/>
          </w:rPr>
        </w:r>
        <w:r>
          <w:rPr>
            <w:noProof/>
            <w:webHidden/>
          </w:rPr>
          <w:fldChar w:fldCharType="separate"/>
        </w:r>
        <w:r w:rsidR="00574CF1">
          <w:rPr>
            <w:noProof/>
            <w:webHidden/>
          </w:rPr>
          <w:t>10</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6" w:history="1">
        <w:r w:rsidR="00574CF1" w:rsidRPr="003F4AD8">
          <w:rPr>
            <w:rStyle w:val="-"/>
            <w:noProof/>
          </w:rPr>
          <w:t>6.4.2 Το σύμφωνο για την τραπεζική εποπτεία Βασιλεία ΙΙ</w:t>
        </w:r>
        <w:r w:rsidR="00574CF1">
          <w:rPr>
            <w:noProof/>
            <w:webHidden/>
          </w:rPr>
          <w:tab/>
        </w:r>
        <w:r>
          <w:rPr>
            <w:noProof/>
            <w:webHidden/>
          </w:rPr>
          <w:fldChar w:fldCharType="begin"/>
        </w:r>
        <w:r w:rsidR="00574CF1">
          <w:rPr>
            <w:noProof/>
            <w:webHidden/>
          </w:rPr>
          <w:instrText xml:space="preserve"> PAGEREF _Toc396034956 \h </w:instrText>
        </w:r>
        <w:r>
          <w:rPr>
            <w:noProof/>
            <w:webHidden/>
          </w:rPr>
        </w:r>
        <w:r>
          <w:rPr>
            <w:noProof/>
            <w:webHidden/>
          </w:rPr>
          <w:fldChar w:fldCharType="separate"/>
        </w:r>
        <w:r w:rsidR="00574CF1">
          <w:rPr>
            <w:noProof/>
            <w:webHidden/>
          </w:rPr>
          <w:t>11</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7" w:history="1">
        <w:r w:rsidR="00574CF1" w:rsidRPr="003F4AD8">
          <w:rPr>
            <w:rStyle w:val="-"/>
            <w:noProof/>
          </w:rPr>
          <w:t>6.4.3 Το σύμφωνο για την τραπεζική εποπτεία Βασιλεία ΙΙΙ</w:t>
        </w:r>
        <w:r w:rsidR="00574CF1">
          <w:rPr>
            <w:noProof/>
            <w:webHidden/>
          </w:rPr>
          <w:tab/>
        </w:r>
        <w:r>
          <w:rPr>
            <w:noProof/>
            <w:webHidden/>
          </w:rPr>
          <w:fldChar w:fldCharType="begin"/>
        </w:r>
        <w:r w:rsidR="00574CF1">
          <w:rPr>
            <w:noProof/>
            <w:webHidden/>
          </w:rPr>
          <w:instrText xml:space="preserve"> PAGEREF _Toc396034957 \h </w:instrText>
        </w:r>
        <w:r>
          <w:rPr>
            <w:noProof/>
            <w:webHidden/>
          </w:rPr>
        </w:r>
        <w:r>
          <w:rPr>
            <w:noProof/>
            <w:webHidden/>
          </w:rPr>
          <w:fldChar w:fldCharType="separate"/>
        </w:r>
        <w:r w:rsidR="00574CF1">
          <w:rPr>
            <w:noProof/>
            <w:webHidden/>
          </w:rPr>
          <w:t>13</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8" w:history="1">
        <w:r w:rsidR="00574CF1" w:rsidRPr="003F4AD8">
          <w:rPr>
            <w:rStyle w:val="-"/>
            <w:noProof/>
          </w:rPr>
          <w:t>6.4.4 Η έννοια της αξίας σε κίνδυνο</w:t>
        </w:r>
        <w:r w:rsidR="00574CF1">
          <w:rPr>
            <w:noProof/>
            <w:webHidden/>
          </w:rPr>
          <w:tab/>
        </w:r>
        <w:r>
          <w:rPr>
            <w:noProof/>
            <w:webHidden/>
          </w:rPr>
          <w:fldChar w:fldCharType="begin"/>
        </w:r>
        <w:r w:rsidR="00574CF1">
          <w:rPr>
            <w:noProof/>
            <w:webHidden/>
          </w:rPr>
          <w:instrText xml:space="preserve"> PAGEREF _Toc396034958 \h </w:instrText>
        </w:r>
        <w:r>
          <w:rPr>
            <w:noProof/>
            <w:webHidden/>
          </w:rPr>
        </w:r>
        <w:r>
          <w:rPr>
            <w:noProof/>
            <w:webHidden/>
          </w:rPr>
          <w:fldChar w:fldCharType="separate"/>
        </w:r>
        <w:r w:rsidR="00574CF1">
          <w:rPr>
            <w:noProof/>
            <w:webHidden/>
          </w:rPr>
          <w:t>18</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59" w:history="1">
        <w:r w:rsidR="00574CF1" w:rsidRPr="003F4AD8">
          <w:rPr>
            <w:rStyle w:val="-"/>
            <w:noProof/>
          </w:rPr>
          <w:t>Ερωτήσεις Μελέτης Κεφαλαίου</w:t>
        </w:r>
        <w:r w:rsidR="00574CF1">
          <w:rPr>
            <w:noProof/>
            <w:webHidden/>
          </w:rPr>
          <w:tab/>
        </w:r>
        <w:r>
          <w:rPr>
            <w:noProof/>
            <w:webHidden/>
          </w:rPr>
          <w:fldChar w:fldCharType="begin"/>
        </w:r>
        <w:r w:rsidR="00574CF1">
          <w:rPr>
            <w:noProof/>
            <w:webHidden/>
          </w:rPr>
          <w:instrText xml:space="preserve"> PAGEREF _Toc396034959 \h </w:instrText>
        </w:r>
        <w:r>
          <w:rPr>
            <w:noProof/>
            <w:webHidden/>
          </w:rPr>
        </w:r>
        <w:r>
          <w:rPr>
            <w:noProof/>
            <w:webHidden/>
          </w:rPr>
          <w:fldChar w:fldCharType="separate"/>
        </w:r>
        <w:r w:rsidR="00574CF1">
          <w:rPr>
            <w:noProof/>
            <w:webHidden/>
          </w:rPr>
          <w:t>26</w:t>
        </w:r>
        <w:r>
          <w:rPr>
            <w:noProof/>
            <w:webHidden/>
          </w:rPr>
          <w:fldChar w:fldCharType="end"/>
        </w:r>
      </w:hyperlink>
    </w:p>
    <w:p w:rsidR="00574CF1" w:rsidRDefault="00177F7A">
      <w:pPr>
        <w:pStyle w:val="20"/>
        <w:tabs>
          <w:tab w:val="right" w:leader="dot" w:pos="8302"/>
        </w:tabs>
        <w:rPr>
          <w:rFonts w:asciiTheme="minorHAnsi" w:eastAsiaTheme="minorEastAsia" w:hAnsiTheme="minorHAnsi" w:cstheme="minorBidi"/>
          <w:noProof/>
          <w:sz w:val="22"/>
          <w:szCs w:val="22"/>
        </w:rPr>
      </w:pPr>
      <w:hyperlink w:anchor="_Toc396034960" w:history="1">
        <w:r w:rsidR="00574CF1" w:rsidRPr="003F4AD8">
          <w:rPr>
            <w:rStyle w:val="-"/>
            <w:noProof/>
          </w:rPr>
          <w:t>Βιβλιογραφία Κεφαλαίου</w:t>
        </w:r>
        <w:r w:rsidR="00574CF1">
          <w:rPr>
            <w:noProof/>
            <w:webHidden/>
          </w:rPr>
          <w:tab/>
        </w:r>
        <w:r>
          <w:rPr>
            <w:noProof/>
            <w:webHidden/>
          </w:rPr>
          <w:fldChar w:fldCharType="begin"/>
        </w:r>
        <w:r w:rsidR="00574CF1">
          <w:rPr>
            <w:noProof/>
            <w:webHidden/>
          </w:rPr>
          <w:instrText xml:space="preserve"> PAGEREF _Toc396034960 \h </w:instrText>
        </w:r>
        <w:r>
          <w:rPr>
            <w:noProof/>
            <w:webHidden/>
          </w:rPr>
        </w:r>
        <w:r>
          <w:rPr>
            <w:noProof/>
            <w:webHidden/>
          </w:rPr>
          <w:fldChar w:fldCharType="separate"/>
        </w:r>
        <w:r w:rsidR="00574CF1">
          <w:rPr>
            <w:noProof/>
            <w:webHidden/>
          </w:rPr>
          <w:t>27</w:t>
        </w:r>
        <w:r>
          <w:rPr>
            <w:noProof/>
            <w:webHidden/>
          </w:rPr>
          <w:fldChar w:fldCharType="end"/>
        </w:r>
      </w:hyperlink>
    </w:p>
    <w:p w:rsidR="001672EE" w:rsidRPr="00390868" w:rsidRDefault="00177F7A">
      <w:pPr>
        <w:pStyle w:val="1"/>
        <w:spacing w:before="0" w:after="0" w:line="360" w:lineRule="auto"/>
        <w:jc w:val="both"/>
        <w:rPr>
          <w:rFonts w:ascii="Times New Roman" w:hAnsi="Times New Roman" w:cs="Times New Roman"/>
        </w:rPr>
      </w:pPr>
      <w:r w:rsidRPr="00390868">
        <w:rPr>
          <w:rFonts w:ascii="Times New Roman" w:hAnsi="Times New Roman" w:cs="Times New Roman"/>
        </w:rPr>
        <w:fldChar w:fldCharType="end"/>
      </w:r>
      <w:bookmarkEnd w:id="0"/>
    </w:p>
    <w:p w:rsidR="00DB70D6" w:rsidRPr="00754641" w:rsidRDefault="001672EE" w:rsidP="00DB70D6">
      <w:pPr>
        <w:pStyle w:val="1"/>
        <w:spacing w:before="0" w:after="0" w:line="360" w:lineRule="auto"/>
        <w:jc w:val="both"/>
        <w:rPr>
          <w:color w:val="222222"/>
          <w:shd w:val="clear" w:color="auto" w:fill="FFFFFF"/>
          <w:lang w:val="en-US"/>
        </w:rPr>
      </w:pPr>
      <w:r w:rsidRPr="00390868">
        <w:rPr>
          <w:rFonts w:ascii="Times New Roman" w:hAnsi="Times New Roman" w:cs="Times New Roman"/>
        </w:rPr>
        <w:br w:type="page"/>
      </w:r>
    </w:p>
    <w:p w:rsidR="00460FE5" w:rsidRDefault="001672EE" w:rsidP="00460FE5">
      <w:pPr>
        <w:pStyle w:val="1"/>
        <w:spacing w:before="0" w:after="0" w:line="360" w:lineRule="auto"/>
        <w:jc w:val="both"/>
        <w:rPr>
          <w:rFonts w:ascii="Times New Roman" w:hAnsi="Times New Roman" w:cs="Times New Roman"/>
        </w:rPr>
      </w:pPr>
      <w:bookmarkStart w:id="1" w:name="_Toc326102469"/>
      <w:bookmarkStart w:id="2" w:name="_Toc396034949"/>
      <w:bookmarkStart w:id="3" w:name="_Toc325149009"/>
      <w:r w:rsidRPr="00390868">
        <w:rPr>
          <w:rFonts w:ascii="Times New Roman" w:hAnsi="Times New Roman" w:cs="Times New Roman"/>
        </w:rPr>
        <w:lastRenderedPageBreak/>
        <w:t xml:space="preserve">ΚΕΦΑΛΑΙΟ </w:t>
      </w:r>
      <w:bookmarkEnd w:id="1"/>
      <w:r w:rsidR="00861F97">
        <w:rPr>
          <w:rFonts w:ascii="Times New Roman" w:hAnsi="Times New Roman" w:cs="Times New Roman"/>
        </w:rPr>
        <w:t>6</w:t>
      </w:r>
      <w:bookmarkEnd w:id="2"/>
      <w:r w:rsidRPr="00390868">
        <w:rPr>
          <w:rFonts w:ascii="Times New Roman" w:hAnsi="Times New Roman" w:cs="Times New Roman"/>
        </w:rPr>
        <w:t xml:space="preserve"> </w:t>
      </w:r>
      <w:bookmarkStart w:id="4" w:name="_Toc325149010"/>
      <w:bookmarkEnd w:id="3"/>
    </w:p>
    <w:p w:rsidR="001672EE" w:rsidRPr="00460FE5" w:rsidRDefault="004F12E8" w:rsidP="00460FE5">
      <w:pPr>
        <w:pStyle w:val="1"/>
        <w:spacing w:before="0" w:after="0" w:line="360" w:lineRule="auto"/>
        <w:jc w:val="both"/>
        <w:rPr>
          <w:rFonts w:ascii="Times New Roman" w:hAnsi="Times New Roman" w:cs="Times New Roman"/>
        </w:rPr>
      </w:pPr>
      <w:bookmarkStart w:id="5" w:name="_Toc396034950"/>
      <w:r w:rsidRPr="00460FE5">
        <w:rPr>
          <w:rFonts w:ascii="Times New Roman" w:hAnsi="Times New Roman" w:cs="Times New Roman"/>
        </w:rPr>
        <w:t>ΤΡΑΠΕΖΙΚΗ ΕΠΟΠΤΕΙΑ ΚΑΙ ΡΥΘΜΙΣΤΙΚΟ ΠΛΑΙΣΙΟ ΤΩΝ ΧΡΗΜΑΤΟΟΙΚΟΝΟΜΙΚΩΝ ΑΓΟΡΩΝ</w:t>
      </w:r>
      <w:bookmarkEnd w:id="5"/>
    </w:p>
    <w:p w:rsidR="004F12E8" w:rsidRDefault="004F12E8" w:rsidP="00861F97">
      <w:pPr>
        <w:pStyle w:val="2"/>
        <w:spacing w:before="0" w:after="0" w:line="360" w:lineRule="auto"/>
        <w:jc w:val="both"/>
        <w:rPr>
          <w:rFonts w:ascii="Times New Roman" w:hAnsi="Times New Roman" w:cs="Times New Roman"/>
          <w:i w:val="0"/>
        </w:rPr>
      </w:pPr>
    </w:p>
    <w:p w:rsidR="004F12E8" w:rsidRDefault="00861F97" w:rsidP="004F12E8">
      <w:pPr>
        <w:pStyle w:val="2"/>
        <w:spacing w:before="0" w:after="0" w:line="360" w:lineRule="auto"/>
        <w:jc w:val="both"/>
        <w:rPr>
          <w:rFonts w:ascii="Times New Roman" w:hAnsi="Times New Roman" w:cs="Times New Roman"/>
          <w:i w:val="0"/>
        </w:rPr>
      </w:pPr>
      <w:bookmarkStart w:id="6" w:name="_Toc396034951"/>
      <w:r>
        <w:rPr>
          <w:rFonts w:ascii="Times New Roman" w:hAnsi="Times New Roman" w:cs="Times New Roman"/>
          <w:i w:val="0"/>
        </w:rPr>
        <w:t>6</w:t>
      </w:r>
      <w:r w:rsidRPr="00390868">
        <w:rPr>
          <w:rFonts w:ascii="Times New Roman" w:hAnsi="Times New Roman" w:cs="Times New Roman"/>
          <w:i w:val="0"/>
        </w:rPr>
        <w:t xml:space="preserve">.1 </w:t>
      </w:r>
      <w:r w:rsidR="004F12E8" w:rsidRPr="004F12E8">
        <w:rPr>
          <w:rFonts w:ascii="Times New Roman" w:hAnsi="Times New Roman" w:cs="Times New Roman"/>
          <w:i w:val="0"/>
        </w:rPr>
        <w:t xml:space="preserve">Η </w:t>
      </w:r>
      <w:r w:rsidR="001E2C46">
        <w:rPr>
          <w:rFonts w:ascii="Times New Roman" w:hAnsi="Times New Roman" w:cs="Times New Roman"/>
          <w:i w:val="0"/>
        </w:rPr>
        <w:t>σημασ</w:t>
      </w:r>
      <w:r w:rsidR="000414F6">
        <w:rPr>
          <w:rFonts w:ascii="Times New Roman" w:hAnsi="Times New Roman" w:cs="Times New Roman"/>
          <w:i w:val="0"/>
        </w:rPr>
        <w:t>ία</w:t>
      </w:r>
      <w:r w:rsidR="001E2C46">
        <w:rPr>
          <w:rFonts w:ascii="Times New Roman" w:hAnsi="Times New Roman" w:cs="Times New Roman"/>
          <w:i w:val="0"/>
        </w:rPr>
        <w:t xml:space="preserve"> ενός θεσμικού-ρυθμιστικού πλαισίου</w:t>
      </w:r>
      <w:bookmarkEnd w:id="6"/>
      <w:r w:rsidR="004F12E8" w:rsidRPr="004F12E8">
        <w:rPr>
          <w:rFonts w:ascii="Times New Roman" w:hAnsi="Times New Roman" w:cs="Times New Roman"/>
          <w:i w:val="0"/>
        </w:rPr>
        <w:t xml:space="preserve"> </w:t>
      </w:r>
    </w:p>
    <w:p w:rsidR="006E19E2" w:rsidRPr="002F7261" w:rsidRDefault="001A489A" w:rsidP="006E19E2">
      <w:pPr>
        <w:autoSpaceDE w:val="0"/>
        <w:autoSpaceDN w:val="0"/>
        <w:adjustRightInd w:val="0"/>
        <w:spacing w:line="360" w:lineRule="auto"/>
        <w:ind w:firstLine="720"/>
        <w:jc w:val="both"/>
      </w:pPr>
      <w:r>
        <w:t>Το χρηματοπιστωτικό σύστημα αποτελούμενο κατά βάση από τις τράπεζες και τις κεφαλαιαγορές διαδραματίζει ιδιαίτερα σημαντικό ρόλο στην οικονομική ανάπτυξη μέσα από την αποτελεσματική κατανομή των κεφαλαίων μεταξύ των οικονομικών μονάδων. Η ύπαρξη ενός θεσμικού- ρυθμιστικού πλαισίου (</w:t>
      </w:r>
      <w:r w:rsidRPr="006E19E2">
        <w:t>regulation</w:t>
      </w:r>
      <w:r>
        <w:t>) κρίνεται απαραίτητη. Η κατάρρευση της εμπιστοσύνης του κοινού στο τραπεζικό σύστημα και στην ορθή λειτουργία των κεφαλαιαγορών</w:t>
      </w:r>
      <w:r w:rsidR="009C6BF3">
        <w:t xml:space="preserve"> </w:t>
      </w:r>
      <w:r>
        <w:t>μπορεί με μεγάλη πιθανότητα να οδηγήσει σε μια αρχικά χρηματοπιστωτική κρίση</w:t>
      </w:r>
      <w:r w:rsidR="009C6BF3">
        <w:t>,</w:t>
      </w:r>
      <w:r>
        <w:t xml:space="preserve"> η οποία αργότερα θα επηρεάσει καίρια την οικονομική δραστηριότητα. Το ρυθμιστικό πλαίσιο οφείλει να διευκολύνει την επιχειρηματική δράση μέσα πάντα όμως σε συγκεκριμένα πλαίσια ώστε να μπορεί να παρακολουθεί την ανάληψη των κινδύνων σε κάθε δράση. Η πλήρης απελευθέρωση μπορεί να συμβάλλει ταχύτερα στην ανάπτυξη όμως μπορεί κάλλιστα να δημιουργήσει κρίσεις με αρνητικές μακροχρόνιες συνέπειες για μια κοινωνία.</w:t>
      </w:r>
      <w:r w:rsidR="009C6BF3">
        <w:t xml:space="preserve"> Η επιβολή ενός αυστηρού πλαισίου</w:t>
      </w:r>
      <w:r>
        <w:t xml:space="preserve"> από την άλλη μπορεί να αποτελέσει τροχοπέδη στην οικονομική α</w:t>
      </w:r>
      <w:r w:rsidRPr="002F7261">
        <w:t>νάπτυξη.</w:t>
      </w:r>
      <w:r w:rsidR="006E19E2" w:rsidRPr="002F7261">
        <w:t xml:space="preserve"> Ο Goodhart (1996) αναφέρει χαρακτηριστικά ότι η άριστη ρύθμιση είναι εκείνη που αποτυγχάνει από καιρό εις καιρό στην εξάσκηση των υποχρεώσεων της αλλά η οποιαδήποτε άλλη επιλογή θα είχε πολύ μεγαλύτερο κόστος.</w:t>
      </w:r>
    </w:p>
    <w:p w:rsidR="001A489A" w:rsidRPr="00031FFC" w:rsidRDefault="001A489A" w:rsidP="006E19E2">
      <w:pPr>
        <w:autoSpaceDE w:val="0"/>
        <w:autoSpaceDN w:val="0"/>
        <w:adjustRightInd w:val="0"/>
        <w:spacing w:line="360" w:lineRule="auto"/>
        <w:ind w:firstLine="720"/>
        <w:jc w:val="both"/>
      </w:pPr>
      <w:r w:rsidRPr="002F7261">
        <w:t>Η παγκοσμιοποίηση των κεφαλαιαγορών και η επέκταση των τραπεζικών εργασιών διεθνώς έκανε την εναρμόνιση των εθνικών θεσμικών πλαισίων αναγκαιότητα.</w:t>
      </w:r>
      <w:r w:rsidR="006E19E2" w:rsidRPr="002F7261">
        <w:t xml:space="preserve"> </w:t>
      </w:r>
      <w:r w:rsidR="00031FFC" w:rsidRPr="002F7261">
        <w:t>Το θεσμικό πλαίσιο θα πρέπει να εποπτεύει την φερεγγυότητα και την ρευστότητα των συμμετεχόντων με έναν προληπτικό θα λέγαμε τρόπο (prudential regulation), την δομή και τις διαδικασίες λειτουργίας των χρηματοπιστωτικών οργανισμών</w:t>
      </w:r>
      <w:r w:rsidR="009C6BF3">
        <w:t xml:space="preserve"> και</w:t>
      </w:r>
      <w:r w:rsidR="00031FFC" w:rsidRPr="002F7261">
        <w:t xml:space="preserve"> </w:t>
      </w:r>
      <w:r w:rsidR="009C6BF3">
        <w:t xml:space="preserve">των </w:t>
      </w:r>
      <w:r w:rsidR="00031FFC" w:rsidRPr="002F7261">
        <w:t>κεφαλαιαγορών (structural regulation)</w:t>
      </w:r>
      <w:r w:rsidR="009C6BF3">
        <w:t>,</w:t>
      </w:r>
      <w:r w:rsidR="00031FFC" w:rsidRPr="002F7261">
        <w:t xml:space="preserve"> και να συμβάλλει στην προστασία των επενδυτών (investor protection). Οι ρυθμίσεις όμως κατά των </w:t>
      </w:r>
      <w:r w:rsidR="006E19E2" w:rsidRPr="002F7261">
        <w:t>Ke</w:t>
      </w:r>
      <w:r w:rsidR="00031FFC" w:rsidRPr="002F7261">
        <w:t>eler</w:t>
      </w:r>
      <w:r w:rsidR="006E19E2" w:rsidRPr="002F7261">
        <w:t xml:space="preserve"> </w:t>
      </w:r>
      <w:r w:rsidR="00031FFC" w:rsidRPr="002F7261">
        <w:t xml:space="preserve">(1984) θα πρέπει </w:t>
      </w:r>
      <w:r w:rsidR="00031FFC">
        <w:t>να απευθύνονται στο δημόσιο συμφέρον στοχεύοντας στην μακροοικονομική και χρηματοοικονομική σταθερότητα.</w:t>
      </w:r>
      <w:r>
        <w:t xml:space="preserve"> </w:t>
      </w:r>
      <w:r w:rsidR="00031FFC">
        <w:t xml:space="preserve">Η διατήρηση υψηλού </w:t>
      </w:r>
      <w:r w:rsidR="00031FFC">
        <w:lastRenderedPageBreak/>
        <w:t xml:space="preserve">επιπέδου ανταγωνισμού μεταξύ των χρηματοπιστωτικών ιδρυμάτων αλλά και οι παρακολούθηση των κινδύνων αποτελούν έννοιες στενά συνδεδεμένες. </w:t>
      </w:r>
    </w:p>
    <w:p w:rsidR="0070540D" w:rsidRDefault="0070540D" w:rsidP="006E19E2">
      <w:pPr>
        <w:autoSpaceDE w:val="0"/>
        <w:autoSpaceDN w:val="0"/>
        <w:adjustRightInd w:val="0"/>
        <w:spacing w:line="360" w:lineRule="auto"/>
        <w:ind w:firstLine="720"/>
        <w:jc w:val="both"/>
      </w:pPr>
      <w:r>
        <w:t>Συμπερασματικά μπορούμε να πούμε ότι το ρυθμιστικό πλαίσιο θα πρέπει να βρεί την βέλτιστη ισορροπία μεταξύ της λεγόμενης απορρύθμισης (</w:t>
      </w:r>
      <w:r w:rsidRPr="006E19E2">
        <w:t>deregulation</w:t>
      </w:r>
      <w:r>
        <w:t>) και της επαναρύθμισης</w:t>
      </w:r>
      <w:r w:rsidRPr="0070540D">
        <w:t xml:space="preserve"> (</w:t>
      </w:r>
      <w:r w:rsidRPr="006E19E2">
        <w:t>re</w:t>
      </w:r>
      <w:r w:rsidRPr="0070540D">
        <w:t>-</w:t>
      </w:r>
      <w:r w:rsidRPr="006E19E2">
        <w:t>regulation</w:t>
      </w:r>
      <w:r w:rsidRPr="0070540D">
        <w:t>)</w:t>
      </w:r>
      <w:r>
        <w:t>.</w:t>
      </w:r>
      <w:r w:rsidRPr="0070540D">
        <w:t xml:space="preserve"> </w:t>
      </w:r>
      <w:r>
        <w:t>Η πρώτη διαδικασία με την ελαχιστοποίηση των εμποδίων που μειώνουν την αποδοτικότητα των αγορών συμβάλλει στην ενδυνάμωση του ανταγωνισμού. Ενώ η δεύτερη διαδικασία συμβάλλει στον έλεγχο του συστημικού κινδύνου με την αποφυγή πρακτικών εκ μέρους των συμμετεχόντων που μπορεί να βάλουν σε κίνδυνο το χρηματοπιστωτικό σύστημα.</w:t>
      </w:r>
    </w:p>
    <w:p w:rsidR="0070540D" w:rsidRDefault="0070540D" w:rsidP="006E19E2">
      <w:pPr>
        <w:autoSpaceDE w:val="0"/>
        <w:autoSpaceDN w:val="0"/>
        <w:adjustRightInd w:val="0"/>
        <w:spacing w:line="360" w:lineRule="auto"/>
        <w:ind w:firstLine="720"/>
        <w:jc w:val="both"/>
      </w:pPr>
      <w:r>
        <w:t>Στο τραπεζικό επίπεδο η Κεντρική Τράπεζα διαδραματίζει πρωταγωνιστικό ρόλο και είναι αυτή που εποπτεύει τις εμπορικές και επενδυτικές τράπεζες</w:t>
      </w:r>
      <w:r w:rsidR="009C6BF3">
        <w:t>. Ε</w:t>
      </w:r>
      <w:r>
        <w:t>νώ σε επίπεδο κεφαλαιαγοράς η Επιτροπή Κεφαλαιαγοράς είναι αυτή που συμβάλλει στην ορθή λειτουργία της κεφαλαιαγοράς. Αποφασίζει για την εισαγωγή και την έξοδο των εταιριών από τη χρηματιστηριακή αγορά και εποπτεύει τις συναλλαγές και την κεφαλαιακή επάρκεια των συμμετεχόντων στο χρηματιστήριο εταιριών.</w:t>
      </w:r>
    </w:p>
    <w:p w:rsidR="001A489A" w:rsidRPr="0070540D" w:rsidRDefault="0070540D" w:rsidP="006E19E2">
      <w:pPr>
        <w:autoSpaceDE w:val="0"/>
        <w:autoSpaceDN w:val="0"/>
        <w:adjustRightInd w:val="0"/>
        <w:spacing w:line="360" w:lineRule="auto"/>
        <w:ind w:firstLine="720"/>
        <w:jc w:val="both"/>
      </w:pPr>
      <w:r>
        <w:t>Οι λεγόμενοι ειδικοί διαπραγματευτές (</w:t>
      </w:r>
      <w:r w:rsidRPr="006E19E2">
        <w:t>market</w:t>
      </w:r>
      <w:r w:rsidRPr="0070540D">
        <w:t xml:space="preserve"> </w:t>
      </w:r>
      <w:r w:rsidRPr="006E19E2">
        <w:t>makers</w:t>
      </w:r>
      <w:r w:rsidRPr="0070540D">
        <w:t xml:space="preserve">) </w:t>
      </w:r>
      <w:r>
        <w:t xml:space="preserve">συμβάλλουν στην παροχή ρευστότητας </w:t>
      </w:r>
      <w:r w:rsidR="001E4882">
        <w:t>στις αγορές</w:t>
      </w:r>
      <w:r>
        <w:t xml:space="preserve"> και σταθεροποιούν τους τίτλους σε εποχές έντονων διακυμάνσεων. Θα πρέπει βέβαια σε αυτό το σημείο να αναφέρουμε </w:t>
      </w:r>
      <w:r w:rsidR="006E19E2">
        <w:t>ορισμένες βασικές αρχές για τις εποπτικές αρχές προκειμένου να οδηγηθούν σε μια αποτελεσματική εποπτεία. Θα πρέπει να είναι ανεξάρτητοι λειτουργικά οργανισμοί με σαφείς και αντικειμενικές ευθύνες και να ακολουθούν σαφώς ορισμένες διαδικασίες λειτουργίας</w:t>
      </w:r>
      <w:r w:rsidR="006E19E2" w:rsidRPr="002F7261">
        <w:t xml:space="preserve"> (Συριόπουλος, 1999).  </w:t>
      </w:r>
      <w:r w:rsidRPr="002F7261">
        <w:t xml:space="preserve">    </w:t>
      </w:r>
    </w:p>
    <w:p w:rsidR="001A489A" w:rsidRDefault="001A489A" w:rsidP="00EE7FEC"/>
    <w:p w:rsidR="004F12E8" w:rsidRDefault="00861F97" w:rsidP="00861F97">
      <w:pPr>
        <w:pStyle w:val="2"/>
        <w:spacing w:before="0" w:after="0" w:line="360" w:lineRule="auto"/>
        <w:jc w:val="both"/>
        <w:rPr>
          <w:rFonts w:ascii="Times New Roman" w:hAnsi="Times New Roman" w:cs="Times New Roman"/>
          <w:i w:val="0"/>
        </w:rPr>
      </w:pPr>
      <w:bookmarkStart w:id="7" w:name="_Toc396034952"/>
      <w:r>
        <w:rPr>
          <w:rFonts w:ascii="Times New Roman" w:hAnsi="Times New Roman" w:cs="Times New Roman"/>
          <w:i w:val="0"/>
        </w:rPr>
        <w:t xml:space="preserve">6.2 </w:t>
      </w:r>
      <w:r w:rsidR="003C40B1">
        <w:rPr>
          <w:rFonts w:ascii="Times New Roman" w:hAnsi="Times New Roman" w:cs="Times New Roman"/>
          <w:i w:val="0"/>
        </w:rPr>
        <w:t xml:space="preserve">Λόγοι υπέρ </w:t>
      </w:r>
      <w:r w:rsidR="00EE7FEC">
        <w:rPr>
          <w:rFonts w:ascii="Times New Roman" w:hAnsi="Times New Roman" w:cs="Times New Roman"/>
          <w:i w:val="0"/>
        </w:rPr>
        <w:t>και</w:t>
      </w:r>
      <w:r w:rsidR="003C40B1">
        <w:rPr>
          <w:rFonts w:ascii="Times New Roman" w:hAnsi="Times New Roman" w:cs="Times New Roman"/>
          <w:i w:val="0"/>
        </w:rPr>
        <w:t xml:space="preserve"> κατά </w:t>
      </w:r>
      <w:r w:rsidR="00EE7FEC">
        <w:rPr>
          <w:rFonts w:ascii="Times New Roman" w:hAnsi="Times New Roman" w:cs="Times New Roman"/>
          <w:i w:val="0"/>
        </w:rPr>
        <w:t>της τραπεζικής εποπτείας</w:t>
      </w:r>
      <w:bookmarkEnd w:id="7"/>
    </w:p>
    <w:p w:rsidR="00ED43B9" w:rsidRPr="00ED43B9" w:rsidRDefault="007B43E0" w:rsidP="00ED43B9">
      <w:pPr>
        <w:autoSpaceDE w:val="0"/>
        <w:autoSpaceDN w:val="0"/>
        <w:adjustRightInd w:val="0"/>
        <w:spacing w:line="360" w:lineRule="auto"/>
        <w:ind w:firstLine="720"/>
        <w:jc w:val="both"/>
      </w:pPr>
      <w:r>
        <w:t xml:space="preserve">Η ανάγκη ύπαρξης ενός πλαισίου εποπτείας των τραπεζών προκύπτει βασικά από την ανάγκη προστασίας των αποταμιευτών-καταθετών, των επενδυτών-δανειοληπτών και των μετόχων από διάφορους κινδύνους. Η θέσπιση ενός ρυθμιστικού πλαισίου αποσκοπεί κατά κύριο λόγο στην εξάλειψη ανορθόδοξων πρακτικών από τη διοίκηση των χρηματοπιστωτικών οργανισμών με απρόβλεπτες αρνητικές συνέπειες για τις οικονομικές μονάδες αλλά και ολόκληρη την παγκόσμια οικονομία πολλές φορές. Η απομόνωση των επιδράσεων των ζημιών που σημειώνει μια τράπεζα από το υπόλοιπο χρηματοπιστωτικό σύστημα είναι καίριας σημασίας στα πλαίσια της ραγδαίας ανάπτυξης της τεχνολογίας και του μεγάλου βαθμού </w:t>
      </w:r>
      <w:r>
        <w:lastRenderedPageBreak/>
        <w:t>ολοκλήρωσης των κεφαλαιαγορών. Έτσι μπορεί να αποφευχθούν τα λεγόμενα φαινόμενα ντόμινο  (domino &amp; knock-on effects) μεταξύ αγορών και οικονομιών λόγω της στενής εξάρτησης των οικονομιών με τις αγορές και τις τράπεζες.</w:t>
      </w:r>
    </w:p>
    <w:p w:rsidR="00FA55D4" w:rsidRDefault="007B43E0" w:rsidP="00FA55D4">
      <w:pPr>
        <w:autoSpaceDE w:val="0"/>
        <w:autoSpaceDN w:val="0"/>
        <w:adjustRightInd w:val="0"/>
        <w:spacing w:line="360" w:lineRule="auto"/>
        <w:ind w:firstLine="720"/>
        <w:jc w:val="both"/>
      </w:pPr>
      <w:r>
        <w:t xml:space="preserve">Πιο ευάλωτος εμφανίζεται ο καταθέτης αποταμιευτής που δεν έχει </w:t>
      </w:r>
      <w:r w:rsidR="001E4882">
        <w:t>εξειδικευμένες πληροφορίες</w:t>
      </w:r>
      <w:r>
        <w:t xml:space="preserve"> για την εκτίμηση των κινδύνων  που αντιμετωπίζει. Η έλλειψη εμπιστοσύνης στο τραπεζικό σύστημα μιας χώρας μπορεί να οδηγήσει σε πανικό αναλήψεων με σημαντικές επιπτώσεις και σε άλλα τραπεζικά συστήματα μέσω της αλληλένδετης πορείας τους. Η κατάρρευση τραπεζών είναι κάτι που μπορεί να συμβεί όπως μας έδειξε η πρόσφατη κρίση του 2007-2009. Για μια ακόμη φορά κατέστη για πολλοστή φορά ξεκάθαρη η ανάγκη ενός συστήματος εγγύησης καταθέσεων για την  αποφυγή του πανικού.</w:t>
      </w:r>
    </w:p>
    <w:p w:rsidR="00FA55D4" w:rsidRDefault="002F7261" w:rsidP="00FA55D4">
      <w:pPr>
        <w:autoSpaceDE w:val="0"/>
        <w:autoSpaceDN w:val="0"/>
        <w:adjustRightInd w:val="0"/>
        <w:spacing w:line="360" w:lineRule="auto"/>
        <w:ind w:firstLine="720"/>
        <w:jc w:val="both"/>
      </w:pPr>
      <w:r>
        <w:t>Η</w:t>
      </w:r>
      <w:r w:rsidR="00FA55D4">
        <w:t xml:space="preserve"> ύπαρξη και η λειτουργία ενός μηχανισμού τραπεζικής εποπτείας έχει ορισμένους βασικούς στόχους. Πρώτος και κυριότερος η σταθερότητα και η αποτελεσματικότητα του χρηματοπιστωτικού συστήματος, με υγιή τραπεζική κεφαλαιακή βάση. Η επίτευξη αυτού του στόχου πετυχαίνετε με τον έλεγχο της φερεγγυότητας, ρευστότητας, και συγκέντρωσης κινδύνων για τα χρηματοπιστωτικά ιδρύματα. Επιπλέον αναγκαία κρίνεται η καλή διοικητική και λογιστική οργάνωση βάση διαδικασιών εσωτερικού ελέγχου. Ο δεύτερος σημαντικός στόχος είναι η διαφάνεια των διαδικασιών και των όρων συναλλαγών. Ενώ η ελαχιστοποίηση του συστημικού κινδύνου σε περιόδους οικονομικής κρίσης αποτελεί θεμελιώδες μέλημα της τραπεζικής εποπτείας. Σημαντικά θέματα της τραπεζικής εποπτείας αποτελούν η παροχή και η ανάκληση άδειας λειτουργίας των τραπεζών, η διαρκής παρακολούθηση των κινδύνων, η επιβολή κυρώσεων και η λήψη διορθωτικών μέτρων όπου απαιτείται</w:t>
      </w:r>
      <w:r w:rsidR="00FA55D4" w:rsidRPr="007E04CE">
        <w:t>.</w:t>
      </w:r>
    </w:p>
    <w:p w:rsidR="00ED43B9" w:rsidRPr="00ED43B9" w:rsidRDefault="007B43E0" w:rsidP="00ED43B9">
      <w:pPr>
        <w:autoSpaceDE w:val="0"/>
        <w:autoSpaceDN w:val="0"/>
        <w:adjustRightInd w:val="0"/>
        <w:spacing w:line="360" w:lineRule="auto"/>
        <w:ind w:firstLine="720"/>
        <w:jc w:val="both"/>
      </w:pPr>
      <w:r>
        <w:t>Η τραπεζική εποπτεία και ρύθμιση εφαρμόζεται τόσο σε μακροοικονομικό όσο και σε</w:t>
      </w:r>
      <w:r w:rsidRPr="00114F71">
        <w:t xml:space="preserve"> </w:t>
      </w:r>
      <w:r>
        <w:t>μικροοικονομικό επίπεδο. Πιο συγκεκριμένα ο έλεγχος και η εποπτεία αποβλέπει σε  μέτρα ενίσχυσης της σταθερότητας του τραπεζικού συστήματος και διατήρησης της εμπιστοσύνης στις τράπεζες. Θα πρέπει εδώ να τονίσουμε τον ρόλο των κεντρικών τραπεζών σε μακροοικονομικό επίπεδο παρέχοντας ρευστότητα σε περιόδους όπου η διατραπεζική αγορά παύει να λειτουργεί αποτελεσματικά όπως έγινε στην κρίση του 2007-2009 στις ΗΠΑ</w:t>
      </w:r>
      <w:r w:rsidRPr="003357FC">
        <w:t xml:space="preserve">. </w:t>
      </w:r>
      <w:r>
        <w:t>Οι κεντρικές τράπεζες αποτελούν τον λεγόμενο δανειστή τελευταίας στιγμής (Lender of Last resort).</w:t>
      </w:r>
      <w:r w:rsidRPr="001C7397">
        <w:t xml:space="preserve"> </w:t>
      </w:r>
      <w:r>
        <w:t xml:space="preserve">Η παρέμβαση μπορεί </w:t>
      </w:r>
      <w:r>
        <w:lastRenderedPageBreak/>
        <w:t>να είναι σε εθνικό επίπεδο</w:t>
      </w:r>
      <w:r w:rsidR="001E4882">
        <w:t>,</w:t>
      </w:r>
      <w:r>
        <w:t xml:space="preserve"> μπορεί </w:t>
      </w:r>
      <w:r w:rsidR="001E4882">
        <w:t xml:space="preserve">όμως </w:t>
      </w:r>
      <w:r>
        <w:t>να είναι και σε διεθνές επίπεδο μέσα από συντονισμένες προσπάθειες των εθνικών κεντρικών τραπεζών</w:t>
      </w:r>
      <w:r w:rsidR="001E4882">
        <w:t>. Χαρακτηριστικός είναι ο συντονισμός των κεντρικών τραπεζών στην παροχή ρευστότητας από τις κεντρικές τράπεζες των</w:t>
      </w:r>
      <w:r>
        <w:t xml:space="preserve"> ΗΠΑ, Ιαπωνίας, Αγγλίας, Ελβετίας και </w:t>
      </w:r>
      <w:r w:rsidR="001E4882">
        <w:t>της ΕΚΤ μετά την χρηματοπιστωτική κρίση του 2007-2009</w:t>
      </w:r>
      <w:r>
        <w:t>.</w:t>
      </w:r>
    </w:p>
    <w:p w:rsidR="00ED43B9" w:rsidRDefault="007B43E0" w:rsidP="00ED43B9">
      <w:pPr>
        <w:autoSpaceDE w:val="0"/>
        <w:autoSpaceDN w:val="0"/>
        <w:adjustRightInd w:val="0"/>
        <w:spacing w:line="360" w:lineRule="auto"/>
        <w:ind w:firstLine="720"/>
        <w:jc w:val="both"/>
      </w:pPr>
      <w:r>
        <w:t xml:space="preserve">Σε μικροοικονομικό επίπεδο ο έλεγχος αποβλέπει σε κανόνες και ρυθμίσεις που αφορούν μεμονωμένα τραπεζικά ιδρύματα σχετικά με μια σειρά ζητημάτων. Πιο συγκεκριμένα με την επάρκεια κεφαλαίων κάθε τράπεζας (δηλ  τον λεγόμενο δείκτη φερεγγυότητας όπου είναι ο λόγος ίδια κεφάλαια/ προς ενεργητικό). Όπως θα </w:t>
      </w:r>
      <w:r w:rsidR="001E4882">
        <w:t>δούμε λίγο παρακάτω η λεγόμενη Ε</w:t>
      </w:r>
      <w:r>
        <w:t>πιτροπή της Βασιλείας ορίζει το ελάχιστο ύψος ιδίων κεφαλαίων ως ποσοστό του ενεργητικού των τραπεζών. Ρυθμίσεις που έχουν να κάνουν με την αξιολόγηση στοιχείων του ενεργητικού όπως για παράδειγμα την ικανότητα ρευστοποίησης τίτλων. Οι δείκτες ρευστότητας αλλά και κερδοφορίας παρέχουν σημαντικές πληροφορίες για την κατάσταση μιας τράπεζας και την επάρκεια της διοίκησης. Επίσης κανονισμοί για τα  χρηματοδοτικά ανοίγματα της τράπεζας, όπως για παράδειγμα δεν μπορεί ένας πελάτης να έχει λάβει δάνειο ένα μεγάλο ποσοστό του ενεργητικού μιας τράπεζας διότι μετά υπάρχει σύνδεση της βιωσιμότητας του πελάτη με</w:t>
      </w:r>
      <w:r w:rsidR="001E4882">
        <w:t xml:space="preserve"> την βιωσιμότητα της τράπεζας. </w:t>
      </w:r>
      <w:r>
        <w:t xml:space="preserve">Οι πελάτες της τράπεζας θα πρέπει να κατατάσσονται με βάση  το πιστωτικό τους κίνδυνο. </w:t>
      </w:r>
    </w:p>
    <w:p w:rsidR="00FA55D4" w:rsidRDefault="00BE7706" w:rsidP="00FA55D4">
      <w:pPr>
        <w:autoSpaceDE w:val="0"/>
        <w:autoSpaceDN w:val="0"/>
        <w:adjustRightInd w:val="0"/>
        <w:spacing w:line="360" w:lineRule="auto"/>
        <w:ind w:firstLine="720"/>
        <w:jc w:val="both"/>
      </w:pPr>
      <w:r>
        <w:t xml:space="preserve">Η εποπτεία ενός τραπεζικού ιδρύματος διακρίνεται σε προληπτική και κατασταλτική εποπτεία. Αρχικά, η εποπτεία των τραπεζών συνδέεται με το επιχείρημα της </w:t>
      </w:r>
      <w:r>
        <w:rPr>
          <w:rFonts w:eastAsia="BookAntiqua"/>
        </w:rPr>
        <w:t xml:space="preserve">«αποτυχίας των αγορών» που στηρίζεται σε τρείς άξονες κατά τους </w:t>
      </w:r>
      <w:r>
        <w:rPr>
          <w:rFonts w:eastAsia="BookAntiqua"/>
          <w:lang w:val="en-US"/>
        </w:rPr>
        <w:t>Beck</w:t>
      </w:r>
      <w:r>
        <w:rPr>
          <w:rFonts w:eastAsia="BookAntiqua"/>
        </w:rPr>
        <w:t xml:space="preserve"> </w:t>
      </w:r>
      <w:r>
        <w:rPr>
          <w:rFonts w:eastAsia="BookAntiqua"/>
          <w:lang w:val="en-US"/>
        </w:rPr>
        <w:t>et</w:t>
      </w:r>
      <w:r w:rsidRPr="005933B9">
        <w:rPr>
          <w:rFonts w:eastAsia="BookAntiqua"/>
        </w:rPr>
        <w:t xml:space="preserve"> </w:t>
      </w:r>
      <w:r>
        <w:rPr>
          <w:rFonts w:eastAsia="BookAntiqua"/>
          <w:lang w:val="en-US"/>
        </w:rPr>
        <w:t>al</w:t>
      </w:r>
      <w:r w:rsidRPr="005933B9">
        <w:rPr>
          <w:rFonts w:eastAsia="BookAntiqua"/>
        </w:rPr>
        <w:t>.</w:t>
      </w:r>
      <w:r w:rsidRPr="00B75B68">
        <w:rPr>
          <w:rFonts w:eastAsia="BookAntiqua"/>
        </w:rPr>
        <w:t>,</w:t>
      </w:r>
      <w:r>
        <w:rPr>
          <w:rFonts w:eastAsia="BookAntiqua"/>
        </w:rPr>
        <w:t xml:space="preserve"> </w:t>
      </w:r>
      <w:r w:rsidRPr="005933B9">
        <w:rPr>
          <w:rFonts w:eastAsia="BookAntiqua"/>
        </w:rPr>
        <w:t>(</w:t>
      </w:r>
      <w:r>
        <w:rPr>
          <w:rFonts w:eastAsia="BookAntiqua"/>
        </w:rPr>
        <w:t>2003)</w:t>
      </w:r>
      <w:r w:rsidRPr="005933B9">
        <w:rPr>
          <w:rFonts w:eastAsia="BookAntiqua"/>
        </w:rPr>
        <w:t>.</w:t>
      </w:r>
      <w:r>
        <w:rPr>
          <w:rFonts w:eastAsia="BookAntiqua"/>
        </w:rPr>
        <w:t xml:space="preserve"> Πρώτον, τ</w:t>
      </w:r>
      <w:r>
        <w:t>ην παρουσία μονοπωλιακής ή ολιγοπωλιακής δομής, δεύτερον τη σημασία των εξωτερικών οικονομιών και τρίτον την ασυμμετρία πληροφόρησης μεταξύ αγοραστών και πωλητών.</w:t>
      </w:r>
    </w:p>
    <w:p w:rsidR="00FA55D4" w:rsidRPr="001E4882" w:rsidRDefault="00BE7706" w:rsidP="00FA55D4">
      <w:pPr>
        <w:autoSpaceDE w:val="0"/>
        <w:autoSpaceDN w:val="0"/>
        <w:adjustRightInd w:val="0"/>
        <w:spacing w:line="360" w:lineRule="auto"/>
        <w:ind w:firstLine="720"/>
        <w:jc w:val="both"/>
      </w:pPr>
      <w:r>
        <w:t xml:space="preserve">Θα θέλαμε λοιπόν σε αυτό το σημείο να συνοψίσουμε ορισμένους λόγους για τους οποίους ο τραπεζικός κλάδος είναι αυτός που έχει την μεγαλύτερη εποπτεία έναντι όλων των άλλων κλάδων. Πρώτον, ο εποπτικός έλεγχος θεωρείται ως παράγοντας εξασφάλισης της εμπιστοσύνης του κοινού στη διαχείριση του χαρτοφυλακίου, δανείων και τίτλων. Και την αποφυγή μαζικών αναλήψεων καταθέσεων. Σε συνθήκες έντονης κρίσης, την ομαλή λειτουργία του τραπεζικού συστήματος μπορούν να εγγυηθούν μόνο οι οικονομικές αρχές (κυβέρνηση ή </w:t>
      </w:r>
      <w:r>
        <w:lastRenderedPageBreak/>
        <w:t>κεντρική τράπεζα). Επειδή όμως το κόστος παρέμβασης σε περιόδους κρίσης είναι μεγάλο προτιμάται πάντα να επιβάλλονται κανόνες προληπτικής εποπτείας. Δεύτερον, τα προβλήματα που ανακύπτουν λόγω της ασύμμετρης πληροφόρησης δηλαδή τα ζητήματα της κακής επιλογής και του ηθικού κινδύνου</w:t>
      </w:r>
      <w:r w:rsidR="00FA55D4">
        <w:t xml:space="preserve"> μπορούν να είναι ιδιαίτερα σοβαρά σε ένα τραπεζικό κλάδο χωρίς έλεγχο. Τρίτον</w:t>
      </w:r>
      <w:r>
        <w:t xml:space="preserve"> ένα ρυθμιστικό πλαίσιο για την αποφυγή των συστημικών απειλών είναι απαραίτητο, εφόσον, το κοινωνικό κόστος από την κατάρρευση μιας τράπεζας υπερβαίνει το ιδιωτικό κόστος</w:t>
      </w:r>
      <w:r w:rsidR="001E4882" w:rsidRPr="001E4882">
        <w:t xml:space="preserve"> </w:t>
      </w:r>
      <w:r w:rsidR="001E4882">
        <w:t>διάσωσης</w:t>
      </w:r>
      <w:r w:rsidR="00FA55D4">
        <w:t xml:space="preserve"> (Τριαντόπουλος, 2008)</w:t>
      </w:r>
      <w:r w:rsidR="001E4882" w:rsidRPr="001E4882">
        <w:t>.</w:t>
      </w:r>
    </w:p>
    <w:p w:rsidR="00BE7706" w:rsidRDefault="003C40B1" w:rsidP="00FA55D4">
      <w:pPr>
        <w:autoSpaceDE w:val="0"/>
        <w:autoSpaceDN w:val="0"/>
        <w:adjustRightInd w:val="0"/>
        <w:spacing w:line="360" w:lineRule="auto"/>
        <w:ind w:firstLine="720"/>
        <w:jc w:val="both"/>
      </w:pPr>
      <w:r>
        <w:t xml:space="preserve">Από την άλλη υπάρχουν και κάποιοι λόγοι κατά της τραπεζικής εποπτείας. Πολλές τράπεζες αναλαμβάνουν κινδύνους γνωρίζοντας ότι οι εποπτικές αρχές δεν θα τις αφήσουν να πτωχεύσουν (το γνωστό </w:t>
      </w:r>
      <w:r>
        <w:rPr>
          <w:lang w:val="en-US"/>
        </w:rPr>
        <w:t>too</w:t>
      </w:r>
      <w:r w:rsidRPr="003C40B1">
        <w:t xml:space="preserve"> </w:t>
      </w:r>
      <w:r>
        <w:rPr>
          <w:lang w:val="en-US"/>
        </w:rPr>
        <w:t>big</w:t>
      </w:r>
      <w:r w:rsidRPr="003C40B1">
        <w:t xml:space="preserve"> </w:t>
      </w:r>
      <w:r>
        <w:rPr>
          <w:lang w:val="en-US"/>
        </w:rPr>
        <w:t>to</w:t>
      </w:r>
      <w:r w:rsidRPr="003C40B1">
        <w:t xml:space="preserve"> </w:t>
      </w:r>
      <w:r>
        <w:rPr>
          <w:lang w:val="en-US"/>
        </w:rPr>
        <w:t>fail</w:t>
      </w:r>
      <w:r>
        <w:t>).</w:t>
      </w:r>
      <w:r w:rsidRPr="003C40B1">
        <w:t xml:space="preserve"> </w:t>
      </w:r>
      <w:r>
        <w:t xml:space="preserve">Αυτό έχει σαν αποτέλεσμα στο τέλος οι φορολογούμενοι να αναλαμβάνουν την διάσωση τραπεζικών ομίλων οι οποίοι επιδόθηκαν σε ιδιαίτερα ριψοκίνδυνες δραστηριότητες. Ένα άλλο σημαντικό ζήτημα </w:t>
      </w:r>
      <w:r w:rsidR="00330FC6">
        <w:t xml:space="preserve">είναι ότι </w:t>
      </w:r>
      <w:r>
        <w:t>συνήθως αυτοί που βρίσκονται στις εποπτικές αρχές στο επόμενο βήμα τις καριέρας τους βρίσκονται σε τράπεζες και για αυτό από πριν δείχνουν μια ευελιξία σχετικά με τους νόμους που θεσπίζουν πολλές φορές προς όφελος των τραπεζών.  Επίσης οι τράπεζες παρουσιάζουν κινητικότητα δραστηριοτήτων όταν υπάρχει ανομοιομορφία μεταξύ εθνικών νομοθεσιών ώστε να πετύχουν την χαμηλότερη ρύθμιση προς όφελος τ</w:t>
      </w:r>
      <w:r w:rsidR="00BE7706">
        <w:t xml:space="preserve">ης υψηλότερης πιθανής απόδοσης. </w:t>
      </w:r>
      <w:r>
        <w:t>Τέλος η δημιουργία και η τήρηση ενός εποπτικού συστήματος έχει αυξημένα κόστη και δεν είναι πάντα εφικτή.</w:t>
      </w:r>
      <w:r w:rsidR="00BE7706">
        <w:tab/>
      </w:r>
    </w:p>
    <w:p w:rsidR="00861F97" w:rsidRPr="00F07A2C" w:rsidRDefault="00861F97" w:rsidP="00861F97">
      <w:pPr>
        <w:pStyle w:val="2"/>
        <w:spacing w:before="0" w:after="0" w:line="360" w:lineRule="auto"/>
        <w:jc w:val="both"/>
        <w:rPr>
          <w:rFonts w:ascii="Times New Roman" w:hAnsi="Times New Roman" w:cs="Times New Roman"/>
          <w:i w:val="0"/>
        </w:rPr>
      </w:pPr>
      <w:bookmarkStart w:id="8" w:name="_Toc396034953"/>
      <w:r>
        <w:rPr>
          <w:rFonts w:ascii="Times New Roman" w:hAnsi="Times New Roman" w:cs="Times New Roman"/>
          <w:i w:val="0"/>
        </w:rPr>
        <w:t>6</w:t>
      </w:r>
      <w:r w:rsidRPr="00F07A2C">
        <w:rPr>
          <w:rFonts w:ascii="Times New Roman" w:hAnsi="Times New Roman" w:cs="Times New Roman"/>
          <w:i w:val="0"/>
        </w:rPr>
        <w:t>.</w:t>
      </w:r>
      <w:r w:rsidR="007533D5">
        <w:rPr>
          <w:rFonts w:ascii="Times New Roman" w:hAnsi="Times New Roman" w:cs="Times New Roman"/>
          <w:i w:val="0"/>
        </w:rPr>
        <w:t>3</w:t>
      </w:r>
      <w:r w:rsidRPr="00F07A2C">
        <w:rPr>
          <w:rFonts w:ascii="Times New Roman" w:hAnsi="Times New Roman" w:cs="Times New Roman"/>
          <w:i w:val="0"/>
        </w:rPr>
        <w:t xml:space="preserve"> </w:t>
      </w:r>
      <w:r w:rsidR="004F12E8" w:rsidRPr="004F12E8">
        <w:rPr>
          <w:rFonts w:ascii="Times New Roman" w:hAnsi="Times New Roman" w:cs="Times New Roman"/>
          <w:i w:val="0"/>
        </w:rPr>
        <w:t>Διεθνοποίηση του ρυθμιστικού πλαισίου</w:t>
      </w:r>
      <w:bookmarkEnd w:id="8"/>
      <w:r w:rsidR="004F12E8" w:rsidRPr="004F12E8">
        <w:rPr>
          <w:rFonts w:ascii="Times New Roman" w:hAnsi="Times New Roman" w:cs="Times New Roman"/>
          <w:i w:val="0"/>
        </w:rPr>
        <w:tab/>
      </w:r>
    </w:p>
    <w:p w:rsidR="00ED43B9" w:rsidRPr="00597721" w:rsidRDefault="007B43E0" w:rsidP="00ED43B9">
      <w:pPr>
        <w:autoSpaceDE w:val="0"/>
        <w:autoSpaceDN w:val="0"/>
        <w:adjustRightInd w:val="0"/>
        <w:spacing w:line="360" w:lineRule="auto"/>
        <w:ind w:firstLine="720"/>
        <w:jc w:val="both"/>
        <w:rPr>
          <w:lang w:eastAsia="en-US" w:bidi="en-US"/>
        </w:rPr>
      </w:pPr>
      <w:bookmarkStart w:id="9" w:name="_Toc372541482"/>
      <w:r w:rsidRPr="00424569">
        <w:rPr>
          <w:lang w:eastAsia="en-US" w:bidi="en-US"/>
        </w:rPr>
        <w:t xml:space="preserve">Η φιλελευθεροποίηση και η άρση των ελέγχων των διεθνών χρηματοοικονομικών αγορών </w:t>
      </w:r>
      <w:r w:rsidR="00CE379F">
        <w:rPr>
          <w:lang w:eastAsia="en-US" w:bidi="en-US"/>
        </w:rPr>
        <w:t xml:space="preserve">αν και έχουν συμβάλλει ιδιαίτερα στην ανάπτυξη της παγκόσμιας οικονομίας, </w:t>
      </w:r>
      <w:r w:rsidRPr="00424569">
        <w:rPr>
          <w:lang w:eastAsia="en-US" w:bidi="en-US"/>
        </w:rPr>
        <w:t>έχουν</w:t>
      </w:r>
      <w:r w:rsidR="00CE379F">
        <w:rPr>
          <w:lang w:eastAsia="en-US" w:bidi="en-US"/>
        </w:rPr>
        <w:t xml:space="preserve"> όμως</w:t>
      </w:r>
      <w:r w:rsidRPr="00424569">
        <w:rPr>
          <w:lang w:eastAsia="en-US" w:bidi="en-US"/>
        </w:rPr>
        <w:t xml:space="preserve"> εκθέσει </w:t>
      </w:r>
      <w:r w:rsidR="00CE379F">
        <w:rPr>
          <w:lang w:eastAsia="en-US" w:bidi="en-US"/>
        </w:rPr>
        <w:t xml:space="preserve">και </w:t>
      </w:r>
      <w:r w:rsidRPr="00424569">
        <w:rPr>
          <w:lang w:eastAsia="en-US" w:bidi="en-US"/>
        </w:rPr>
        <w:t xml:space="preserve">τα οικονομικά συστήματα σε έναν αυξανόμενο κίνδυνο συστημικής αποτυχίας. </w:t>
      </w:r>
      <w:r w:rsidR="00CE379F">
        <w:rPr>
          <w:lang w:eastAsia="en-US" w:bidi="en-US"/>
        </w:rPr>
        <w:t xml:space="preserve">Η </w:t>
      </w:r>
      <w:r w:rsidRPr="00424569">
        <w:rPr>
          <w:lang w:eastAsia="en-US" w:bidi="en-US"/>
        </w:rPr>
        <w:t xml:space="preserve">αποτελεσματική επίβλεψη </w:t>
      </w:r>
      <w:r w:rsidR="00CE379F" w:rsidRPr="00424569">
        <w:rPr>
          <w:lang w:eastAsia="en-US" w:bidi="en-US"/>
        </w:rPr>
        <w:t>της διεθνούς τραπεζικής δραστηριότητα</w:t>
      </w:r>
      <w:r w:rsidR="00CE379F">
        <w:rPr>
          <w:lang w:eastAsia="en-US" w:bidi="en-US"/>
        </w:rPr>
        <w:t>ς καθίσταται ιδιαίτερα δύσκολη και μπορεί</w:t>
      </w:r>
      <w:r w:rsidRPr="00424569">
        <w:rPr>
          <w:lang w:eastAsia="en-US" w:bidi="en-US"/>
        </w:rPr>
        <w:t xml:space="preserve"> να αυξήσει το συστημικό κίνδυνο, με τον οποίο οι απώλειες σε μια τραπεζική ομάδα μπορούν να έχουν επιπτώσεις σε </w:t>
      </w:r>
      <w:r w:rsidR="00CE379F">
        <w:rPr>
          <w:lang w:eastAsia="en-US" w:bidi="en-US"/>
        </w:rPr>
        <w:t xml:space="preserve">ολόκληρο το οικονομικό σύστημα. </w:t>
      </w:r>
      <w:r w:rsidRPr="00424569">
        <w:rPr>
          <w:lang w:eastAsia="en-US" w:bidi="en-US"/>
        </w:rPr>
        <w:t xml:space="preserve">Οι τράπεζες όλο και περισσότερο έχουν αναγνωρίσει ότι οι παραδοσιακές μέθοδοι διαχείρισης κινδύνων έχουν γίνει ξεπερασμένες και ότι νέα μέτρα απαιτούνται για να αξιολογήσουν τον κίνδυνο. Πολλές τράπεζες χρησιμοποιούν τα καινοτόμα </w:t>
      </w:r>
      <w:r>
        <w:rPr>
          <w:lang w:eastAsia="en-US" w:bidi="en-US"/>
        </w:rPr>
        <w:t xml:space="preserve">παράγωγα </w:t>
      </w:r>
      <w:r>
        <w:rPr>
          <w:lang w:eastAsia="en-US" w:bidi="en-US"/>
        </w:rPr>
        <w:lastRenderedPageBreak/>
        <w:t>προϊόντα</w:t>
      </w:r>
      <w:r w:rsidRPr="00424569">
        <w:rPr>
          <w:lang w:eastAsia="en-US" w:bidi="en-US"/>
        </w:rPr>
        <w:t xml:space="preserve"> για να διαφοροποιήσουν τις </w:t>
      </w:r>
      <w:r>
        <w:rPr>
          <w:lang w:eastAsia="en-US" w:bidi="en-US"/>
        </w:rPr>
        <w:t xml:space="preserve">αποδόσεις </w:t>
      </w:r>
      <w:r w:rsidRPr="00424569">
        <w:rPr>
          <w:lang w:eastAsia="en-US" w:bidi="en-US"/>
        </w:rPr>
        <w:t xml:space="preserve">μεταξύ διαφόρων χωρών έτσι ώστε, σε οποιοδήποτε δεδομένο έτος, μια ανεπαρκής έκβαση επένδυσης σε μια χώρα μπορεί να αντισταθμιστεί από μια θετική έκβαση επένδυσης σε μια άλλη χώρα. </w:t>
      </w:r>
    </w:p>
    <w:p w:rsidR="00ED43B9" w:rsidRPr="00ED43B9" w:rsidRDefault="007B43E0" w:rsidP="00ED43B9">
      <w:pPr>
        <w:autoSpaceDE w:val="0"/>
        <w:autoSpaceDN w:val="0"/>
        <w:adjustRightInd w:val="0"/>
        <w:spacing w:line="360" w:lineRule="auto"/>
        <w:ind w:firstLine="720"/>
        <w:jc w:val="both"/>
        <w:rPr>
          <w:color w:val="000000"/>
          <w:lang w:eastAsia="en-US" w:bidi="en-US"/>
        </w:rPr>
      </w:pPr>
      <w:r w:rsidRPr="00424569">
        <w:rPr>
          <w:lang w:eastAsia="en-US" w:bidi="en-US"/>
        </w:rPr>
        <w:t>Οι επεκταθείσες και διαφοροποιημένες τραπεζικές δ</w:t>
      </w:r>
      <w:r w:rsidR="00CE379F">
        <w:rPr>
          <w:lang w:eastAsia="en-US" w:bidi="en-US"/>
        </w:rPr>
        <w:t>ραστηριότητες</w:t>
      </w:r>
      <w:r w:rsidRPr="00424569">
        <w:rPr>
          <w:lang w:eastAsia="en-US" w:bidi="en-US"/>
        </w:rPr>
        <w:t xml:space="preserve"> σε διεθνή βάση απαιτούν την εμμονή σε έναν κοινό πυρήνα των εποπτικών και ρυθμιστικών προτύπων που αναγνωρίζ</w:t>
      </w:r>
      <w:r>
        <w:rPr>
          <w:lang w:eastAsia="en-US" w:bidi="en-US"/>
        </w:rPr>
        <w:t>ονται από τις διεθνείς ρυθμιστικές αρχές</w:t>
      </w:r>
      <w:r w:rsidRPr="00424569">
        <w:rPr>
          <w:lang w:eastAsia="en-US" w:bidi="en-US"/>
        </w:rPr>
        <w:t>. Το πρώτο βήμα στην επίτευξη της αποτελεσματικής διεθνούς επίβλεψης είναι για μια διεθνή αρχή να διευκολυνθεί ο αποτελεσματικός συντονισμός των ε</w:t>
      </w:r>
      <w:r w:rsidR="00330FC6">
        <w:rPr>
          <w:lang w:eastAsia="en-US" w:bidi="en-US"/>
        </w:rPr>
        <w:t>θνικών εποπτικών οργάνων και να υοθετηθούν</w:t>
      </w:r>
      <w:r w:rsidRPr="00424569">
        <w:rPr>
          <w:lang w:eastAsia="en-US" w:bidi="en-US"/>
        </w:rPr>
        <w:t xml:space="preserve"> οι κανόνες της ορθής πρακτικής για τη επίβλεψη των δι</w:t>
      </w:r>
      <w:r>
        <w:rPr>
          <w:lang w:eastAsia="en-US" w:bidi="en-US"/>
        </w:rPr>
        <w:t>εθνών τραπεζικών δραστηριοτήτων</w:t>
      </w:r>
      <w:r w:rsidRPr="00424569">
        <w:rPr>
          <w:lang w:eastAsia="en-US" w:bidi="en-US"/>
        </w:rPr>
        <w:t xml:space="preserve"> (</w:t>
      </w:r>
      <w:r w:rsidRPr="00424569">
        <w:rPr>
          <w:color w:val="000000"/>
          <w:lang w:val="en-US" w:eastAsia="en-US" w:bidi="en-US"/>
        </w:rPr>
        <w:t>Alexander</w:t>
      </w:r>
      <w:r w:rsidRPr="00424569">
        <w:rPr>
          <w:color w:val="000000"/>
          <w:lang w:eastAsia="en-US" w:bidi="en-US"/>
        </w:rPr>
        <w:t>, 2000)</w:t>
      </w:r>
      <w:r>
        <w:rPr>
          <w:color w:val="000000"/>
          <w:lang w:eastAsia="en-US" w:bidi="en-US"/>
        </w:rPr>
        <w:t>.</w:t>
      </w:r>
    </w:p>
    <w:p w:rsidR="00424569" w:rsidRPr="00424569" w:rsidRDefault="00424569" w:rsidP="00330FC6">
      <w:pPr>
        <w:autoSpaceDE w:val="0"/>
        <w:autoSpaceDN w:val="0"/>
        <w:adjustRightInd w:val="0"/>
        <w:spacing w:line="360" w:lineRule="auto"/>
        <w:ind w:firstLine="720"/>
        <w:jc w:val="both"/>
        <w:rPr>
          <w:lang w:eastAsia="en-US" w:bidi="en-US"/>
        </w:rPr>
      </w:pPr>
      <w:r w:rsidRPr="00424569">
        <w:rPr>
          <w:lang w:eastAsia="en-US" w:bidi="en-US"/>
        </w:rPr>
        <w:t>Οι τραπεζικοί επόπτες παίζουν ένα σημαντικό ρόλο προστατεύοντας τους καταθέτες έναντι των απωλειών που προέρχονται από την αποτυχία μια τράπεζας. Η διοίκηση της τράπεζας έχει άμεση ευθύνη να εξασφαλίσει, μέσω ελέγχου από τους επόπτες, ότι η τράπεζα είναι υπεύθυνη και έχει τη δυνατότητα να καλύψε</w:t>
      </w:r>
      <w:r w:rsidR="00330FC6">
        <w:rPr>
          <w:lang w:eastAsia="en-US" w:bidi="en-US"/>
        </w:rPr>
        <w:t xml:space="preserve">ι τις απαιτήσεις των καταθετών. </w:t>
      </w:r>
      <w:bookmarkEnd w:id="9"/>
      <w:r w:rsidRPr="00424569">
        <w:rPr>
          <w:lang w:eastAsia="en-US" w:bidi="en-US"/>
        </w:rPr>
        <w:t>Οι επόπτες αντιμετωπίζουν συνεχώς τις νέες προκλήσεις στο δυναμικά μεταβαλλόμενο οικονομικό σύστημα και μπορεί να μην είναι σε θέση να διαγνώσουν τον υπερβολικό κίνδυνο</w:t>
      </w:r>
      <w:r w:rsidR="00330FC6" w:rsidRPr="00330FC6">
        <w:rPr>
          <w:lang w:eastAsia="en-US" w:bidi="en-US"/>
        </w:rPr>
        <w:t>,</w:t>
      </w:r>
      <w:r w:rsidRPr="00424569">
        <w:rPr>
          <w:lang w:eastAsia="en-US" w:bidi="en-US"/>
        </w:rPr>
        <w:t xml:space="preserve"> εκτός και αν</w:t>
      </w:r>
      <w:r w:rsidR="00330FC6" w:rsidRPr="00330FC6">
        <w:rPr>
          <w:lang w:eastAsia="en-US" w:bidi="en-US"/>
        </w:rPr>
        <w:t>,</w:t>
      </w:r>
      <w:r w:rsidRPr="00424569">
        <w:rPr>
          <w:lang w:eastAsia="en-US" w:bidi="en-US"/>
        </w:rPr>
        <w:t xml:space="preserve"> μπορούν να ανταποκριθούν γρήγορα στις αλλαγές. Αυτό το πρόβλημα μπορεί να επιδεινωθεί εάν οι επόπτες δεν έχουν τους πόρους ή την πείρα που θα ξεπερνάει τις τράπεζες που σκέφτονται τρόπους να κρύψουν τι κάνουν. Η θέσπιση κανονισμών και η εποπτεία μιας τράπεζας είναι μια δύσκολη υπόθεση</w:t>
      </w:r>
      <w:r w:rsidR="00CC7518">
        <w:rPr>
          <w:lang w:eastAsia="en-US" w:bidi="en-US"/>
        </w:rPr>
        <w:t xml:space="preserve"> κατά τον</w:t>
      </w:r>
      <w:r w:rsidRPr="00424569">
        <w:rPr>
          <w:lang w:eastAsia="en-US" w:bidi="en-US"/>
        </w:rPr>
        <w:t xml:space="preserve"> </w:t>
      </w:r>
      <w:r w:rsidR="00CE379F" w:rsidRPr="00424569">
        <w:rPr>
          <w:color w:val="231F20"/>
          <w:lang w:val="en-US" w:eastAsia="en-US" w:bidi="en-US"/>
        </w:rPr>
        <w:t>Mishkin</w:t>
      </w:r>
      <w:r w:rsidR="00CE379F" w:rsidRPr="00424569">
        <w:rPr>
          <w:color w:val="231F20"/>
          <w:lang w:eastAsia="en-US" w:bidi="en-US"/>
        </w:rPr>
        <w:t xml:space="preserve"> </w:t>
      </w:r>
      <w:r w:rsidR="00CE379F">
        <w:rPr>
          <w:color w:val="231F20"/>
          <w:lang w:eastAsia="en-US" w:bidi="en-US"/>
        </w:rPr>
        <w:t>(</w:t>
      </w:r>
      <w:r w:rsidR="00CE379F" w:rsidRPr="00424569">
        <w:rPr>
          <w:color w:val="231F20"/>
          <w:lang w:eastAsia="en-US" w:bidi="en-US"/>
        </w:rPr>
        <w:t>2007)</w:t>
      </w:r>
      <w:r w:rsidR="00CE379F">
        <w:rPr>
          <w:color w:val="231F20"/>
          <w:lang w:eastAsia="en-US" w:bidi="en-US"/>
        </w:rPr>
        <w:t xml:space="preserve"> </w:t>
      </w:r>
      <w:r w:rsidR="00330FC6">
        <w:rPr>
          <w:lang w:eastAsia="en-US" w:bidi="en-US"/>
        </w:rPr>
        <w:t>για δύο άλλους λόγους</w:t>
      </w:r>
      <w:r w:rsidR="00330FC6" w:rsidRPr="00330FC6">
        <w:rPr>
          <w:lang w:eastAsia="en-US" w:bidi="en-US"/>
        </w:rPr>
        <w:t xml:space="preserve">. </w:t>
      </w:r>
      <w:r w:rsidR="00330FC6">
        <w:rPr>
          <w:lang w:eastAsia="en-US" w:bidi="en-US"/>
        </w:rPr>
        <w:t>Πρώτον, μικρές</w:t>
      </w:r>
      <w:r w:rsidRPr="00424569">
        <w:rPr>
          <w:lang w:eastAsia="en-US" w:bidi="en-US"/>
        </w:rPr>
        <w:t xml:space="preserve"> διαφορές στις λεπτομέρειες μπορεί να έχουν απρόβλεπτες συνέπειες. </w:t>
      </w:r>
      <w:r w:rsidR="00330FC6">
        <w:rPr>
          <w:lang w:eastAsia="en-US" w:bidi="en-US"/>
        </w:rPr>
        <w:t>Για παράδειγμα, έ</w:t>
      </w:r>
      <w:r w:rsidRPr="00424569">
        <w:rPr>
          <w:lang w:eastAsia="en-US" w:bidi="en-US"/>
        </w:rPr>
        <w:t>στω ότι οι επόπτες τηρούν</w:t>
      </w:r>
      <w:r w:rsidR="00ED43B9">
        <w:rPr>
          <w:lang w:eastAsia="en-US" w:bidi="en-US"/>
        </w:rPr>
        <w:t xml:space="preserve"> τον κανονισμό και την εποπτεία</w:t>
      </w:r>
      <w:r w:rsidR="00ED43B9" w:rsidRPr="00ED43B9">
        <w:rPr>
          <w:lang w:eastAsia="en-US" w:bidi="en-US"/>
        </w:rPr>
        <w:t xml:space="preserve"> </w:t>
      </w:r>
      <w:r w:rsidRPr="00424569">
        <w:rPr>
          <w:lang w:eastAsia="en-US" w:bidi="en-US"/>
        </w:rPr>
        <w:t xml:space="preserve">ακριβώς, όμως μπορεί να είναι </w:t>
      </w:r>
      <w:r w:rsidR="00330FC6">
        <w:rPr>
          <w:lang w:eastAsia="en-US" w:bidi="en-US"/>
        </w:rPr>
        <w:t>μην είναι ικανοί</w:t>
      </w:r>
      <w:r w:rsidRPr="00424569">
        <w:rPr>
          <w:lang w:eastAsia="en-US" w:bidi="en-US"/>
        </w:rPr>
        <w:t xml:space="preserve"> να αποτρέψουν την υπερβολική ανάληψη ρίσκου.</w:t>
      </w:r>
      <w:r w:rsidR="00330FC6">
        <w:rPr>
          <w:lang w:eastAsia="en-US" w:bidi="en-US"/>
        </w:rPr>
        <w:t xml:space="preserve"> Δεύτερον οι επόπτες μπορεί να δέχονται ισχυρές πολιτικές πιέσεις επηρρεάζοντας την αποτελεσματικότητα των εργασιών τους.</w:t>
      </w:r>
    </w:p>
    <w:p w:rsidR="00BE7706" w:rsidRDefault="00424569" w:rsidP="00BE7706">
      <w:pPr>
        <w:autoSpaceDE w:val="0"/>
        <w:autoSpaceDN w:val="0"/>
        <w:adjustRightInd w:val="0"/>
        <w:spacing w:line="360" w:lineRule="auto"/>
        <w:ind w:firstLine="720"/>
        <w:jc w:val="both"/>
        <w:rPr>
          <w:lang w:eastAsia="en-US" w:bidi="en-US"/>
        </w:rPr>
      </w:pPr>
      <w:r w:rsidRPr="00424569">
        <w:rPr>
          <w:lang w:eastAsia="en-US" w:bidi="en-US"/>
        </w:rPr>
        <w:t>Σήμερα, το ρόλο του επόπτη παίζουν οι κεντρικές τράπεζες των χωρών. Έλεγχος σε μεγαλύτερο επίπεδο ασκείται από την Ευρωπαϊκή Κεντρική Τράπεζα (ΕΚΤ) στην Ευρωπαϊκή Ένωση, από το Γραφείο του Ελεγκτή Νομίσματος (</w:t>
      </w:r>
      <w:r w:rsidRPr="00424569">
        <w:rPr>
          <w:lang w:val="en-US" w:eastAsia="en-US" w:bidi="en-US"/>
        </w:rPr>
        <w:t>OCC</w:t>
      </w:r>
      <w:r w:rsidRPr="00424569">
        <w:rPr>
          <w:lang w:eastAsia="en-US" w:bidi="en-US"/>
        </w:rPr>
        <w:t xml:space="preserve">) στις ΗΠΑ ενώ σε παγκόσμιο επίπεδο από το ΔΝΤ και την Παγκόσμια Τράπεζα. Οι ανωτέρω χρησιμοποιούν το πλαίσιο της Βασιλείας για να εξασφαλίσουν ένα κοινό και αξιόπιστο πλαίσιο αξιολόγησης-ελέγχου των τραπεζών. </w:t>
      </w:r>
    </w:p>
    <w:p w:rsidR="00BE7706" w:rsidRDefault="00BE7706" w:rsidP="00BE7706">
      <w:pPr>
        <w:autoSpaceDE w:val="0"/>
        <w:autoSpaceDN w:val="0"/>
        <w:adjustRightInd w:val="0"/>
        <w:spacing w:line="360" w:lineRule="auto"/>
        <w:ind w:firstLine="720"/>
        <w:jc w:val="both"/>
      </w:pPr>
      <w:r>
        <w:lastRenderedPageBreak/>
        <w:t xml:space="preserve">Στα πλαίσια της Ευρωπαϊκής Ένωσης μπορούμε να αναφέρουμε ορισμένα σημαντικά εποπτικά όργανα. Η </w:t>
      </w:r>
      <w:r w:rsidR="00330FC6">
        <w:rPr>
          <w:b/>
        </w:rPr>
        <w:t xml:space="preserve">Ευρωπαϊκή Κεντρική Τράπεζα </w:t>
      </w:r>
      <w:r>
        <w:t xml:space="preserve">με βασικό σκοπό την σταθερότητα των τιμών και της νομισματικής πολιτικής εντός της Ευρωζώνης, διασφαλίζει επίσης την κατάλληλη εποπτεία των κεφαλαιαγορών και των χρηματοπιστωτικών ιδρυμάτων. Η </w:t>
      </w:r>
      <w:r>
        <w:rPr>
          <w:b/>
        </w:rPr>
        <w:t>Επιτροπή Ευρωπαϊκών Αρχών Τραπεζικής Εποπτείας (</w:t>
      </w:r>
      <w:r>
        <w:rPr>
          <w:b/>
          <w:lang w:val="en-US"/>
        </w:rPr>
        <w:t>CEBS</w:t>
      </w:r>
      <w:r>
        <w:rPr>
          <w:b/>
        </w:rPr>
        <w:t>) δ</w:t>
      </w:r>
      <w:r>
        <w:t xml:space="preserve">ημιουργήθηκε τον Νοέμβριο του 2003 με απόφαση της Ευρωπαϊκής Επιτροπής. Ο ρόλος της </w:t>
      </w:r>
      <w:r>
        <w:rPr>
          <w:lang w:val="en-US"/>
        </w:rPr>
        <w:t>CEBS</w:t>
      </w:r>
      <w:r>
        <w:t>, η οποία εδρεύει στο Λονδίνο, είναι να συμβουλεύει την  Ευρωπαϊκή Επιτροπή, να συνεισφέρει στη σύγκλιση των εποπτικών πρακτικών σε όλη την κοινότητα και να ενισχύει την εποπτική συνεργασία, συμπεριλαμβανομένης και της ανταλλαγής πληροφοριών (Προβόπουλος</w:t>
      </w:r>
      <w:r w:rsidRPr="00B75B68">
        <w:t xml:space="preserve"> &amp; </w:t>
      </w:r>
      <w:r>
        <w:t xml:space="preserve">Γκόρτσος, 2004). Το 2010 τροποποιήθηκε σε ένα νέο όργανο, την </w:t>
      </w:r>
      <w:r>
        <w:rPr>
          <w:i/>
        </w:rPr>
        <w:t>Ευρωπαϊκή Τραπεζική Αρχή (</w:t>
      </w:r>
      <w:r>
        <w:rPr>
          <w:i/>
          <w:lang w:val="en-US"/>
        </w:rPr>
        <w:t>EBA</w:t>
      </w:r>
      <w:r>
        <w:rPr>
          <w:i/>
        </w:rPr>
        <w:t>)</w:t>
      </w:r>
      <w:r>
        <w:t xml:space="preserve">. Το </w:t>
      </w:r>
      <w:r>
        <w:rPr>
          <w:b/>
        </w:rPr>
        <w:t>Ευρωπαϊκό Σύστημα Χρηματοπιστωτικής Εποπτείας (</w:t>
      </w:r>
      <w:r>
        <w:rPr>
          <w:b/>
          <w:lang w:val="en-US"/>
        </w:rPr>
        <w:t>ESFS</w:t>
      </w:r>
      <w:r>
        <w:rPr>
          <w:b/>
        </w:rPr>
        <w:t xml:space="preserve">) </w:t>
      </w:r>
      <w:r>
        <w:t>είναι αρμόδιο για τη διασύνδεση των εθνικών εποπτικών αρχών σε ένα ισχυρό κοινοτικό δίκτυο. Στα καθήκοντα του είναι να δημιουργήσει ένα σύστημα, το οποίο να είναι σύμφωνο με το στόχο μιας σταθερής και ενιαίας αγοράς χρηματοπιστωτικών υπηρεσιών στην Ε</w:t>
      </w:r>
      <w:r w:rsidR="00330FC6">
        <w:t xml:space="preserve">υρωπαϊκή Ένωση (Ψυχομάνης, 2006). </w:t>
      </w:r>
      <w:r>
        <w:t xml:space="preserve">Ένα ανεξάρτητο όργανο  </w:t>
      </w:r>
      <w:r w:rsidR="00330FC6">
        <w:t xml:space="preserve">της </w:t>
      </w:r>
      <w:r>
        <w:t>Ε</w:t>
      </w:r>
      <w:r w:rsidR="00330FC6">
        <w:t>.</w:t>
      </w:r>
      <w:r>
        <w:t>Ε</w:t>
      </w:r>
      <w:r w:rsidR="00330FC6">
        <w:t>.</w:t>
      </w:r>
      <w:r>
        <w:t xml:space="preserve"> με έδρα στην Φρανκφούρτη, αρμόδιο για τη μακροληπτική εποπτεία του χρηματοπιστωτικού συστήματος στο εσωτερικό της Ένωσης είναι το </w:t>
      </w:r>
      <w:r>
        <w:rPr>
          <w:b/>
        </w:rPr>
        <w:t>Ευρωπαϊκό Σύστημα Συστημικού Κινδύνου (</w:t>
      </w:r>
      <w:r>
        <w:rPr>
          <w:b/>
          <w:lang w:val="en-US"/>
        </w:rPr>
        <w:t>ESRB</w:t>
      </w:r>
      <w:r>
        <w:rPr>
          <w:b/>
        </w:rPr>
        <w:t xml:space="preserve">). </w:t>
      </w:r>
      <w:r>
        <w:t>Το οποίο συμβάλλει στην πρόληψη και τον περιορισμό των συστημικών κινδύνων για τη χρηματοπιστωτική σταθερότητα στην Ένωση (Προβόπουλος &amp; Γκόρτσος, 2004).</w:t>
      </w:r>
    </w:p>
    <w:p w:rsidR="00424569" w:rsidRDefault="00424569" w:rsidP="00ED43B9">
      <w:pPr>
        <w:autoSpaceDE w:val="0"/>
        <w:autoSpaceDN w:val="0"/>
        <w:adjustRightInd w:val="0"/>
        <w:spacing w:line="360" w:lineRule="auto"/>
        <w:ind w:firstLine="720"/>
        <w:jc w:val="both"/>
        <w:rPr>
          <w:lang w:eastAsia="en-US" w:bidi="en-US"/>
        </w:rPr>
      </w:pPr>
      <w:r w:rsidRPr="00424569">
        <w:rPr>
          <w:lang w:eastAsia="en-US" w:bidi="en-US"/>
        </w:rPr>
        <w:t xml:space="preserve">  </w:t>
      </w:r>
    </w:p>
    <w:p w:rsidR="004F12E8" w:rsidRDefault="004F12E8" w:rsidP="004F12E8">
      <w:pPr>
        <w:pStyle w:val="2"/>
        <w:spacing w:before="0" w:after="0" w:line="360" w:lineRule="auto"/>
        <w:jc w:val="both"/>
        <w:rPr>
          <w:rFonts w:ascii="Times New Roman" w:hAnsi="Times New Roman" w:cs="Times New Roman"/>
          <w:i w:val="0"/>
        </w:rPr>
      </w:pPr>
      <w:bookmarkStart w:id="10" w:name="_Toc396034954"/>
      <w:r>
        <w:rPr>
          <w:rFonts w:ascii="Times New Roman" w:hAnsi="Times New Roman" w:cs="Times New Roman"/>
          <w:i w:val="0"/>
        </w:rPr>
        <w:t>6</w:t>
      </w:r>
      <w:r w:rsidRPr="00F07A2C">
        <w:rPr>
          <w:rFonts w:ascii="Times New Roman" w:hAnsi="Times New Roman" w:cs="Times New Roman"/>
          <w:i w:val="0"/>
        </w:rPr>
        <w:t>.</w:t>
      </w:r>
      <w:r w:rsidR="007533D5">
        <w:rPr>
          <w:rFonts w:ascii="Times New Roman" w:hAnsi="Times New Roman" w:cs="Times New Roman"/>
          <w:i w:val="0"/>
        </w:rPr>
        <w:t>4</w:t>
      </w:r>
      <w:r w:rsidRPr="00F07A2C">
        <w:rPr>
          <w:rFonts w:ascii="Times New Roman" w:hAnsi="Times New Roman" w:cs="Times New Roman"/>
          <w:i w:val="0"/>
        </w:rPr>
        <w:t xml:space="preserve"> </w:t>
      </w:r>
      <w:r w:rsidRPr="004F12E8">
        <w:rPr>
          <w:rFonts w:ascii="Times New Roman" w:hAnsi="Times New Roman" w:cs="Times New Roman"/>
          <w:i w:val="0"/>
        </w:rPr>
        <w:t>Ρυθμιστικό πλαίσιο των πιστωτικών ιδρυμάτων</w:t>
      </w:r>
      <w:r w:rsidR="00330FC6">
        <w:rPr>
          <w:rFonts w:ascii="Times New Roman" w:hAnsi="Times New Roman" w:cs="Times New Roman"/>
          <w:i w:val="0"/>
        </w:rPr>
        <w:t>: Η</w:t>
      </w:r>
      <w:r w:rsidRPr="004F12E8">
        <w:rPr>
          <w:rFonts w:ascii="Times New Roman" w:hAnsi="Times New Roman" w:cs="Times New Roman"/>
          <w:i w:val="0"/>
        </w:rPr>
        <w:t xml:space="preserve"> </w:t>
      </w:r>
      <w:r w:rsidR="00330FC6">
        <w:rPr>
          <w:rFonts w:ascii="Times New Roman" w:hAnsi="Times New Roman" w:cs="Times New Roman"/>
          <w:i w:val="0"/>
        </w:rPr>
        <w:t>Ε</w:t>
      </w:r>
      <w:r w:rsidRPr="004F12E8">
        <w:rPr>
          <w:rFonts w:ascii="Times New Roman" w:hAnsi="Times New Roman" w:cs="Times New Roman"/>
          <w:i w:val="0"/>
        </w:rPr>
        <w:t>πιτροπή της Βασιλείας</w:t>
      </w:r>
      <w:bookmarkEnd w:id="10"/>
    </w:p>
    <w:p w:rsidR="00C64B3C" w:rsidRPr="00C64B3C" w:rsidRDefault="00424569" w:rsidP="00C64B3C">
      <w:pPr>
        <w:autoSpaceDE w:val="0"/>
        <w:autoSpaceDN w:val="0"/>
        <w:adjustRightInd w:val="0"/>
        <w:spacing w:line="360" w:lineRule="auto"/>
        <w:ind w:firstLine="720"/>
        <w:jc w:val="both"/>
        <w:rPr>
          <w:color w:val="000000"/>
          <w:lang w:eastAsia="en-US" w:bidi="en-US"/>
        </w:rPr>
      </w:pPr>
      <w:r w:rsidRPr="00424569">
        <w:rPr>
          <w:color w:val="000000"/>
          <w:lang w:eastAsia="en-US" w:bidi="en-US"/>
        </w:rPr>
        <w:t>Η ονομασία</w:t>
      </w:r>
      <w:r>
        <w:rPr>
          <w:color w:val="000000"/>
          <w:lang w:eastAsia="en-US" w:bidi="en-US"/>
        </w:rPr>
        <w:t xml:space="preserve"> της λεγόμενης </w:t>
      </w:r>
      <w:r w:rsidRPr="00424569">
        <w:rPr>
          <w:color w:val="000000"/>
          <w:lang w:eastAsia="en-US" w:bidi="en-US"/>
        </w:rPr>
        <w:t xml:space="preserve"> </w:t>
      </w:r>
      <w:r w:rsidRPr="00424569">
        <w:rPr>
          <w:iCs/>
          <w:color w:val="000000"/>
          <w:lang w:eastAsia="en-US" w:bidi="en-US"/>
        </w:rPr>
        <w:t>Επιτροπή</w:t>
      </w:r>
      <w:r>
        <w:rPr>
          <w:iCs/>
          <w:color w:val="000000"/>
          <w:lang w:eastAsia="en-US" w:bidi="en-US"/>
        </w:rPr>
        <w:t>ς</w:t>
      </w:r>
      <w:r w:rsidR="00330FC6">
        <w:rPr>
          <w:iCs/>
          <w:color w:val="000000"/>
          <w:lang w:eastAsia="en-US" w:bidi="en-US"/>
        </w:rPr>
        <w:t xml:space="preserve"> της Βασιλείας για την ε</w:t>
      </w:r>
      <w:r w:rsidRPr="00424569">
        <w:rPr>
          <w:iCs/>
          <w:color w:val="000000"/>
          <w:lang w:eastAsia="en-US" w:bidi="en-US"/>
        </w:rPr>
        <w:t xml:space="preserve">ποπτεία του </w:t>
      </w:r>
      <w:r w:rsidR="00330FC6">
        <w:rPr>
          <w:iCs/>
          <w:color w:val="000000"/>
          <w:lang w:eastAsia="en-US" w:bidi="en-US"/>
        </w:rPr>
        <w:t>τ</w:t>
      </w:r>
      <w:r w:rsidRPr="00424569">
        <w:rPr>
          <w:iCs/>
          <w:color w:val="000000"/>
          <w:lang w:eastAsia="en-US" w:bidi="en-US"/>
        </w:rPr>
        <w:t xml:space="preserve">ραπεζικού </w:t>
      </w:r>
      <w:r w:rsidR="00330FC6">
        <w:rPr>
          <w:iCs/>
          <w:color w:val="000000"/>
          <w:lang w:eastAsia="en-US" w:bidi="en-US"/>
        </w:rPr>
        <w:t>σ</w:t>
      </w:r>
      <w:r w:rsidRPr="00424569">
        <w:rPr>
          <w:iCs/>
          <w:color w:val="000000"/>
          <w:lang w:eastAsia="en-US" w:bidi="en-US"/>
        </w:rPr>
        <w:t xml:space="preserve">υστήματος </w:t>
      </w:r>
      <w:r w:rsidRPr="00424569">
        <w:rPr>
          <w:color w:val="000000"/>
          <w:lang w:eastAsia="en-US" w:bidi="en-US"/>
        </w:rPr>
        <w:t>(</w:t>
      </w:r>
      <w:r w:rsidRPr="00424569">
        <w:rPr>
          <w:color w:val="000000"/>
          <w:lang w:val="en-US" w:eastAsia="en-US" w:bidi="en-US"/>
        </w:rPr>
        <w:t>Basel</w:t>
      </w:r>
      <w:r w:rsidRPr="00424569">
        <w:rPr>
          <w:color w:val="000000"/>
          <w:lang w:eastAsia="en-US" w:bidi="en-US"/>
        </w:rPr>
        <w:t xml:space="preserve"> </w:t>
      </w:r>
      <w:r w:rsidRPr="00424569">
        <w:rPr>
          <w:color w:val="000000"/>
          <w:lang w:val="en-US" w:eastAsia="en-US" w:bidi="en-US"/>
        </w:rPr>
        <w:t>Committee</w:t>
      </w:r>
      <w:r w:rsidRPr="00424569">
        <w:rPr>
          <w:color w:val="000000"/>
          <w:lang w:eastAsia="en-US" w:bidi="en-US"/>
        </w:rPr>
        <w:t xml:space="preserve"> </w:t>
      </w:r>
      <w:r w:rsidRPr="00424569">
        <w:rPr>
          <w:color w:val="000000"/>
          <w:lang w:val="en-US" w:eastAsia="en-US" w:bidi="en-US"/>
        </w:rPr>
        <w:t>on</w:t>
      </w:r>
      <w:r w:rsidRPr="00424569">
        <w:rPr>
          <w:color w:val="000000"/>
          <w:lang w:eastAsia="en-US" w:bidi="en-US"/>
        </w:rPr>
        <w:t xml:space="preserve"> </w:t>
      </w:r>
      <w:r w:rsidRPr="00424569">
        <w:rPr>
          <w:color w:val="000000"/>
          <w:lang w:val="en-US" w:eastAsia="en-US" w:bidi="en-US"/>
        </w:rPr>
        <w:t>Banking</w:t>
      </w:r>
      <w:r w:rsidRPr="00424569">
        <w:rPr>
          <w:color w:val="000000"/>
          <w:lang w:eastAsia="en-US" w:bidi="en-US"/>
        </w:rPr>
        <w:t xml:space="preserve"> </w:t>
      </w:r>
      <w:r w:rsidRPr="00424569">
        <w:rPr>
          <w:color w:val="000000"/>
          <w:lang w:val="en-US" w:eastAsia="en-US" w:bidi="en-US"/>
        </w:rPr>
        <w:t>Supervision</w:t>
      </w:r>
      <w:r>
        <w:rPr>
          <w:color w:val="000000"/>
          <w:lang w:eastAsia="en-US" w:bidi="en-US"/>
        </w:rPr>
        <w:t xml:space="preserve">) </w:t>
      </w:r>
      <w:r w:rsidRPr="00424569">
        <w:rPr>
          <w:color w:val="000000"/>
          <w:lang w:eastAsia="en-US" w:bidi="en-US"/>
        </w:rPr>
        <w:t xml:space="preserve"> προέρχεται από την ομώνυμη πόλη της Ελβετίας, όπου έχει την έδρα της η </w:t>
      </w:r>
      <w:r w:rsidRPr="00424569">
        <w:rPr>
          <w:iCs/>
          <w:color w:val="000000"/>
          <w:lang w:eastAsia="en-US" w:bidi="en-US"/>
        </w:rPr>
        <w:t xml:space="preserve">Τράπεζα Διεθνών </w:t>
      </w:r>
      <w:r w:rsidRPr="00424569">
        <w:rPr>
          <w:iCs/>
          <w:lang w:eastAsia="en-US" w:bidi="en-US"/>
        </w:rPr>
        <w:t>Διακανονισμών</w:t>
      </w:r>
      <w:r w:rsidRPr="00424569">
        <w:rPr>
          <w:i/>
          <w:iCs/>
          <w:lang w:eastAsia="en-US" w:bidi="en-US"/>
        </w:rPr>
        <w:t xml:space="preserve"> </w:t>
      </w:r>
      <w:r w:rsidRPr="00424569">
        <w:rPr>
          <w:lang w:eastAsia="en-US" w:bidi="en-US"/>
        </w:rPr>
        <w:t>(</w:t>
      </w:r>
      <w:r w:rsidRPr="00424569">
        <w:rPr>
          <w:lang w:val="en-US" w:eastAsia="en-US" w:bidi="en-US"/>
        </w:rPr>
        <w:t>Bank</w:t>
      </w:r>
      <w:r w:rsidRPr="00424569">
        <w:rPr>
          <w:lang w:eastAsia="en-US" w:bidi="en-US"/>
        </w:rPr>
        <w:t xml:space="preserve"> </w:t>
      </w:r>
      <w:r w:rsidRPr="00424569">
        <w:rPr>
          <w:lang w:val="en-US" w:eastAsia="en-US" w:bidi="en-US"/>
        </w:rPr>
        <w:t>for</w:t>
      </w:r>
      <w:r w:rsidRPr="00424569">
        <w:rPr>
          <w:lang w:eastAsia="en-US" w:bidi="en-US"/>
        </w:rPr>
        <w:t xml:space="preserve"> </w:t>
      </w:r>
      <w:r w:rsidRPr="00424569">
        <w:rPr>
          <w:lang w:val="en-US" w:eastAsia="en-US" w:bidi="en-US"/>
        </w:rPr>
        <w:t>International</w:t>
      </w:r>
      <w:r w:rsidRPr="00424569">
        <w:rPr>
          <w:lang w:eastAsia="en-US" w:bidi="en-US"/>
        </w:rPr>
        <w:t xml:space="preserve"> </w:t>
      </w:r>
      <w:r w:rsidRPr="00424569">
        <w:rPr>
          <w:lang w:val="en-US" w:eastAsia="en-US" w:bidi="en-US"/>
        </w:rPr>
        <w:t>Settlements</w:t>
      </w:r>
      <w:r>
        <w:rPr>
          <w:lang w:eastAsia="en-US" w:bidi="en-US"/>
        </w:rPr>
        <w:t xml:space="preserve">). </w:t>
      </w:r>
      <w:r w:rsidRPr="00424569">
        <w:rPr>
          <w:color w:val="000000"/>
          <w:lang w:eastAsia="en-US" w:bidi="en-US"/>
        </w:rPr>
        <w:t>Η Επιτροπή ιδρύθηκε το 1974 με στόχο τη διαμόρφωση προτύπων εποπτείας και κατευθυντηρίων οδηγιών για τη λειτου</w:t>
      </w:r>
      <w:r w:rsidR="00C64B3C">
        <w:rPr>
          <w:color w:val="000000"/>
          <w:lang w:eastAsia="en-US" w:bidi="en-US"/>
        </w:rPr>
        <w:t>ργία του τραπεζικού συστήματος.</w:t>
      </w:r>
      <w:r w:rsidR="00C64B3C" w:rsidRPr="00C64B3C">
        <w:rPr>
          <w:color w:val="000000"/>
          <w:lang w:eastAsia="en-US" w:bidi="en-US"/>
        </w:rPr>
        <w:t xml:space="preserve"> </w:t>
      </w:r>
      <w:r w:rsidRPr="00424569">
        <w:rPr>
          <w:color w:val="000000"/>
          <w:lang w:eastAsia="en-US" w:bidi="en-US"/>
        </w:rPr>
        <w:t xml:space="preserve">Το 1988 η Επιτροπή εισήγαγε ένα σύστημα κεφαλαιακής μέτρησης με την ονομασία </w:t>
      </w:r>
      <w:r w:rsidRPr="00424569">
        <w:rPr>
          <w:iCs/>
          <w:color w:val="000000"/>
          <w:lang w:val="en-US" w:eastAsia="en-US" w:bidi="en-US"/>
        </w:rPr>
        <w:t>Basel</w:t>
      </w:r>
      <w:r w:rsidRPr="00424569">
        <w:rPr>
          <w:iCs/>
          <w:color w:val="000000"/>
          <w:lang w:eastAsia="en-US" w:bidi="en-US"/>
        </w:rPr>
        <w:t xml:space="preserve"> </w:t>
      </w:r>
      <w:r w:rsidRPr="00424569">
        <w:rPr>
          <w:iCs/>
          <w:color w:val="000000"/>
          <w:lang w:val="en-US" w:eastAsia="en-US" w:bidi="en-US"/>
        </w:rPr>
        <w:t>Capital</w:t>
      </w:r>
      <w:r w:rsidRPr="00424569">
        <w:rPr>
          <w:iCs/>
          <w:color w:val="000000"/>
          <w:lang w:eastAsia="en-US" w:bidi="en-US"/>
        </w:rPr>
        <w:t xml:space="preserve"> </w:t>
      </w:r>
      <w:r w:rsidRPr="00424569">
        <w:rPr>
          <w:iCs/>
          <w:color w:val="000000"/>
          <w:lang w:val="en-US" w:eastAsia="en-US" w:bidi="en-US"/>
        </w:rPr>
        <w:t>Accord</w:t>
      </w:r>
      <w:r w:rsidRPr="00424569">
        <w:rPr>
          <w:color w:val="0000FF"/>
          <w:lang w:eastAsia="en-US" w:bidi="en-US"/>
        </w:rPr>
        <w:t xml:space="preserve">. </w:t>
      </w:r>
      <w:r w:rsidRPr="00424569">
        <w:rPr>
          <w:color w:val="000000"/>
          <w:lang w:eastAsia="en-US" w:bidi="en-US"/>
        </w:rPr>
        <w:t xml:space="preserve">Στόχος </w:t>
      </w:r>
      <w:r w:rsidR="00330FC6" w:rsidRPr="00424569">
        <w:rPr>
          <w:color w:val="000000"/>
          <w:lang w:eastAsia="en-US" w:bidi="en-US"/>
        </w:rPr>
        <w:t>τ</w:t>
      </w:r>
      <w:r w:rsidR="00330FC6">
        <w:rPr>
          <w:color w:val="000000"/>
          <w:lang w:eastAsia="en-US" w:bidi="en-US"/>
        </w:rPr>
        <w:t xml:space="preserve">ου </w:t>
      </w:r>
      <w:r w:rsidR="00330FC6" w:rsidRPr="00424569">
        <w:rPr>
          <w:color w:val="000000"/>
          <w:lang w:eastAsia="en-US" w:bidi="en-US"/>
        </w:rPr>
        <w:t>πλα</w:t>
      </w:r>
      <w:r w:rsidR="00330FC6">
        <w:rPr>
          <w:color w:val="000000"/>
          <w:lang w:eastAsia="en-US" w:bidi="en-US"/>
        </w:rPr>
        <w:t xml:space="preserve">ισίου </w:t>
      </w:r>
      <w:r w:rsidR="00330FC6" w:rsidRPr="00424569">
        <w:rPr>
          <w:color w:val="000000"/>
          <w:lang w:eastAsia="en-US" w:bidi="en-US"/>
        </w:rPr>
        <w:t xml:space="preserve">εποπτείας του διεθνούς τραπεζικού συστήματος με την </w:t>
      </w:r>
      <w:r w:rsidR="00330FC6" w:rsidRPr="00424569">
        <w:rPr>
          <w:lang w:eastAsia="en-US" w:bidi="en-US"/>
        </w:rPr>
        <w:t xml:space="preserve">ονομασία </w:t>
      </w:r>
      <w:r w:rsidR="00330FC6" w:rsidRPr="00424569">
        <w:rPr>
          <w:b/>
          <w:bCs/>
          <w:lang w:eastAsia="en-US" w:bidi="en-US"/>
        </w:rPr>
        <w:t>Βασιλεία Ι</w:t>
      </w:r>
      <w:r w:rsidR="00330FC6" w:rsidRPr="00330FC6">
        <w:rPr>
          <w:bCs/>
          <w:lang w:eastAsia="en-US" w:bidi="en-US"/>
        </w:rPr>
        <w:t>,</w:t>
      </w:r>
      <w:r w:rsidR="00330FC6" w:rsidRPr="00424569">
        <w:rPr>
          <w:color w:val="000000"/>
          <w:lang w:eastAsia="en-US" w:bidi="en-US"/>
        </w:rPr>
        <w:t xml:space="preserve"> </w:t>
      </w:r>
      <w:r w:rsidRPr="00424569">
        <w:rPr>
          <w:color w:val="000000"/>
          <w:lang w:eastAsia="en-US" w:bidi="en-US"/>
        </w:rPr>
        <w:t xml:space="preserve">ήταν η </w:t>
      </w:r>
      <w:r w:rsidRPr="00424569">
        <w:rPr>
          <w:color w:val="000000"/>
          <w:lang w:eastAsia="en-US" w:bidi="en-US"/>
        </w:rPr>
        <w:lastRenderedPageBreak/>
        <w:t xml:space="preserve">αντιμετώπιση του πιστωτικού κινδύνου μέσω της </w:t>
      </w:r>
      <w:r w:rsidRPr="00424569">
        <w:rPr>
          <w:lang w:eastAsia="en-US" w:bidi="en-US"/>
        </w:rPr>
        <w:t xml:space="preserve">θέσπισης ελάχιστων κεφαλαιακών απαιτήσεων. </w:t>
      </w:r>
      <w:r>
        <w:rPr>
          <w:lang w:eastAsia="en-US" w:bidi="en-US"/>
        </w:rPr>
        <w:t>Λίγα χρόνια αργότερα σ</w:t>
      </w:r>
      <w:r w:rsidRPr="00424569">
        <w:rPr>
          <w:lang w:eastAsia="en-US" w:bidi="en-US"/>
        </w:rPr>
        <w:t xml:space="preserve">την αρχή της δεκαετίας του 2000 το πλαίσιο </w:t>
      </w:r>
      <w:r w:rsidRPr="00424569">
        <w:rPr>
          <w:b/>
          <w:bCs/>
          <w:lang w:eastAsia="en-US" w:bidi="en-US"/>
        </w:rPr>
        <w:t>Βασιλεία ΙΙ</w:t>
      </w:r>
      <w:r w:rsidRPr="00424569">
        <w:rPr>
          <w:lang w:eastAsia="en-US" w:bidi="en-US"/>
        </w:rPr>
        <w:t xml:space="preserve">, αντικατέστησε τη Βασιλεία Ι, </w:t>
      </w:r>
      <w:r>
        <w:rPr>
          <w:lang w:eastAsia="en-US" w:bidi="en-US"/>
        </w:rPr>
        <w:t>με σκοπό την</w:t>
      </w:r>
      <w:r w:rsidRPr="00424569">
        <w:rPr>
          <w:lang w:eastAsia="en-US" w:bidi="en-US"/>
        </w:rPr>
        <w:t xml:space="preserve"> πληρέστερη απεικόνιση των αναλαμβανομένων κινδύνων</w:t>
      </w:r>
      <w:r w:rsidR="00330FC6">
        <w:rPr>
          <w:lang w:eastAsia="en-US" w:bidi="en-US"/>
        </w:rPr>
        <w:t xml:space="preserve"> από τα πιστωτικά ιδρύματα και </w:t>
      </w:r>
      <w:r w:rsidRPr="00424569">
        <w:rPr>
          <w:lang w:eastAsia="en-US" w:bidi="en-US"/>
        </w:rPr>
        <w:t xml:space="preserve">τη σύνδεση των κεφαλαιακών απαιτήσεων με τους κινδύνους αυτούς. </w:t>
      </w:r>
      <w:r>
        <w:rPr>
          <w:lang w:eastAsia="en-US" w:bidi="en-US"/>
        </w:rPr>
        <w:t xml:space="preserve">Η σύγχρονη χρηματοπιστωτική κρίση έφερε γρήγορα το </w:t>
      </w:r>
      <w:r w:rsidRPr="00424569">
        <w:rPr>
          <w:lang w:eastAsia="en-US" w:bidi="en-US"/>
        </w:rPr>
        <w:t xml:space="preserve">πλαίσιο </w:t>
      </w:r>
      <w:r w:rsidRPr="00424569">
        <w:rPr>
          <w:b/>
          <w:bCs/>
          <w:lang w:eastAsia="en-US" w:bidi="en-US"/>
        </w:rPr>
        <w:t>Βασιλεία ΙΙΙ</w:t>
      </w:r>
      <w:r w:rsidRPr="00424569">
        <w:rPr>
          <w:lang w:eastAsia="en-US" w:bidi="en-US"/>
        </w:rPr>
        <w:t xml:space="preserve">, </w:t>
      </w:r>
      <w:r>
        <w:rPr>
          <w:lang w:eastAsia="en-US" w:bidi="en-US"/>
        </w:rPr>
        <w:t xml:space="preserve">όπου </w:t>
      </w:r>
      <w:r w:rsidRPr="00424569">
        <w:rPr>
          <w:lang w:eastAsia="en-US" w:bidi="en-US"/>
        </w:rPr>
        <w:t xml:space="preserve">παρουσιάζονται κανονιστικά πρότυπα που αφορούν την κεφαλαιακή επάρκεια και </w:t>
      </w:r>
      <w:r w:rsidR="00C31822">
        <w:rPr>
          <w:lang w:eastAsia="en-US" w:bidi="en-US"/>
        </w:rPr>
        <w:t xml:space="preserve">την </w:t>
      </w:r>
      <w:r w:rsidRPr="00424569">
        <w:rPr>
          <w:lang w:eastAsia="en-US" w:bidi="en-US"/>
        </w:rPr>
        <w:t>ρευστότητα</w:t>
      </w:r>
      <w:r w:rsidRPr="00424569">
        <w:rPr>
          <w:color w:val="000000"/>
          <w:lang w:eastAsia="en-US" w:bidi="en-US"/>
        </w:rPr>
        <w:t xml:space="preserve"> των τραπεζών.</w:t>
      </w:r>
    </w:p>
    <w:p w:rsidR="0079035E" w:rsidRPr="00C64B3C" w:rsidRDefault="0079035E" w:rsidP="00C64B3C">
      <w:pPr>
        <w:autoSpaceDE w:val="0"/>
        <w:autoSpaceDN w:val="0"/>
        <w:adjustRightInd w:val="0"/>
        <w:spacing w:line="360" w:lineRule="auto"/>
        <w:ind w:firstLine="720"/>
        <w:jc w:val="both"/>
        <w:rPr>
          <w:color w:val="000000"/>
          <w:lang w:eastAsia="en-US" w:bidi="en-US"/>
        </w:rPr>
      </w:pPr>
      <w:r>
        <w:rPr>
          <w:rFonts w:eastAsiaTheme="minorHAnsi" w:cstheme="minorBidi"/>
        </w:rPr>
        <w:t xml:space="preserve">Σύμφωνα με τον </w:t>
      </w:r>
      <w:r w:rsidRPr="00CC7518">
        <w:rPr>
          <w:rFonts w:eastAsiaTheme="minorHAnsi" w:cstheme="minorBidi"/>
          <w:lang w:val="en-US"/>
        </w:rPr>
        <w:t>Goodhart</w:t>
      </w:r>
      <w:r w:rsidRPr="00CC7518">
        <w:rPr>
          <w:rFonts w:eastAsiaTheme="minorHAnsi" w:cstheme="minorBidi"/>
        </w:rPr>
        <w:t xml:space="preserve"> (2011) οι βασικοί στόχοι της Επιτροπής </w:t>
      </w:r>
      <w:r w:rsidR="00C31822">
        <w:rPr>
          <w:rFonts w:eastAsiaTheme="minorHAnsi" w:cstheme="minorBidi"/>
        </w:rPr>
        <w:t xml:space="preserve">της </w:t>
      </w:r>
      <w:r w:rsidRPr="00CC7518">
        <w:rPr>
          <w:rFonts w:eastAsiaTheme="minorHAnsi" w:cstheme="minorBidi"/>
        </w:rPr>
        <w:t>Βασιλείας είναι</w:t>
      </w:r>
      <w:r w:rsidR="00C31822">
        <w:rPr>
          <w:rFonts w:eastAsiaTheme="minorHAnsi" w:cstheme="minorBidi"/>
        </w:rPr>
        <w:t xml:space="preserve"> δύο. Πρώτον η</w:t>
      </w:r>
      <w:r w:rsidRPr="00CC7518">
        <w:rPr>
          <w:rFonts w:eastAsiaTheme="minorHAnsi" w:cstheme="minorBidi"/>
        </w:rPr>
        <w:t xml:space="preserve"> διασφάλιση της σταθερότητας </w:t>
      </w:r>
      <w:r w:rsidRPr="0079035E">
        <w:rPr>
          <w:rFonts w:eastAsiaTheme="minorHAnsi" w:cstheme="minorBidi"/>
        </w:rPr>
        <w:t>του διεθνο</w:t>
      </w:r>
      <w:r w:rsidR="00C31822">
        <w:rPr>
          <w:rFonts w:eastAsiaTheme="minorHAnsi" w:cstheme="minorBidi"/>
        </w:rPr>
        <w:t>ύς χρηματοπιστωτικού συστήματος. Δεύτερον η</w:t>
      </w:r>
      <w:r w:rsidRPr="0079035E">
        <w:rPr>
          <w:rFonts w:eastAsiaTheme="minorHAnsi" w:cstheme="minorBidi"/>
        </w:rPr>
        <w:t xml:space="preserve"> διαμόρφωση ισοδυνάμων όρων ανταγωνισμού, κυρίως σε διεθνές επίπεδο, τόσο μεταξύ των διεθνώς δραστηριοποιημένων τραπεζών, όσο και μεταξύ των </w:t>
      </w:r>
      <w:r w:rsidR="00C31822">
        <w:rPr>
          <w:rFonts w:eastAsiaTheme="minorHAnsi" w:cstheme="minorBidi"/>
        </w:rPr>
        <w:t>εταιριών του χρηματοοικονομικού κλάδου</w:t>
      </w:r>
      <w:r w:rsidRPr="0079035E">
        <w:rPr>
          <w:rFonts w:eastAsiaTheme="minorHAnsi" w:cstheme="minorBidi"/>
        </w:rPr>
        <w:t xml:space="preserve">. </w:t>
      </w:r>
    </w:p>
    <w:p w:rsidR="00424569" w:rsidRPr="009F7E1A" w:rsidRDefault="00424569" w:rsidP="00424569"/>
    <w:p w:rsidR="00424569" w:rsidRPr="009F7E1A" w:rsidRDefault="00424569" w:rsidP="00424569"/>
    <w:p w:rsidR="004F12E8" w:rsidRDefault="007533D5" w:rsidP="004F12E8">
      <w:pPr>
        <w:pStyle w:val="2"/>
        <w:spacing w:before="0" w:after="0" w:line="360" w:lineRule="auto"/>
        <w:jc w:val="both"/>
        <w:rPr>
          <w:rFonts w:ascii="Times New Roman" w:hAnsi="Times New Roman" w:cs="Times New Roman"/>
          <w:i w:val="0"/>
          <w:sz w:val="24"/>
          <w:szCs w:val="24"/>
        </w:rPr>
      </w:pPr>
      <w:bookmarkStart w:id="11" w:name="_Toc396034955"/>
      <w:r>
        <w:rPr>
          <w:rFonts w:ascii="Times New Roman" w:hAnsi="Times New Roman" w:cs="Times New Roman"/>
          <w:i w:val="0"/>
          <w:sz w:val="24"/>
          <w:szCs w:val="24"/>
        </w:rPr>
        <w:t>6.4</w:t>
      </w:r>
      <w:r w:rsidR="004F12E8" w:rsidRPr="00580915">
        <w:rPr>
          <w:rFonts w:ascii="Times New Roman" w:hAnsi="Times New Roman" w:cs="Times New Roman"/>
          <w:i w:val="0"/>
          <w:sz w:val="24"/>
          <w:szCs w:val="24"/>
        </w:rPr>
        <w:t xml:space="preserve">.1 </w:t>
      </w:r>
      <w:r w:rsidR="004F12E8">
        <w:rPr>
          <w:rFonts w:ascii="Times New Roman" w:hAnsi="Times New Roman" w:cs="Times New Roman"/>
          <w:i w:val="0"/>
          <w:sz w:val="24"/>
          <w:szCs w:val="24"/>
        </w:rPr>
        <w:t>Το σύμφωνο</w:t>
      </w:r>
      <w:r w:rsidR="004F12E8" w:rsidRPr="004F12E8">
        <w:rPr>
          <w:rFonts w:ascii="Times New Roman" w:hAnsi="Times New Roman" w:cs="Times New Roman"/>
          <w:i w:val="0"/>
          <w:sz w:val="24"/>
          <w:szCs w:val="24"/>
        </w:rPr>
        <w:t xml:space="preserve"> για την τραπεζική εποπτεία Βασιλεία Ι</w:t>
      </w:r>
      <w:bookmarkEnd w:id="11"/>
    </w:p>
    <w:p w:rsidR="00C64B3C" w:rsidRPr="00C64B3C" w:rsidRDefault="006572C3" w:rsidP="00C64B3C">
      <w:pPr>
        <w:autoSpaceDE w:val="0"/>
        <w:autoSpaceDN w:val="0"/>
        <w:adjustRightInd w:val="0"/>
        <w:spacing w:line="360" w:lineRule="auto"/>
        <w:ind w:firstLine="720"/>
        <w:jc w:val="both"/>
        <w:rPr>
          <w:iCs/>
          <w:color w:val="000000"/>
        </w:rPr>
      </w:pPr>
      <w:r w:rsidRPr="004D5FB1">
        <w:rPr>
          <w:iCs/>
          <w:color w:val="000000"/>
        </w:rPr>
        <w:t>Το ζήτημα της διεθνούς αναγνώρισης του περιεχο</w:t>
      </w:r>
      <w:r>
        <w:rPr>
          <w:iCs/>
          <w:color w:val="000000"/>
        </w:rPr>
        <w:t>μένου των κανόνων</w:t>
      </w:r>
      <w:r w:rsidRPr="007104A3">
        <w:rPr>
          <w:iCs/>
          <w:color w:val="000000"/>
        </w:rPr>
        <w:t xml:space="preserve"> </w:t>
      </w:r>
      <w:r>
        <w:rPr>
          <w:iCs/>
          <w:color w:val="000000"/>
        </w:rPr>
        <w:t>κεφαλαιακής</w:t>
      </w:r>
      <w:r w:rsidRPr="007104A3">
        <w:rPr>
          <w:iCs/>
          <w:color w:val="000000"/>
        </w:rPr>
        <w:t xml:space="preserve"> </w:t>
      </w:r>
      <w:r>
        <w:rPr>
          <w:iCs/>
          <w:color w:val="000000"/>
        </w:rPr>
        <w:t>επάρκειας</w:t>
      </w:r>
      <w:r w:rsidRPr="007104A3">
        <w:rPr>
          <w:iCs/>
          <w:color w:val="000000"/>
        </w:rPr>
        <w:t xml:space="preserve"> </w:t>
      </w:r>
      <w:r w:rsidRPr="004D5FB1">
        <w:rPr>
          <w:iCs/>
          <w:color w:val="000000"/>
        </w:rPr>
        <w:t xml:space="preserve">των τραπεζών βρίσκεται διαρκώς στην επικαιρότητα τα τελευταία χρόνια. Οι </w:t>
      </w:r>
      <w:r w:rsidR="00424569">
        <w:rPr>
          <w:iCs/>
          <w:color w:val="000000"/>
        </w:rPr>
        <w:t>πρώτες ενέργειες έλαβαν χώρα</w:t>
      </w:r>
      <w:r w:rsidRPr="004D5FB1">
        <w:rPr>
          <w:iCs/>
          <w:color w:val="000000"/>
        </w:rPr>
        <w:t xml:space="preserve"> το 1988, όταν οι νομισματικές και εποπτικές αρχές των τραπεζών των δώδεκα οικονο</w:t>
      </w:r>
      <w:r w:rsidR="00424569">
        <w:rPr>
          <w:iCs/>
          <w:color w:val="000000"/>
        </w:rPr>
        <w:t>μικά πιο ανεπτυγμένων χωρών-μελών</w:t>
      </w:r>
      <w:r w:rsidRPr="004D5FB1">
        <w:rPr>
          <w:iCs/>
          <w:color w:val="000000"/>
        </w:rPr>
        <w:t xml:space="preserve"> της Επιτροπής Βασιλείας για την Τραπεζική Εποπτεία-προχώρησαν στην έκδοση του Συμφώνου της Βασιλείας για την κεφαλαιακή επάρκεια (</w:t>
      </w:r>
      <w:r w:rsidR="00CC7518">
        <w:rPr>
          <w:iCs/>
          <w:color w:val="000000"/>
        </w:rPr>
        <w:t xml:space="preserve"> Basel Capital Accord ή Basel I</w:t>
      </w:r>
      <w:r w:rsidRPr="004D5FB1">
        <w:rPr>
          <w:iCs/>
          <w:color w:val="000000"/>
        </w:rPr>
        <w:t>)</w:t>
      </w:r>
      <w:r w:rsidRPr="004D5FB1">
        <w:rPr>
          <w:rStyle w:val="ac"/>
          <w:iCs/>
          <w:color w:val="000000"/>
        </w:rPr>
        <w:footnoteReference w:id="1"/>
      </w:r>
      <w:r>
        <w:rPr>
          <w:iCs/>
          <w:color w:val="000000"/>
        </w:rPr>
        <w:t>. Ο βασικός παράγοντας που οδήγησε στο Σύμφωνο της Βασιλείας Ι ήταν η ανησυχία των κεντρικών τραπεζών των κρατών της ομάδας του G-12</w:t>
      </w:r>
      <w:r w:rsidRPr="003D0A44">
        <w:rPr>
          <w:iCs/>
          <w:color w:val="000000"/>
        </w:rPr>
        <w:t xml:space="preserve"> </w:t>
      </w:r>
      <w:r>
        <w:rPr>
          <w:iCs/>
          <w:color w:val="000000"/>
        </w:rPr>
        <w:t xml:space="preserve">, ότι τα κεφάλαια των διεθνών τραπεζών είχαν μειωθεί σε χαμηλά επίπεδα, εξ αιτίας του έντονου ανταγωνισμού και της διεθνοποιήσεως των αγορών. </w:t>
      </w:r>
      <w:r w:rsidR="007D6964">
        <w:rPr>
          <w:iCs/>
          <w:color w:val="000000"/>
        </w:rPr>
        <w:t>Στο σ</w:t>
      </w:r>
      <w:r>
        <w:rPr>
          <w:iCs/>
          <w:color w:val="000000"/>
        </w:rPr>
        <w:t>ύμφ</w:t>
      </w:r>
      <w:r w:rsidR="007D6964">
        <w:rPr>
          <w:iCs/>
          <w:color w:val="000000"/>
        </w:rPr>
        <w:t>ωνο της Βασιλείας Ι προσδιορίζονται τα στοιχεία και η</w:t>
      </w:r>
      <w:r>
        <w:rPr>
          <w:iCs/>
          <w:color w:val="000000"/>
        </w:rPr>
        <w:t xml:space="preserve"> ποιότητα των ιδίων κεφαλ</w:t>
      </w:r>
      <w:r w:rsidR="007D6964">
        <w:rPr>
          <w:iCs/>
          <w:color w:val="000000"/>
        </w:rPr>
        <w:t>αίων των τραπεζών και ομαδοποιούνται</w:t>
      </w:r>
      <w:r>
        <w:rPr>
          <w:iCs/>
          <w:color w:val="000000"/>
        </w:rPr>
        <w:t xml:space="preserve"> σε βασικές κατηγορίες, τα εντός και εκτός ισολογισμού στοιχεία τους, ανάλογα με τον πιστωτικό κίνδυνο που εμπεριέχουν. Έτσι </w:t>
      </w:r>
      <w:r w:rsidR="007D6964">
        <w:rPr>
          <w:iCs/>
          <w:color w:val="000000"/>
        </w:rPr>
        <w:t>προτείνεται</w:t>
      </w:r>
      <w:r>
        <w:rPr>
          <w:iCs/>
          <w:color w:val="000000"/>
        </w:rPr>
        <w:t xml:space="preserve"> ένα</w:t>
      </w:r>
      <w:r w:rsidR="007D6964">
        <w:rPr>
          <w:iCs/>
          <w:color w:val="000000"/>
        </w:rPr>
        <w:t>ς</w:t>
      </w:r>
      <w:r>
        <w:rPr>
          <w:iCs/>
          <w:color w:val="000000"/>
        </w:rPr>
        <w:t xml:space="preserve"> ελάχιστο</w:t>
      </w:r>
      <w:r w:rsidR="007D6964">
        <w:rPr>
          <w:iCs/>
          <w:color w:val="000000"/>
        </w:rPr>
        <w:t>ς</w:t>
      </w:r>
      <w:r>
        <w:rPr>
          <w:iCs/>
          <w:color w:val="000000"/>
        </w:rPr>
        <w:t xml:space="preserve"> ενιαίο</w:t>
      </w:r>
      <w:r w:rsidR="007D6964">
        <w:rPr>
          <w:iCs/>
          <w:color w:val="000000"/>
        </w:rPr>
        <w:t>ς</w:t>
      </w:r>
      <w:r>
        <w:rPr>
          <w:iCs/>
          <w:color w:val="000000"/>
        </w:rPr>
        <w:t xml:space="preserve"> δείκτη κεφαλαιακής επάρκειας </w:t>
      </w:r>
      <w:r w:rsidR="007D6964">
        <w:rPr>
          <w:iCs/>
          <w:color w:val="000000"/>
        </w:rPr>
        <w:t xml:space="preserve">όπου τα ίδια κεφάλαια πρέπει να είναι μεγαλύτερα ή ίσα του </w:t>
      </w:r>
      <w:r>
        <w:rPr>
          <w:iCs/>
          <w:color w:val="000000"/>
        </w:rPr>
        <w:t xml:space="preserve">8% </w:t>
      </w:r>
      <w:r w:rsidR="007D6964">
        <w:rPr>
          <w:iCs/>
          <w:color w:val="000000"/>
        </w:rPr>
        <w:t>του ενεργητικού της τράπεζας</w:t>
      </w:r>
      <w:r w:rsidR="00C31822">
        <w:rPr>
          <w:iCs/>
          <w:color w:val="000000"/>
        </w:rPr>
        <w:t xml:space="preserve">. </w:t>
      </w:r>
      <w:r w:rsidR="00C31822">
        <w:rPr>
          <w:iCs/>
          <w:color w:val="000000"/>
        </w:rPr>
        <w:lastRenderedPageBreak/>
        <w:t>Έχουμε λοιπόν μια πρώτη προσπάθεια εναρμόνισης του διεθνούς εποπτικού</w:t>
      </w:r>
      <w:r>
        <w:rPr>
          <w:iCs/>
          <w:color w:val="000000"/>
        </w:rPr>
        <w:t xml:space="preserve"> σ</w:t>
      </w:r>
      <w:r w:rsidR="00C31822">
        <w:rPr>
          <w:iCs/>
          <w:color w:val="000000"/>
        </w:rPr>
        <w:t>υστήματος</w:t>
      </w:r>
      <w:r>
        <w:rPr>
          <w:iCs/>
          <w:color w:val="000000"/>
        </w:rPr>
        <w:t xml:space="preserve">. </w:t>
      </w:r>
    </w:p>
    <w:p w:rsidR="006572C3" w:rsidRDefault="007D6964" w:rsidP="00C64B3C">
      <w:pPr>
        <w:autoSpaceDE w:val="0"/>
        <w:autoSpaceDN w:val="0"/>
        <w:adjustRightInd w:val="0"/>
        <w:spacing w:line="360" w:lineRule="auto"/>
        <w:ind w:firstLine="720"/>
        <w:jc w:val="both"/>
        <w:rPr>
          <w:iCs/>
          <w:color w:val="000000"/>
        </w:rPr>
      </w:pPr>
      <w:r>
        <w:rPr>
          <w:iCs/>
          <w:color w:val="000000"/>
        </w:rPr>
        <w:t>Θα πρέπει να τονίσουμε σε αυτό το σημείο ότι το σ</w:t>
      </w:r>
      <w:r w:rsidR="006572C3">
        <w:rPr>
          <w:iCs/>
          <w:color w:val="000000"/>
        </w:rPr>
        <w:t xml:space="preserve">ύμφωνο σημείωσε πολύ μεγάλη επιτυχία μιας και κατόρθωσε να καταστεί το παγκόσμιο πρότυπο της τραπεζικής εποπτείας σε περισσότερες από 100 χώρες κατά τη διάρκεια της δεκαετίας του 1990. Εκτός όμως από τη θετική συμβολή του </w:t>
      </w:r>
      <w:r>
        <w:rPr>
          <w:iCs/>
          <w:color w:val="000000"/>
        </w:rPr>
        <w:t>σ</w:t>
      </w:r>
      <w:r w:rsidR="006572C3">
        <w:rPr>
          <w:iCs/>
          <w:color w:val="000000"/>
        </w:rPr>
        <w:t>υμφ</w:t>
      </w:r>
      <w:r>
        <w:rPr>
          <w:iCs/>
          <w:color w:val="000000"/>
        </w:rPr>
        <w:t>ώνου στο διεθνή τραπεζικό τομέα</w:t>
      </w:r>
      <w:r w:rsidR="006572C3">
        <w:rPr>
          <w:iCs/>
          <w:color w:val="000000"/>
        </w:rPr>
        <w:t xml:space="preserve">, δέχτηκε και μεγάλη κριτική τόσο από τις εποπτικές αρχές όσο και από τις ίδιες τις τράπεζες. </w:t>
      </w:r>
      <w:r>
        <w:rPr>
          <w:iCs/>
          <w:color w:val="000000"/>
        </w:rPr>
        <w:t xml:space="preserve">Ορισμένες από τις αδυναμίες του συμφώνου της </w:t>
      </w:r>
      <w:r w:rsidR="006572C3">
        <w:rPr>
          <w:iCs/>
          <w:color w:val="000000"/>
        </w:rPr>
        <w:t>Basel</w:t>
      </w:r>
      <w:r w:rsidR="006572C3" w:rsidRPr="0043687A">
        <w:rPr>
          <w:iCs/>
          <w:color w:val="000000"/>
        </w:rPr>
        <w:t xml:space="preserve"> </w:t>
      </w:r>
      <w:r w:rsidR="006572C3">
        <w:rPr>
          <w:iCs/>
          <w:color w:val="000000"/>
        </w:rPr>
        <w:t>I</w:t>
      </w:r>
      <w:r w:rsidR="006572C3" w:rsidRPr="0043687A">
        <w:rPr>
          <w:iCs/>
          <w:color w:val="000000"/>
        </w:rPr>
        <w:t xml:space="preserve"> </w:t>
      </w:r>
      <w:r w:rsidR="006572C3">
        <w:rPr>
          <w:iCs/>
          <w:color w:val="000000"/>
        </w:rPr>
        <w:t>είναι</w:t>
      </w:r>
      <w:r w:rsidR="006572C3">
        <w:rPr>
          <w:rStyle w:val="ac"/>
          <w:iCs/>
          <w:color w:val="000000"/>
        </w:rPr>
        <w:footnoteReference w:id="2"/>
      </w:r>
      <w:r>
        <w:rPr>
          <w:iCs/>
          <w:color w:val="000000"/>
        </w:rPr>
        <w:t xml:space="preserve"> οι ακόλουθες:</w:t>
      </w:r>
    </w:p>
    <w:p w:rsidR="006572C3" w:rsidRPr="007D6964" w:rsidRDefault="007D6964" w:rsidP="00157E15">
      <w:pPr>
        <w:pStyle w:val="ae"/>
        <w:numPr>
          <w:ilvl w:val="0"/>
          <w:numId w:val="22"/>
        </w:numPr>
        <w:autoSpaceDE w:val="0"/>
        <w:autoSpaceDN w:val="0"/>
        <w:adjustRightInd w:val="0"/>
        <w:spacing w:line="360" w:lineRule="auto"/>
        <w:contextualSpacing/>
        <w:jc w:val="both"/>
        <w:rPr>
          <w:iCs/>
          <w:color w:val="000000"/>
        </w:rPr>
      </w:pPr>
      <w:r w:rsidRPr="007D6964">
        <w:rPr>
          <w:iCs/>
          <w:color w:val="000000"/>
        </w:rPr>
        <w:t>Η α</w:t>
      </w:r>
      <w:r w:rsidR="006572C3" w:rsidRPr="007D6964">
        <w:rPr>
          <w:iCs/>
          <w:color w:val="000000"/>
        </w:rPr>
        <w:t>πουσία κεφαλαιακών απαιτήσεων για άλλους κινδύνους πέραν του πιστωτικού και του κινδύνου της αγοράς</w:t>
      </w:r>
      <w:r w:rsidR="00C31822">
        <w:rPr>
          <w:iCs/>
          <w:color w:val="000000"/>
        </w:rPr>
        <w:t>.</w:t>
      </w:r>
    </w:p>
    <w:p w:rsidR="006572C3" w:rsidRPr="007D6964" w:rsidRDefault="007D6964" w:rsidP="00157E15">
      <w:pPr>
        <w:pStyle w:val="ae"/>
        <w:numPr>
          <w:ilvl w:val="0"/>
          <w:numId w:val="22"/>
        </w:numPr>
        <w:autoSpaceDE w:val="0"/>
        <w:autoSpaceDN w:val="0"/>
        <w:adjustRightInd w:val="0"/>
        <w:spacing w:line="360" w:lineRule="auto"/>
        <w:contextualSpacing/>
        <w:jc w:val="both"/>
        <w:rPr>
          <w:iCs/>
          <w:color w:val="000000"/>
        </w:rPr>
      </w:pPr>
      <w:r w:rsidRPr="007D6964">
        <w:rPr>
          <w:iCs/>
          <w:color w:val="000000"/>
        </w:rPr>
        <w:t>Η δ</w:t>
      </w:r>
      <w:r w:rsidR="006572C3" w:rsidRPr="007D6964">
        <w:rPr>
          <w:iCs/>
          <w:color w:val="000000"/>
        </w:rPr>
        <w:t>υνατότητα αποφυγής κεφαλαιακών απαιτήσεων</w:t>
      </w:r>
      <w:r w:rsidRPr="007D6964">
        <w:rPr>
          <w:iCs/>
          <w:color w:val="000000"/>
        </w:rPr>
        <w:t xml:space="preserve"> μέσα από την ανάπτυξη συγκεκριμένων στρατηγικών</w:t>
      </w:r>
      <w:r w:rsidR="006572C3" w:rsidRPr="007D6964">
        <w:rPr>
          <w:iCs/>
          <w:color w:val="000000"/>
        </w:rPr>
        <w:t xml:space="preserve"> (regulatory capital arbitrage)</w:t>
      </w:r>
      <w:r w:rsidRPr="007D6964">
        <w:rPr>
          <w:iCs/>
          <w:color w:val="000000"/>
        </w:rPr>
        <w:t>.</w:t>
      </w:r>
    </w:p>
    <w:p w:rsidR="006572C3" w:rsidRPr="007D6964" w:rsidRDefault="006572C3" w:rsidP="00157E15">
      <w:pPr>
        <w:pStyle w:val="ae"/>
        <w:numPr>
          <w:ilvl w:val="0"/>
          <w:numId w:val="22"/>
        </w:numPr>
        <w:autoSpaceDE w:val="0"/>
        <w:autoSpaceDN w:val="0"/>
        <w:adjustRightInd w:val="0"/>
        <w:spacing w:line="360" w:lineRule="auto"/>
        <w:contextualSpacing/>
        <w:jc w:val="both"/>
        <w:rPr>
          <w:iCs/>
          <w:color w:val="000000"/>
        </w:rPr>
      </w:pPr>
      <w:r w:rsidRPr="007D6964">
        <w:rPr>
          <w:iCs/>
          <w:color w:val="000000"/>
        </w:rPr>
        <w:t>Κίνητρα αλόγιστης ανάληψης κινδύνων</w:t>
      </w:r>
      <w:r w:rsidR="00C31822">
        <w:rPr>
          <w:iCs/>
          <w:color w:val="000000"/>
        </w:rPr>
        <w:t>.</w:t>
      </w:r>
      <w:r w:rsidRPr="007D6964">
        <w:rPr>
          <w:iCs/>
          <w:color w:val="000000"/>
        </w:rPr>
        <w:t xml:space="preserve"> </w:t>
      </w:r>
    </w:p>
    <w:p w:rsidR="006572C3" w:rsidRPr="00C64B3C" w:rsidRDefault="006572C3" w:rsidP="00157E15">
      <w:pPr>
        <w:pStyle w:val="ae"/>
        <w:numPr>
          <w:ilvl w:val="0"/>
          <w:numId w:val="22"/>
        </w:numPr>
        <w:autoSpaceDE w:val="0"/>
        <w:autoSpaceDN w:val="0"/>
        <w:adjustRightInd w:val="0"/>
        <w:spacing w:line="360" w:lineRule="auto"/>
        <w:contextualSpacing/>
        <w:jc w:val="both"/>
        <w:rPr>
          <w:iCs/>
          <w:color w:val="000000"/>
        </w:rPr>
      </w:pPr>
      <w:r w:rsidRPr="007D6964">
        <w:rPr>
          <w:iCs/>
          <w:color w:val="000000"/>
        </w:rPr>
        <w:t xml:space="preserve">Απόκλιση του ύψους </w:t>
      </w:r>
      <w:r w:rsidR="00C31822">
        <w:rPr>
          <w:iCs/>
          <w:color w:val="000000"/>
        </w:rPr>
        <w:t>των εποπτικών ιδίων κεφαλαίων (regulatory capital</w:t>
      </w:r>
      <w:r w:rsidRPr="007D6964">
        <w:rPr>
          <w:iCs/>
          <w:color w:val="000000"/>
        </w:rPr>
        <w:t>) από τα ο</w:t>
      </w:r>
      <w:r w:rsidR="007D6964">
        <w:rPr>
          <w:iCs/>
          <w:color w:val="000000"/>
        </w:rPr>
        <w:t>ικονομικά ίδια κεφάλαια (</w:t>
      </w:r>
      <w:r w:rsidRPr="007D6964">
        <w:rPr>
          <w:iCs/>
          <w:color w:val="000000"/>
        </w:rPr>
        <w:t>economic capital)</w:t>
      </w:r>
      <w:r w:rsidR="007D6964" w:rsidRPr="007D6964">
        <w:rPr>
          <w:iCs/>
          <w:color w:val="000000"/>
        </w:rPr>
        <w:t xml:space="preserve">. Πιο </w:t>
      </w:r>
      <w:r w:rsidR="00C31822">
        <w:rPr>
          <w:iCs/>
          <w:color w:val="000000"/>
        </w:rPr>
        <w:t>σ</w:t>
      </w:r>
      <w:r w:rsidR="007D6964" w:rsidRPr="007D6964">
        <w:rPr>
          <w:iCs/>
          <w:color w:val="000000"/>
        </w:rPr>
        <w:t>υγκεκριμένα π</w:t>
      </w:r>
      <w:r w:rsidR="00C31822">
        <w:rPr>
          <w:iCs/>
          <w:color w:val="000000"/>
        </w:rPr>
        <w:t>εριορισμένη ευαισθησία</w:t>
      </w:r>
      <w:r w:rsidRPr="007D6964">
        <w:rPr>
          <w:iCs/>
          <w:color w:val="000000"/>
        </w:rPr>
        <w:t xml:space="preserve"> των συντελεστών στάθμισης πιστωτικού κινδύνου σε σχέση με τον πραγματικά αναλαμβανόμενο κίνδυνο</w:t>
      </w:r>
      <w:r w:rsidR="007D6964" w:rsidRPr="007D6964">
        <w:rPr>
          <w:iCs/>
          <w:color w:val="000000"/>
        </w:rPr>
        <w:t xml:space="preserve">. </w:t>
      </w:r>
    </w:p>
    <w:p w:rsidR="006572C3" w:rsidRDefault="006572C3" w:rsidP="00EC743B">
      <w:pPr>
        <w:autoSpaceDE w:val="0"/>
        <w:autoSpaceDN w:val="0"/>
        <w:adjustRightInd w:val="0"/>
        <w:spacing w:line="360" w:lineRule="auto"/>
        <w:ind w:firstLine="720"/>
        <w:jc w:val="both"/>
        <w:rPr>
          <w:iCs/>
          <w:color w:val="000000"/>
        </w:rPr>
      </w:pPr>
      <w:r>
        <w:rPr>
          <w:iCs/>
          <w:color w:val="000000"/>
        </w:rPr>
        <w:t>Στα χρόνια λοιπόν που ακολούθησαν το Σύμφωνο της Βασιλείας Ι τροποποιήθηκε αρκετές φορές ενσωματώνοντας όλο και περισσότερες διατάξεις για την καλύτερη λειτουργία του πιστωτικού συστήματος, μέχρι να αντικατασταθεί από το Σύμφωνο της Βασιλείας ΙΙ τον Ιούνιο του 1999.</w:t>
      </w:r>
    </w:p>
    <w:p w:rsidR="006572C3" w:rsidRDefault="006572C3" w:rsidP="006572C3"/>
    <w:p w:rsidR="006572C3" w:rsidRPr="006572C3" w:rsidRDefault="006572C3" w:rsidP="006572C3"/>
    <w:p w:rsidR="004F12E8" w:rsidRDefault="007533D5" w:rsidP="004F12E8">
      <w:pPr>
        <w:pStyle w:val="2"/>
        <w:spacing w:before="0" w:after="0" w:line="360" w:lineRule="auto"/>
        <w:jc w:val="both"/>
        <w:rPr>
          <w:rFonts w:ascii="Times New Roman" w:hAnsi="Times New Roman" w:cs="Times New Roman"/>
          <w:i w:val="0"/>
          <w:sz w:val="24"/>
          <w:szCs w:val="24"/>
        </w:rPr>
      </w:pPr>
      <w:bookmarkStart w:id="12" w:name="_Toc396034956"/>
      <w:r>
        <w:rPr>
          <w:rFonts w:ascii="Times New Roman" w:hAnsi="Times New Roman" w:cs="Times New Roman"/>
          <w:i w:val="0"/>
          <w:sz w:val="24"/>
          <w:szCs w:val="24"/>
        </w:rPr>
        <w:t>6.4</w:t>
      </w:r>
      <w:r w:rsidR="004F12E8" w:rsidRPr="00580915">
        <w:rPr>
          <w:rFonts w:ascii="Times New Roman" w:hAnsi="Times New Roman" w:cs="Times New Roman"/>
          <w:i w:val="0"/>
          <w:sz w:val="24"/>
          <w:szCs w:val="24"/>
        </w:rPr>
        <w:t>.</w:t>
      </w:r>
      <w:r w:rsidR="004F12E8">
        <w:rPr>
          <w:rFonts w:ascii="Times New Roman" w:hAnsi="Times New Roman" w:cs="Times New Roman"/>
          <w:i w:val="0"/>
          <w:sz w:val="24"/>
          <w:szCs w:val="24"/>
        </w:rPr>
        <w:t>2</w:t>
      </w:r>
      <w:r w:rsidR="004F12E8" w:rsidRPr="00580915">
        <w:rPr>
          <w:rFonts w:ascii="Times New Roman" w:hAnsi="Times New Roman" w:cs="Times New Roman"/>
          <w:i w:val="0"/>
          <w:sz w:val="24"/>
          <w:szCs w:val="24"/>
        </w:rPr>
        <w:t xml:space="preserve"> </w:t>
      </w:r>
      <w:r w:rsidR="004F12E8" w:rsidRPr="004F12E8">
        <w:rPr>
          <w:rFonts w:ascii="Times New Roman" w:hAnsi="Times New Roman" w:cs="Times New Roman"/>
          <w:i w:val="0"/>
          <w:sz w:val="24"/>
          <w:szCs w:val="24"/>
        </w:rPr>
        <w:t>Το σύμφωνο για την τραπεζική εποπτεία Βασιλεία Ι</w:t>
      </w:r>
      <w:r w:rsidR="004F12E8">
        <w:rPr>
          <w:rFonts w:ascii="Times New Roman" w:hAnsi="Times New Roman" w:cs="Times New Roman"/>
          <w:i w:val="0"/>
          <w:sz w:val="24"/>
          <w:szCs w:val="24"/>
        </w:rPr>
        <w:t>Ι</w:t>
      </w:r>
      <w:bookmarkEnd w:id="12"/>
    </w:p>
    <w:p w:rsidR="00680FEE" w:rsidRDefault="00A1032A" w:rsidP="00C64B3C">
      <w:pPr>
        <w:autoSpaceDE w:val="0"/>
        <w:autoSpaceDN w:val="0"/>
        <w:adjustRightInd w:val="0"/>
        <w:spacing w:line="360" w:lineRule="auto"/>
        <w:ind w:firstLine="720"/>
        <w:jc w:val="both"/>
        <w:rPr>
          <w:iCs/>
          <w:color w:val="000000"/>
        </w:rPr>
      </w:pPr>
      <w:r>
        <w:rPr>
          <w:iCs/>
          <w:color w:val="000000"/>
        </w:rPr>
        <w:t>Λαμβάνοντας υπόψη τις βασικές αδυναμίες</w:t>
      </w:r>
      <w:r w:rsidR="006572C3">
        <w:rPr>
          <w:iCs/>
          <w:color w:val="000000"/>
        </w:rPr>
        <w:t xml:space="preserve"> του Συμφώνου της Βασιλείας Ι, η Επιτροπή τον Ιούνιο του 1999 εξέδωσε πρόταση για ένα νέο πλαίσιο κεφαλαιακής επάρκειας για την αντικατάσταση του Συμφώνου του 1988. </w:t>
      </w:r>
      <w:r>
        <w:rPr>
          <w:iCs/>
          <w:color w:val="000000"/>
        </w:rPr>
        <w:t xml:space="preserve"> </w:t>
      </w:r>
      <w:r w:rsidR="006572C3">
        <w:rPr>
          <w:iCs/>
          <w:color w:val="000000"/>
        </w:rPr>
        <w:t>Έτσι τον Ιούνιο του 2004 εκδόθηκε το αναθεωρημένο εποπτικό πλαίσιο της κεφαλαιακής επάρκειας,</w:t>
      </w:r>
      <w:r w:rsidR="00EC743B">
        <w:rPr>
          <w:iCs/>
          <w:color w:val="000000"/>
        </w:rPr>
        <w:t xml:space="preserve"> </w:t>
      </w:r>
      <w:r w:rsidR="006572C3">
        <w:rPr>
          <w:iCs/>
          <w:color w:val="000000"/>
        </w:rPr>
        <w:t xml:space="preserve">το οποίο είναι γνωστό και ως Βασιλεία ΙΙ. Το αναθεωρημένο πλαίσιο επεκτείνει σε γενικές γραμμές το στόχο της κεφαλαιακής εποπτείας και στηρίζεται σε τρεις άξονες ή </w:t>
      </w:r>
      <w:r w:rsidR="006572C3">
        <w:rPr>
          <w:iCs/>
          <w:color w:val="000000"/>
        </w:rPr>
        <w:lastRenderedPageBreak/>
        <w:t>πυλώνες που αφορούν α) τις ελάχιστες κεφαλα</w:t>
      </w:r>
      <w:r w:rsidR="00EC743B">
        <w:rPr>
          <w:iCs/>
          <w:color w:val="000000"/>
        </w:rPr>
        <w:t>ιακές απαιτήσεις</w:t>
      </w:r>
      <w:r w:rsidR="006572C3">
        <w:rPr>
          <w:iCs/>
          <w:color w:val="000000"/>
        </w:rPr>
        <w:t xml:space="preserve">, β) τον εποπτικό έλεγχο και γ) την πειθαρχία της αγοράς. </w:t>
      </w:r>
    </w:p>
    <w:p w:rsidR="003A274A" w:rsidRDefault="003A274A" w:rsidP="00C64B3C">
      <w:pPr>
        <w:keepNext/>
        <w:jc w:val="center"/>
        <w:rPr>
          <w:rFonts w:ascii="Calibri" w:eastAsia="Calibri" w:hAnsi="Calibri"/>
          <w:b/>
          <w:bCs/>
          <w:sz w:val="20"/>
          <w:szCs w:val="20"/>
          <w:lang w:eastAsia="en-US"/>
        </w:rPr>
      </w:pPr>
    </w:p>
    <w:p w:rsidR="00680FEE" w:rsidRPr="00680FEE" w:rsidRDefault="00680FEE" w:rsidP="00C64B3C">
      <w:pPr>
        <w:keepNext/>
        <w:jc w:val="center"/>
        <w:rPr>
          <w:rFonts w:ascii="Calibri" w:eastAsia="Calibri" w:hAnsi="Calibri"/>
          <w:b/>
          <w:bCs/>
          <w:sz w:val="20"/>
          <w:szCs w:val="20"/>
          <w:lang w:eastAsia="en-US"/>
        </w:rPr>
      </w:pPr>
      <w:r>
        <w:rPr>
          <w:rFonts w:ascii="Calibri" w:eastAsia="Calibri" w:hAnsi="Calibri"/>
          <w:b/>
          <w:bCs/>
          <w:sz w:val="20"/>
          <w:szCs w:val="20"/>
          <w:lang w:eastAsia="en-US"/>
        </w:rPr>
        <w:t>Γράφημα</w:t>
      </w:r>
      <w:r w:rsidRPr="00680FEE">
        <w:rPr>
          <w:rFonts w:ascii="Calibri" w:eastAsia="Calibri" w:hAnsi="Calibri"/>
          <w:b/>
          <w:bCs/>
          <w:sz w:val="20"/>
          <w:szCs w:val="20"/>
          <w:lang w:eastAsia="en-US"/>
        </w:rPr>
        <w:t xml:space="preserve"> </w:t>
      </w:r>
      <w:r w:rsidR="00C64B3C" w:rsidRPr="00C64B3C">
        <w:rPr>
          <w:rFonts w:ascii="Calibri" w:eastAsia="Calibri" w:hAnsi="Calibri"/>
          <w:b/>
          <w:bCs/>
          <w:sz w:val="20"/>
          <w:szCs w:val="20"/>
          <w:lang w:eastAsia="en-US"/>
        </w:rPr>
        <w:t>6.</w:t>
      </w:r>
      <w:r w:rsidRPr="00680FEE">
        <w:rPr>
          <w:rFonts w:ascii="Calibri" w:eastAsia="Calibri" w:hAnsi="Calibri"/>
          <w:b/>
          <w:bCs/>
          <w:sz w:val="20"/>
          <w:szCs w:val="20"/>
          <w:lang w:eastAsia="en-US"/>
        </w:rPr>
        <w:t>1:</w:t>
      </w:r>
      <w:r>
        <w:rPr>
          <w:rFonts w:ascii="Calibri" w:eastAsia="Calibri" w:hAnsi="Calibri"/>
          <w:b/>
          <w:bCs/>
          <w:sz w:val="20"/>
          <w:szCs w:val="20"/>
          <w:lang w:eastAsia="en-US"/>
        </w:rPr>
        <w:t xml:space="preserve"> </w:t>
      </w:r>
      <w:r w:rsidR="00C64B3C" w:rsidRPr="00C64B3C">
        <w:rPr>
          <w:rFonts w:ascii="Calibri" w:eastAsia="Calibri" w:hAnsi="Calibri"/>
          <w:bCs/>
          <w:sz w:val="20"/>
          <w:szCs w:val="20"/>
          <w:lang w:eastAsia="en-US"/>
        </w:rPr>
        <w:t>Οι τρείς</w:t>
      </w:r>
      <w:r w:rsidRPr="00C64B3C">
        <w:rPr>
          <w:rFonts w:ascii="Calibri" w:eastAsia="Calibri" w:hAnsi="Calibri"/>
          <w:bCs/>
          <w:sz w:val="20"/>
          <w:szCs w:val="20"/>
          <w:lang w:eastAsia="en-US"/>
        </w:rPr>
        <w:t xml:space="preserve"> πυλώνες της Βασιλείας ΙΙ</w:t>
      </w:r>
    </w:p>
    <w:p w:rsidR="00680FEE" w:rsidRPr="00680FEE" w:rsidRDefault="00680FEE" w:rsidP="00C64B3C">
      <w:pPr>
        <w:keepNext/>
        <w:autoSpaceDE w:val="0"/>
        <w:autoSpaceDN w:val="0"/>
        <w:adjustRightInd w:val="0"/>
        <w:jc w:val="center"/>
        <w:rPr>
          <w:rFonts w:asciiTheme="minorHAnsi" w:eastAsiaTheme="minorHAnsi" w:hAnsiTheme="minorHAnsi" w:cstheme="minorBidi"/>
          <w:sz w:val="22"/>
          <w:szCs w:val="22"/>
          <w:lang w:eastAsia="en-US"/>
        </w:rPr>
      </w:pPr>
      <w:r w:rsidRPr="00680FEE">
        <w:rPr>
          <w:rFonts w:eastAsiaTheme="minorHAnsi" w:cstheme="minorBidi"/>
          <w:noProof/>
        </w:rPr>
        <w:drawing>
          <wp:inline distT="0" distB="0" distL="0" distR="0">
            <wp:extent cx="3348355" cy="2228215"/>
            <wp:effectExtent l="19050" t="19050" r="23495" b="19685"/>
            <wp:docPr id="78873" name="Εικόνα 78873" descr="threepillars_tcm16-15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pillars_tcm16-15424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8355" cy="2228215"/>
                    </a:xfrm>
                    <a:prstGeom prst="rect">
                      <a:avLst/>
                    </a:prstGeom>
                    <a:noFill/>
                    <a:ln>
                      <a:solidFill>
                        <a:schemeClr val="tx1"/>
                      </a:solidFill>
                    </a:ln>
                  </pic:spPr>
                </pic:pic>
              </a:graphicData>
            </a:graphic>
          </wp:inline>
        </w:drawing>
      </w:r>
    </w:p>
    <w:p w:rsidR="00680FEE" w:rsidRPr="00680FEE" w:rsidRDefault="00EC743B" w:rsidP="00C64B3C">
      <w:pPr>
        <w:ind w:firstLine="720"/>
        <w:rPr>
          <w:rFonts w:eastAsia="Calibri"/>
          <w:b/>
          <w:bCs/>
        </w:rPr>
      </w:pPr>
      <w:r>
        <w:rPr>
          <w:rFonts w:ascii="Calibri" w:eastAsia="Calibri" w:hAnsi="Calibri"/>
          <w:b/>
          <w:bCs/>
          <w:sz w:val="20"/>
          <w:szCs w:val="20"/>
          <w:lang w:eastAsia="en-US"/>
        </w:rPr>
        <w:t xml:space="preserve">                 </w:t>
      </w:r>
      <w:r w:rsidR="00680FEE" w:rsidRPr="00680FEE">
        <w:rPr>
          <w:rFonts w:ascii="Calibri" w:eastAsia="Calibri" w:hAnsi="Calibri"/>
          <w:b/>
          <w:bCs/>
          <w:sz w:val="20"/>
          <w:szCs w:val="20"/>
          <w:lang w:eastAsia="en-US"/>
        </w:rPr>
        <w:t>Πηγή:</w:t>
      </w:r>
      <w:r>
        <w:rPr>
          <w:rFonts w:ascii="Calibri" w:eastAsia="Calibri" w:hAnsi="Calibri"/>
          <w:b/>
          <w:bCs/>
          <w:sz w:val="20"/>
          <w:szCs w:val="20"/>
          <w:lang w:eastAsia="en-US"/>
        </w:rPr>
        <w:t xml:space="preserve"> </w:t>
      </w:r>
      <w:r w:rsidR="00680FEE" w:rsidRPr="00C64B3C">
        <w:rPr>
          <w:rFonts w:ascii="Calibri" w:eastAsia="Calibri" w:hAnsi="Calibri"/>
          <w:bCs/>
          <w:sz w:val="20"/>
          <w:szCs w:val="20"/>
          <w:lang w:eastAsia="en-US"/>
        </w:rPr>
        <w:t>http://www.oenb.at</w:t>
      </w:r>
    </w:p>
    <w:p w:rsidR="00C64B3C" w:rsidRPr="00C64B3C" w:rsidRDefault="00C64B3C" w:rsidP="00022B4A">
      <w:pPr>
        <w:autoSpaceDE w:val="0"/>
        <w:autoSpaceDN w:val="0"/>
        <w:adjustRightInd w:val="0"/>
        <w:spacing w:line="360" w:lineRule="auto"/>
        <w:jc w:val="both"/>
        <w:rPr>
          <w:iCs/>
          <w:color w:val="000000"/>
        </w:rPr>
      </w:pPr>
    </w:p>
    <w:p w:rsidR="00C64B3C" w:rsidRDefault="006572C3" w:rsidP="00C64B3C">
      <w:pPr>
        <w:autoSpaceDE w:val="0"/>
        <w:autoSpaceDN w:val="0"/>
        <w:adjustRightInd w:val="0"/>
        <w:spacing w:line="360" w:lineRule="auto"/>
        <w:ind w:firstLine="720"/>
        <w:jc w:val="both"/>
        <w:rPr>
          <w:iCs/>
          <w:color w:val="000000"/>
        </w:rPr>
      </w:pPr>
      <w:r>
        <w:rPr>
          <w:iCs/>
          <w:color w:val="000000"/>
        </w:rPr>
        <w:t xml:space="preserve">Ειδικότερα, </w:t>
      </w:r>
      <w:r w:rsidR="00680FEE">
        <w:rPr>
          <w:iCs/>
          <w:color w:val="000000"/>
        </w:rPr>
        <w:t>τ</w:t>
      </w:r>
      <w:r w:rsidR="00022B4A" w:rsidRPr="00424569">
        <w:rPr>
          <w:iCs/>
          <w:color w:val="000000"/>
        </w:rPr>
        <w:t xml:space="preserve">ον Ιούνιο του 1999, η Επιτροπή εξέδωσε μια πρόταση για ένα νέο κύριο πλαίσιο επάρκειας ώστε να αντικαταστήσει τη συμφωνία του 1988. Αυτό οδήγησε στην απελευθέρωση του αναθεωρημένου πλαισίου τον Ιούνιο του 2004, ευρύτερα γνωστό ως «Βασιλεία ΙΙ». Το αναθεωρημένο </w:t>
      </w:r>
      <w:r w:rsidR="00C64B3C">
        <w:rPr>
          <w:iCs/>
          <w:color w:val="000000"/>
        </w:rPr>
        <w:t xml:space="preserve">αυτό </w:t>
      </w:r>
      <w:r w:rsidR="00022B4A" w:rsidRPr="00424569">
        <w:rPr>
          <w:iCs/>
          <w:color w:val="000000"/>
        </w:rPr>
        <w:t>πλαί</w:t>
      </w:r>
      <w:r w:rsidR="00C64B3C">
        <w:rPr>
          <w:iCs/>
          <w:color w:val="000000"/>
        </w:rPr>
        <w:t>σιο περιελάμβανε τρεις πυλώνες.</w:t>
      </w:r>
    </w:p>
    <w:p w:rsidR="00022B4A" w:rsidRPr="00424569" w:rsidRDefault="00A1032A" w:rsidP="00C64B3C">
      <w:pPr>
        <w:autoSpaceDE w:val="0"/>
        <w:autoSpaceDN w:val="0"/>
        <w:adjustRightInd w:val="0"/>
        <w:spacing w:line="360" w:lineRule="auto"/>
        <w:ind w:firstLine="720"/>
        <w:jc w:val="both"/>
        <w:rPr>
          <w:iCs/>
        </w:rPr>
      </w:pPr>
      <w:r w:rsidRPr="00424569">
        <w:rPr>
          <w:iCs/>
        </w:rPr>
        <w:t>Ο πρώτος αφορά τις ε</w:t>
      </w:r>
      <w:r w:rsidR="00022B4A" w:rsidRPr="00424569">
        <w:rPr>
          <w:iCs/>
        </w:rPr>
        <w:t xml:space="preserve">λάχιστες κύριες προδιαγραφές, που θα αναπτύξουν και θα επεκτείνουν τους τυποποιημένους κανόνες που καθορίστηκαν στη συμφωνία του 1988. Πιο συγκεκριμένα </w:t>
      </w:r>
      <w:r w:rsidRPr="00424569">
        <w:rPr>
          <w:iCs/>
        </w:rPr>
        <w:t>ο</w:t>
      </w:r>
      <w:r w:rsidR="00022B4A" w:rsidRPr="00424569">
        <w:rPr>
          <w:iCs/>
        </w:rPr>
        <w:t xml:space="preserve"> δείκτης κεφαλαιακής επάρκειας λαμβάνει υπόψη του</w:t>
      </w:r>
      <w:r w:rsidR="00EC743B">
        <w:rPr>
          <w:iCs/>
        </w:rPr>
        <w:t xml:space="preserve"> τον</w:t>
      </w:r>
      <w:r w:rsidR="00022B4A" w:rsidRPr="00424569">
        <w:rPr>
          <w:iCs/>
        </w:rPr>
        <w:t xml:space="preserve"> κίνδυνο αγοράς και</w:t>
      </w:r>
      <w:r w:rsidR="00EC743B">
        <w:rPr>
          <w:iCs/>
        </w:rPr>
        <w:t xml:space="preserve"> τον</w:t>
      </w:r>
      <w:r w:rsidR="00022B4A" w:rsidRPr="00424569">
        <w:rPr>
          <w:iCs/>
        </w:rPr>
        <w:t xml:space="preserve"> λ</w:t>
      </w:r>
      <w:r w:rsidR="00EC743B">
        <w:rPr>
          <w:iCs/>
        </w:rPr>
        <w:t>ειτουργικό κίνδυνο και γίνεται ως:</w:t>
      </w:r>
      <w:r w:rsidR="00022B4A" w:rsidRPr="00424569">
        <w:rPr>
          <w:iCs/>
        </w:rPr>
        <w:t xml:space="preserve">          </w:t>
      </w:r>
    </w:p>
    <w:p w:rsidR="00EC743B" w:rsidRPr="00EC743B" w:rsidRDefault="00022B4A" w:rsidP="003A274A">
      <w:pPr>
        <w:autoSpaceDE w:val="0"/>
        <w:autoSpaceDN w:val="0"/>
        <w:adjustRightInd w:val="0"/>
        <w:spacing w:before="240" w:after="240" w:line="360" w:lineRule="auto"/>
        <w:jc w:val="center"/>
        <w:rPr>
          <w:iCs/>
          <w:sz w:val="22"/>
          <w:szCs w:val="22"/>
        </w:rPr>
      </w:pPr>
      <w:r w:rsidRPr="00EC743B">
        <w:rPr>
          <w:iCs/>
          <w:sz w:val="22"/>
          <w:szCs w:val="22"/>
        </w:rPr>
        <w:t>Εποπτικά Κεφάλαια</w:t>
      </w:r>
      <w:r w:rsidR="00EC743B">
        <w:rPr>
          <w:iCs/>
          <w:sz w:val="22"/>
          <w:szCs w:val="22"/>
        </w:rPr>
        <w:t xml:space="preserve"> </w:t>
      </w:r>
      <w:r w:rsidR="00EC743B" w:rsidRPr="00EC743B">
        <w:rPr>
          <w:iCs/>
          <w:sz w:val="22"/>
          <w:szCs w:val="22"/>
        </w:rPr>
        <w:t xml:space="preserve"> /</w:t>
      </w:r>
      <w:r w:rsidR="00EC743B">
        <w:rPr>
          <w:iCs/>
          <w:sz w:val="22"/>
          <w:szCs w:val="22"/>
        </w:rPr>
        <w:t xml:space="preserve"> </w:t>
      </w:r>
      <w:r w:rsidR="00EC743B" w:rsidRPr="00EC743B">
        <w:rPr>
          <w:iCs/>
          <w:sz w:val="22"/>
          <w:szCs w:val="22"/>
        </w:rPr>
        <w:t>(Πιστωτικός κίνδυνος +Κίνδυνος Αγοράς + Λειτουργικός Κίνδυνος)</w:t>
      </w:r>
    </w:p>
    <w:p w:rsidR="00C64B3C" w:rsidRDefault="00C64B3C" w:rsidP="00C64B3C">
      <w:pPr>
        <w:autoSpaceDE w:val="0"/>
        <w:autoSpaceDN w:val="0"/>
        <w:adjustRightInd w:val="0"/>
        <w:spacing w:line="360" w:lineRule="auto"/>
        <w:ind w:firstLine="720"/>
        <w:jc w:val="both"/>
        <w:rPr>
          <w:iCs/>
        </w:rPr>
      </w:pPr>
      <w:r>
        <w:rPr>
          <w:iCs/>
        </w:rPr>
        <w:t>Η ε</w:t>
      </w:r>
      <w:r w:rsidR="00022B4A" w:rsidRPr="00424569">
        <w:rPr>
          <w:iCs/>
        </w:rPr>
        <w:t>ποπτική αναθεώρηση της κεφαλαιακής επάρκειας ενός τραπεζικού ιδρύματος και της εσωτερικής διαδικασίας αξιολόγησης</w:t>
      </w:r>
      <w:r w:rsidR="000B30C2">
        <w:rPr>
          <w:iCs/>
        </w:rPr>
        <w:t xml:space="preserve"> αποτελούν τον δεύτερο πυλώνα</w:t>
      </w:r>
      <w:r w:rsidR="00022B4A" w:rsidRPr="00424569">
        <w:rPr>
          <w:iCs/>
        </w:rPr>
        <w:t xml:space="preserve">. </w:t>
      </w:r>
      <w:r w:rsidR="00EC743B">
        <w:rPr>
          <w:iCs/>
        </w:rPr>
        <w:t>Καθιερώνονται διαδικασίες</w:t>
      </w:r>
      <w:r w:rsidR="00022B4A" w:rsidRPr="00424569">
        <w:rPr>
          <w:iCs/>
        </w:rPr>
        <w:t xml:space="preserve"> για τον διαρκή έλεγχο της επάρκειας των ιδίων κεφαλαίων των τρ</w:t>
      </w:r>
      <w:r w:rsidR="00EC743B">
        <w:rPr>
          <w:iCs/>
        </w:rPr>
        <w:t>απεζών από τις εποπτικές αρχές. Η εδραίωση</w:t>
      </w:r>
      <w:r w:rsidR="00022B4A" w:rsidRPr="00424569">
        <w:rPr>
          <w:iCs/>
        </w:rPr>
        <w:t xml:space="preserve"> εσωτερικών μηχανισμών ελέγχου που θα παρακολουθούν και θα αξιολογούν την κεφαλαιακή επάρκεια της τ</w:t>
      </w:r>
      <w:r w:rsidR="00EC743B">
        <w:rPr>
          <w:iCs/>
        </w:rPr>
        <w:t xml:space="preserve">ράπεζας και την εγκυρότητα των </w:t>
      </w:r>
      <w:r w:rsidR="00022B4A" w:rsidRPr="00424569">
        <w:rPr>
          <w:iCs/>
        </w:rPr>
        <w:t>μεθόδων υπολογισμού</w:t>
      </w:r>
      <w:r w:rsidR="00EC743B" w:rsidRPr="00EC743B">
        <w:rPr>
          <w:iCs/>
        </w:rPr>
        <w:t xml:space="preserve"> </w:t>
      </w:r>
      <w:r w:rsidR="00EC743B">
        <w:rPr>
          <w:iCs/>
        </w:rPr>
        <w:t xml:space="preserve">ήταν μια </w:t>
      </w:r>
      <w:r w:rsidR="00EC743B" w:rsidRPr="00424569">
        <w:rPr>
          <w:iCs/>
        </w:rPr>
        <w:t>αναγκαιότητα</w:t>
      </w:r>
      <w:r w:rsidR="00022B4A" w:rsidRPr="00424569">
        <w:rPr>
          <w:iCs/>
        </w:rPr>
        <w:t>.</w:t>
      </w:r>
    </w:p>
    <w:p w:rsidR="00C64B3C" w:rsidRDefault="00A1032A" w:rsidP="00C64B3C">
      <w:pPr>
        <w:autoSpaceDE w:val="0"/>
        <w:autoSpaceDN w:val="0"/>
        <w:adjustRightInd w:val="0"/>
        <w:spacing w:line="360" w:lineRule="auto"/>
        <w:ind w:firstLine="720"/>
        <w:jc w:val="both"/>
        <w:rPr>
          <w:iCs/>
        </w:rPr>
      </w:pPr>
      <w:r w:rsidRPr="00424569">
        <w:rPr>
          <w:iCs/>
        </w:rPr>
        <w:lastRenderedPageBreak/>
        <w:t xml:space="preserve">Ο τρίτος πυλώνας, αφορά την </w:t>
      </w:r>
      <w:r w:rsidR="00022B4A" w:rsidRPr="00424569">
        <w:rPr>
          <w:iCs/>
        </w:rPr>
        <w:t xml:space="preserve">αποτελεσματική χρήση της γνωστοποίησης αποτελεσμάτων </w:t>
      </w:r>
      <w:r w:rsidRPr="00424569">
        <w:rPr>
          <w:iCs/>
        </w:rPr>
        <w:t>μέσω κανόνων δημοσίευσης αναλυτικότερων οικονομικών στοιχείων και κανόνων</w:t>
      </w:r>
      <w:r w:rsidR="00EC743B">
        <w:rPr>
          <w:iCs/>
        </w:rPr>
        <w:t xml:space="preserve">. Αυτοί αφορούν </w:t>
      </w:r>
      <w:r w:rsidRPr="00424569">
        <w:rPr>
          <w:iCs/>
        </w:rPr>
        <w:t xml:space="preserve">τις δομές εταιρικής διακυβέρνησης και διοικητικού ελέγχου </w:t>
      </w:r>
      <w:r w:rsidR="00022B4A" w:rsidRPr="00424569">
        <w:rPr>
          <w:iCs/>
        </w:rPr>
        <w:t>ως μοχλό για να ενισχύσει την πειθαρχία αγοράς και να ενθαρρύνει τις υγιείς τραπεζικές πρακτικές</w:t>
      </w:r>
      <w:r w:rsidRPr="00424569">
        <w:rPr>
          <w:rStyle w:val="ac"/>
          <w:iCs/>
        </w:rPr>
        <w:footnoteReference w:id="3"/>
      </w:r>
      <w:r w:rsidR="00022B4A" w:rsidRPr="00424569">
        <w:rPr>
          <w:iCs/>
        </w:rPr>
        <w:t>.</w:t>
      </w:r>
    </w:p>
    <w:p w:rsidR="00C64B3C" w:rsidRDefault="00022B4A" w:rsidP="00C64B3C">
      <w:pPr>
        <w:autoSpaceDE w:val="0"/>
        <w:autoSpaceDN w:val="0"/>
        <w:adjustRightInd w:val="0"/>
        <w:spacing w:line="360" w:lineRule="auto"/>
        <w:ind w:firstLine="720"/>
        <w:jc w:val="both"/>
        <w:rPr>
          <w:iCs/>
        </w:rPr>
      </w:pPr>
      <w:r w:rsidRPr="00424569">
        <w:rPr>
          <w:iCs/>
        </w:rPr>
        <w:t>Το νέο πλαίσιο σχεδιάστηκε για να βελτιώσει τον τρόπο που οι ρυθμιστικές  κεφαλαιακές απαιτήσεις απεικονίζουν τους κινδύνους</w:t>
      </w:r>
      <w:r w:rsidR="00C64B3C">
        <w:rPr>
          <w:iCs/>
        </w:rPr>
        <w:t xml:space="preserve"> που ελλοχεύουν</w:t>
      </w:r>
      <w:r w:rsidRPr="00424569">
        <w:rPr>
          <w:iCs/>
        </w:rPr>
        <w:t xml:space="preserve"> και για να εξετάσουν καλύτερα την τραπεζική καινοτομία</w:t>
      </w:r>
      <w:r w:rsidR="00C64B3C">
        <w:rPr>
          <w:rStyle w:val="ac"/>
          <w:iCs/>
        </w:rPr>
        <w:footnoteReference w:id="4"/>
      </w:r>
      <w:r w:rsidRPr="00424569">
        <w:rPr>
          <w:iCs/>
        </w:rPr>
        <w:t xml:space="preserve"> που είχε εμφανιστεί τα τελευταία χρόνια. </w:t>
      </w:r>
    </w:p>
    <w:p w:rsidR="00C64B3C" w:rsidRPr="00C64B3C" w:rsidRDefault="006572C3" w:rsidP="00C64B3C">
      <w:pPr>
        <w:autoSpaceDE w:val="0"/>
        <w:autoSpaceDN w:val="0"/>
        <w:adjustRightInd w:val="0"/>
        <w:spacing w:line="360" w:lineRule="auto"/>
        <w:ind w:firstLine="720"/>
        <w:jc w:val="both"/>
      </w:pPr>
      <w:r w:rsidRPr="00A17ECB">
        <w:t xml:space="preserve">Οι τρεις αυτοί πυλώνες είναι αμοιβαίως αλληλοενισχυόμενοι. Αναλυτικότερα, </w:t>
      </w:r>
      <w:r>
        <w:t xml:space="preserve">η </w:t>
      </w:r>
      <w:r w:rsidRPr="00A17ECB">
        <w:t xml:space="preserve">αποτελεσματικότητα των κανόνων του πρώτου πυλώνα εξαρτάται από την ικανότητα των εποπτικών αρχών </w:t>
      </w:r>
      <w:r>
        <w:t>να ελέγχουν την ορθή εφαρμογή τους μέσω των εξουσιών του 2</w:t>
      </w:r>
      <w:r w:rsidRPr="00A17ECB">
        <w:rPr>
          <w:vertAlign w:val="superscript"/>
        </w:rPr>
        <w:t>ου</w:t>
      </w:r>
      <w:r>
        <w:t xml:space="preserve"> πυλώνα. Επίσης οι υποχρεώσεις δημοσιοποίησης στοιχείων του 3</w:t>
      </w:r>
      <w:r w:rsidRPr="00A17ECB">
        <w:rPr>
          <w:vertAlign w:val="superscript"/>
        </w:rPr>
        <w:t>ου</w:t>
      </w:r>
      <w:r>
        <w:t xml:space="preserve"> πυλώνα διαμορφώνουν τα κατάλληλα κίνητρα για τη βελτίωση των διαδικασιών διαχείρισης κινδύνων που αναπτύσσουν οι τράπεζες.</w:t>
      </w:r>
    </w:p>
    <w:p w:rsidR="006572C3" w:rsidRDefault="00A1032A" w:rsidP="00C64B3C">
      <w:pPr>
        <w:autoSpaceDE w:val="0"/>
        <w:autoSpaceDN w:val="0"/>
        <w:adjustRightInd w:val="0"/>
        <w:spacing w:line="360" w:lineRule="auto"/>
        <w:ind w:firstLine="720"/>
        <w:jc w:val="both"/>
      </w:pPr>
      <w:r>
        <w:t>Όμως η</w:t>
      </w:r>
      <w:r w:rsidR="006572C3">
        <w:t xml:space="preserve"> χρηματοπιστωτική κρίση</w:t>
      </w:r>
      <w:r>
        <w:t xml:space="preserve"> 2007-2009</w:t>
      </w:r>
      <w:r w:rsidR="006572C3">
        <w:t>, στην οποία ο τραπεζικός τομέας είχε εισέλθει με ανεπαρκή αποθέματα ρευστότητας, σε συνδυασμό με κακή διακυβέρνηση στη διαχείριση κινδύνων</w:t>
      </w:r>
      <w:r>
        <w:t xml:space="preserve"> έκ</w:t>
      </w:r>
      <w:r w:rsidR="00EC743B">
        <w:t>αναν αναγκαία την βελτίωση της Β</w:t>
      </w:r>
      <w:r>
        <w:t>ασιλείας ΙΙ μέσα από ένα νέο σύμφωνο</w:t>
      </w:r>
      <w:r w:rsidR="006572C3">
        <w:t xml:space="preserve">. </w:t>
      </w:r>
    </w:p>
    <w:p w:rsidR="006572C3" w:rsidRDefault="006572C3" w:rsidP="006572C3"/>
    <w:p w:rsidR="006572C3" w:rsidRPr="006572C3" w:rsidRDefault="006572C3" w:rsidP="006572C3"/>
    <w:p w:rsidR="004F12E8" w:rsidRPr="006572C3" w:rsidRDefault="007533D5" w:rsidP="004F12E8">
      <w:pPr>
        <w:pStyle w:val="2"/>
        <w:spacing w:before="0" w:after="0" w:line="360" w:lineRule="auto"/>
        <w:jc w:val="both"/>
        <w:rPr>
          <w:rFonts w:ascii="Times New Roman" w:hAnsi="Times New Roman" w:cs="Times New Roman"/>
          <w:i w:val="0"/>
          <w:sz w:val="24"/>
          <w:szCs w:val="24"/>
        </w:rPr>
      </w:pPr>
      <w:bookmarkStart w:id="13" w:name="_Toc396034957"/>
      <w:r>
        <w:rPr>
          <w:rFonts w:ascii="Times New Roman" w:hAnsi="Times New Roman" w:cs="Times New Roman"/>
          <w:i w:val="0"/>
          <w:sz w:val="24"/>
          <w:szCs w:val="24"/>
        </w:rPr>
        <w:t>6.4</w:t>
      </w:r>
      <w:r w:rsidR="004F12E8">
        <w:rPr>
          <w:rFonts w:ascii="Times New Roman" w:hAnsi="Times New Roman" w:cs="Times New Roman"/>
          <w:i w:val="0"/>
          <w:sz w:val="24"/>
          <w:szCs w:val="24"/>
        </w:rPr>
        <w:t>.3</w:t>
      </w:r>
      <w:r w:rsidR="004F12E8" w:rsidRPr="00580915">
        <w:rPr>
          <w:rFonts w:ascii="Times New Roman" w:hAnsi="Times New Roman" w:cs="Times New Roman"/>
          <w:i w:val="0"/>
          <w:sz w:val="24"/>
          <w:szCs w:val="24"/>
        </w:rPr>
        <w:t xml:space="preserve"> </w:t>
      </w:r>
      <w:r w:rsidR="004F12E8" w:rsidRPr="004F12E8">
        <w:rPr>
          <w:rFonts w:ascii="Times New Roman" w:hAnsi="Times New Roman" w:cs="Times New Roman"/>
          <w:i w:val="0"/>
          <w:sz w:val="24"/>
          <w:szCs w:val="24"/>
        </w:rPr>
        <w:t>Το σύμφωνο για την τραπεζική εποπτεία Βασιλεία Ι</w:t>
      </w:r>
      <w:r w:rsidR="004F12E8">
        <w:rPr>
          <w:rFonts w:ascii="Times New Roman" w:hAnsi="Times New Roman" w:cs="Times New Roman"/>
          <w:i w:val="0"/>
          <w:sz w:val="24"/>
          <w:szCs w:val="24"/>
        </w:rPr>
        <w:t>Ι</w:t>
      </w:r>
      <w:r w:rsidR="004F12E8" w:rsidRPr="004F12E8">
        <w:rPr>
          <w:rFonts w:ascii="Times New Roman" w:hAnsi="Times New Roman" w:cs="Times New Roman"/>
          <w:i w:val="0"/>
          <w:sz w:val="24"/>
          <w:szCs w:val="24"/>
        </w:rPr>
        <w:t>Ι</w:t>
      </w:r>
      <w:bookmarkEnd w:id="13"/>
    </w:p>
    <w:p w:rsidR="00BA6E10" w:rsidRDefault="00BA6E10" w:rsidP="00BA6E10">
      <w:pPr>
        <w:spacing w:line="360" w:lineRule="auto"/>
        <w:ind w:firstLine="540"/>
        <w:jc w:val="both"/>
      </w:pPr>
      <w:r>
        <w:t>Δύο σημαντικά θέματα ανέκυψαν από την πρόσφατη χρηματοπιστωτική κρίση το ένα της υπερβολικής μόχλευσης και το άλλο της έλλειψης ρευστότητας. Έτσι η Ε</w:t>
      </w:r>
      <w:r w:rsidRPr="00C51572">
        <w:t xml:space="preserve">πιτροπή </w:t>
      </w:r>
      <w:r>
        <w:t xml:space="preserve">της </w:t>
      </w:r>
      <w:r w:rsidRPr="00C51572">
        <w:t xml:space="preserve">Βασιλείας </w:t>
      </w:r>
      <w:r>
        <w:t xml:space="preserve"> εξέδωσε στις 16/12/</w:t>
      </w:r>
      <w:r w:rsidR="00C51572" w:rsidRPr="00C51572">
        <w:t>2010, δύο εκθέσεις που συνθέτουν το διεθνές κανονιστικό πλαίσιο που είναι γνωστό ως Βασιλεία ΙΙΙ</w:t>
      </w:r>
      <w:r w:rsidR="00C51572">
        <w:rPr>
          <w:rStyle w:val="ac"/>
        </w:rPr>
        <w:footnoteReference w:id="5"/>
      </w:r>
      <w:r w:rsidR="00C64B3C">
        <w:t xml:space="preserve"> που</w:t>
      </w:r>
      <w:r>
        <w:t xml:space="preserve"> σκοπό έχει να </w:t>
      </w:r>
      <w:r w:rsidR="006C2053">
        <w:t xml:space="preserve">καλύψει </w:t>
      </w:r>
      <w:r>
        <w:t xml:space="preserve">αυτές τις δυο </w:t>
      </w:r>
      <w:r w:rsidR="006C2053">
        <w:t>αδυναμίες του συστήματος που αναδείχτηκαν ιδιαίτερα στην περίοδο της κρίσης</w:t>
      </w:r>
      <w:r>
        <w:t xml:space="preserve">. Αυτό το νέο διεθνές </w:t>
      </w:r>
      <w:r w:rsidR="00C51572" w:rsidRPr="00C51572">
        <w:t xml:space="preserve">κανονιστικό πλαίσιο για τις τράπεζες, </w:t>
      </w:r>
      <w:r>
        <w:t xml:space="preserve">έρχεται να </w:t>
      </w:r>
      <w:r w:rsidR="00C51572" w:rsidRPr="00C51572">
        <w:t>α</w:t>
      </w:r>
      <w:r w:rsidR="00C51572">
        <w:t>ναθεωρ</w:t>
      </w:r>
      <w:r>
        <w:t>ήσει και να ενισχύσει τ</w:t>
      </w:r>
      <w:r w:rsidR="00C51572" w:rsidRPr="00C51572">
        <w:t xml:space="preserve">ους τρείς πυλώνες </w:t>
      </w:r>
      <w:r w:rsidR="006C2053">
        <w:t>της</w:t>
      </w:r>
      <w:r w:rsidR="00C51572" w:rsidRPr="00C51572">
        <w:t xml:space="preserve"> Βασιλεία</w:t>
      </w:r>
      <w:r w:rsidR="006C2053">
        <w:t>ς</w:t>
      </w:r>
      <w:r w:rsidR="00C51572" w:rsidRPr="00C51572">
        <w:t xml:space="preserve"> ΙΙ. </w:t>
      </w:r>
    </w:p>
    <w:p w:rsidR="006C2053" w:rsidRDefault="00C64B3C" w:rsidP="00BA6E10">
      <w:pPr>
        <w:spacing w:line="360" w:lineRule="auto"/>
        <w:ind w:firstLine="540"/>
        <w:jc w:val="both"/>
      </w:pPr>
      <w:r>
        <w:lastRenderedPageBreak/>
        <w:t>Οι</w:t>
      </w:r>
      <w:r w:rsidR="00BA6E10">
        <w:t xml:space="preserve"> βασικοί στόχοι αυτού </w:t>
      </w:r>
      <w:r>
        <w:t>του νέου συμφώνου μπορούν να συνοψιστούν σε δύο. Πρώτον,</w:t>
      </w:r>
      <w:r w:rsidR="00C51572" w:rsidRPr="00C51572">
        <w:t xml:space="preserve"> η ενίσχυση της </w:t>
      </w:r>
      <w:r w:rsidR="00C51572" w:rsidRPr="006C2053">
        <w:rPr>
          <w:b/>
        </w:rPr>
        <w:t>μικρο-προληπτικής ρυθμιστικής παρέμβασης</w:t>
      </w:r>
      <w:r w:rsidR="00C51572" w:rsidRPr="00C51572">
        <w:t xml:space="preserve"> στη λειτουργία των τραπεζών και </w:t>
      </w:r>
      <w:r>
        <w:t>δεύτερον,</w:t>
      </w:r>
      <w:r w:rsidR="00BA6E10">
        <w:t xml:space="preserve"> </w:t>
      </w:r>
      <w:r w:rsidR="00C51572" w:rsidRPr="00C51572">
        <w:t>η αντιμετώπιση μ</w:t>
      </w:r>
      <w:r w:rsidR="00C51572">
        <w:t xml:space="preserve">έσω </w:t>
      </w:r>
      <w:r w:rsidR="00C51572" w:rsidRPr="006C2053">
        <w:rPr>
          <w:b/>
        </w:rPr>
        <w:t>μακρο-προληπτικών πολιτικών</w:t>
      </w:r>
      <w:r w:rsidR="00C51572" w:rsidRPr="00C51572">
        <w:t xml:space="preserve"> του συστημικού κινδύνου που μπορεί να εκδηλωθεί στο χρηματοπιστωτικό σύστημα. </w:t>
      </w:r>
      <w:r w:rsidR="00C51572">
        <w:t>Η</w:t>
      </w:r>
      <w:r w:rsidR="00C51572" w:rsidRPr="00C51572">
        <w:t xml:space="preserve"> ενδυνάμωση της σταθερότητας του τραπ</w:t>
      </w:r>
      <w:r w:rsidR="00C51572">
        <w:t xml:space="preserve">εζικού συστήματος διεθνώς </w:t>
      </w:r>
      <w:r w:rsidR="00BA6E10">
        <w:t>μπορεί να επιτευχθεί</w:t>
      </w:r>
      <w:r w:rsidR="00C51572">
        <w:t xml:space="preserve"> μέσα απ</w:t>
      </w:r>
      <w:r w:rsidR="006C2053">
        <w:t>ό:</w:t>
      </w:r>
    </w:p>
    <w:p w:rsidR="006C2053" w:rsidRDefault="006C2053" w:rsidP="002520FD">
      <w:pPr>
        <w:pStyle w:val="ae"/>
        <w:numPr>
          <w:ilvl w:val="0"/>
          <w:numId w:val="4"/>
        </w:numPr>
        <w:spacing w:line="360" w:lineRule="auto"/>
        <w:jc w:val="both"/>
      </w:pPr>
      <w:r>
        <w:t>Τ</w:t>
      </w:r>
      <w:r w:rsidR="00C51572">
        <w:t>ην αύξηση της συνέπειας</w:t>
      </w:r>
      <w:r w:rsidR="00C51572" w:rsidRPr="00C51572">
        <w:t>, της διαφάνειας και της ποιότητας της κεφαλαιακής βάσης των χρηματοπιστωτικών ιδρυμάτων.</w:t>
      </w:r>
      <w:r>
        <w:t xml:space="preserve"> </w:t>
      </w:r>
    </w:p>
    <w:p w:rsidR="006C2053" w:rsidRDefault="006C2053" w:rsidP="002520FD">
      <w:pPr>
        <w:pStyle w:val="ae"/>
        <w:numPr>
          <w:ilvl w:val="0"/>
          <w:numId w:val="4"/>
        </w:numPr>
        <w:spacing w:line="360" w:lineRule="auto"/>
        <w:jc w:val="both"/>
      </w:pPr>
      <w:r>
        <w:t xml:space="preserve">Την </w:t>
      </w:r>
      <w:r w:rsidR="00C51572" w:rsidRPr="00C51572">
        <w:t xml:space="preserve">ενίσχυση της κεφαλαιακής επάρκειας </w:t>
      </w:r>
      <w:r w:rsidR="002E1643">
        <w:t xml:space="preserve">όπου </w:t>
      </w:r>
      <w:r w:rsidR="00C51572" w:rsidRPr="00C51572">
        <w:t xml:space="preserve">ο ορισμός του κεφαλαίου να περιλαμβάνει τις κοινές μετοχές και τα αποθεματικά κεφάλαια. </w:t>
      </w:r>
      <w:r w:rsidR="002E1643">
        <w:t>Ο</w:t>
      </w:r>
      <w:r w:rsidR="00C51572" w:rsidRPr="00C51572">
        <w:t xml:space="preserve"> δείκτης κεφαλαιακής επάρκειας Tier </w:t>
      </w:r>
      <w:r w:rsidR="00BA6E10">
        <w:t>Ι</w:t>
      </w:r>
      <w:r w:rsidR="00C51572" w:rsidRPr="00C51572">
        <w:t xml:space="preserve"> αυξάνεται από 4% σε 6% όπως αυξάνεται και η αναλογία των ιδίων κεφαλαίων προς τα σταθμισμένα με κίνδυνο στοιχεία του ενεργητικού από 2% σε 4,5%.</w:t>
      </w:r>
    </w:p>
    <w:p w:rsidR="006C2053" w:rsidRDefault="006C2053" w:rsidP="002520FD">
      <w:pPr>
        <w:pStyle w:val="ae"/>
        <w:numPr>
          <w:ilvl w:val="0"/>
          <w:numId w:val="4"/>
        </w:numPr>
        <w:spacing w:line="360" w:lineRule="auto"/>
        <w:jc w:val="both"/>
      </w:pPr>
      <w:r>
        <w:t xml:space="preserve">Την </w:t>
      </w:r>
      <w:r w:rsidR="00C51572" w:rsidRPr="00C51572">
        <w:t>καθιέρωση ενός δείκτη μόχλευσης της τάξης του 3%  όπου σε κάθε περίπτωση, η αναλογία κεφαλαίων προς το σύνολο του ενεργητικού θα πρέπει να είναι πάνω από το όριο αυτό, ώστε να αποφευχθεί η συσσώρευση υπ</w:t>
      </w:r>
      <w:r>
        <w:t>ερβολικής μόχλευσης στο σύστημα.</w:t>
      </w:r>
    </w:p>
    <w:p w:rsidR="006C2053" w:rsidRDefault="006C2053" w:rsidP="002520FD">
      <w:pPr>
        <w:pStyle w:val="ae"/>
        <w:numPr>
          <w:ilvl w:val="0"/>
          <w:numId w:val="4"/>
        </w:numPr>
        <w:spacing w:line="360" w:lineRule="auto"/>
        <w:jc w:val="both"/>
      </w:pPr>
      <w:r>
        <w:t>Την</w:t>
      </w:r>
      <w:r w:rsidR="00C51572" w:rsidRPr="00C51572">
        <w:t xml:space="preserve"> υιοθέτηση μιας σειράς μέτρων για τη δημιουργία </w:t>
      </w:r>
      <w:r w:rsidR="00C51572" w:rsidRPr="00DD7344">
        <w:rPr>
          <w:b/>
        </w:rPr>
        <w:t>ειδικών σταθεροποι</w:t>
      </w:r>
      <w:r w:rsidR="00DD7344" w:rsidRPr="00DD7344">
        <w:rPr>
          <w:b/>
        </w:rPr>
        <w:t>ητικών κεφαλαιακών αποθεμάτων (buffers</w:t>
      </w:r>
      <w:r w:rsidR="00C51572" w:rsidRPr="00DD7344">
        <w:rPr>
          <w:b/>
        </w:rPr>
        <w:t xml:space="preserve">) </w:t>
      </w:r>
      <w:r w:rsidR="00C51572" w:rsidRPr="00C51572">
        <w:t>σε καλές περιόδους τα οποία θα μπορούν να χρησιμοποιηθούν σε περιόδους κρίσης. Το όριο για το κεφαλαιακό απόθεμα θα πρέπει να είναι πάνω από 2,5% και να αποτελείται από κοινές μετοχές.</w:t>
      </w:r>
    </w:p>
    <w:p w:rsidR="006C2053" w:rsidRPr="002E1643" w:rsidRDefault="006C2053" w:rsidP="002520FD">
      <w:pPr>
        <w:pStyle w:val="ae"/>
        <w:numPr>
          <w:ilvl w:val="0"/>
          <w:numId w:val="4"/>
        </w:numPr>
        <w:spacing w:line="360" w:lineRule="auto"/>
        <w:jc w:val="both"/>
      </w:pPr>
      <w:r>
        <w:t>Τ</w:t>
      </w:r>
      <w:r w:rsidR="00C51572" w:rsidRPr="00C51572">
        <w:t xml:space="preserve">η σύσταση ενός </w:t>
      </w:r>
      <w:r w:rsidR="00C51572" w:rsidRPr="00DD7344">
        <w:rPr>
          <w:b/>
        </w:rPr>
        <w:t>αντικυκλικού πλεονάσματος κεφαλαίου</w:t>
      </w:r>
      <w:r w:rsidR="00C51572" w:rsidRPr="00C51572">
        <w:t xml:space="preserve"> το οποίο θα κυμαίνεται μεταξύ 0% και 2,5% και θα ισχύει μόνο σε περιπτώσεις υπερβολικής πιστωτικής επέκτασης. Ο σκοπός αυτού του κανόνα είναι να διορθωθεί η επίταση των κυκλικών διακυμάνσεων της Βασιλείας ΙΙ, ιδίως σε π</w:t>
      </w:r>
      <w:r>
        <w:t>εριόδους οικονομικής επέκτασης.</w:t>
      </w:r>
      <w:r w:rsidR="00EF0A5A" w:rsidRPr="00EF0A5A">
        <w:t xml:space="preserve"> </w:t>
      </w:r>
      <w:r w:rsidR="002E1643">
        <w:t>Θα</w:t>
      </w:r>
      <w:r w:rsidR="002E1643" w:rsidRPr="002E1643">
        <w:t xml:space="preserve"> </w:t>
      </w:r>
      <w:r w:rsidR="002E1643">
        <w:t>πρέπει</w:t>
      </w:r>
      <w:r w:rsidR="002E1643" w:rsidRPr="002E1643">
        <w:t xml:space="preserve"> </w:t>
      </w:r>
      <w:r w:rsidR="002E1643">
        <w:t>εδώ</w:t>
      </w:r>
      <w:r w:rsidR="002E1643" w:rsidRPr="002E1643">
        <w:t xml:space="preserve"> </w:t>
      </w:r>
      <w:r w:rsidR="002E1643">
        <w:t>να</w:t>
      </w:r>
      <w:r w:rsidR="002E1643" w:rsidRPr="002E1643">
        <w:t xml:space="preserve"> </w:t>
      </w:r>
      <w:r w:rsidR="002E1643">
        <w:t>σημειωθεί</w:t>
      </w:r>
      <w:r w:rsidR="002E1643" w:rsidRPr="002E1643">
        <w:t xml:space="preserve"> </w:t>
      </w:r>
      <w:r w:rsidR="002E1643">
        <w:t>ότι</w:t>
      </w:r>
      <w:r w:rsidR="002E1643" w:rsidRPr="002E1643">
        <w:t xml:space="preserve"> </w:t>
      </w:r>
      <w:r w:rsidR="002E1643">
        <w:t>οι</w:t>
      </w:r>
      <w:r w:rsidR="002E1643" w:rsidRPr="002E1643">
        <w:t xml:space="preserve"> </w:t>
      </w:r>
      <w:r w:rsidR="002E1643">
        <w:t>αρχές</w:t>
      </w:r>
      <w:r w:rsidR="002E1643" w:rsidRPr="002E1643">
        <w:t xml:space="preserve"> </w:t>
      </w:r>
      <w:r w:rsidR="002E1643">
        <w:t>στην</w:t>
      </w:r>
      <w:r w:rsidR="002E1643" w:rsidRPr="002E1643">
        <w:t xml:space="preserve"> </w:t>
      </w:r>
      <w:r w:rsidR="002E1643">
        <w:t>εκάστοτε</w:t>
      </w:r>
      <w:r w:rsidR="002E1643" w:rsidRPr="002E1643">
        <w:t xml:space="preserve"> </w:t>
      </w:r>
      <w:r w:rsidR="002E1643">
        <w:t>χώρα</w:t>
      </w:r>
      <w:r w:rsidR="002E1643" w:rsidRPr="002E1643">
        <w:t xml:space="preserve"> </w:t>
      </w:r>
      <w:r w:rsidR="002E1643">
        <w:t>θα</w:t>
      </w:r>
      <w:r w:rsidR="002E1643" w:rsidRPr="002E1643">
        <w:t xml:space="preserve"> </w:t>
      </w:r>
      <w:r w:rsidR="002E1643">
        <w:t>πρέπει</w:t>
      </w:r>
      <w:r w:rsidR="002E1643" w:rsidRPr="002E1643">
        <w:t xml:space="preserve"> </w:t>
      </w:r>
      <w:r w:rsidR="002E1643">
        <w:t>να</w:t>
      </w:r>
      <w:r w:rsidR="002E1643" w:rsidRPr="002E1643">
        <w:t xml:space="preserve"> </w:t>
      </w:r>
      <w:r w:rsidR="002E1643">
        <w:t>υιοθετήσουν</w:t>
      </w:r>
      <w:r w:rsidR="002E1643" w:rsidRPr="002E1643">
        <w:t xml:space="preserve"> </w:t>
      </w:r>
      <w:r w:rsidR="002E1643">
        <w:t>ένα</w:t>
      </w:r>
      <w:r w:rsidR="002E1643" w:rsidRPr="002E1643">
        <w:t xml:space="preserve"> </w:t>
      </w:r>
      <w:r w:rsidR="002E1643">
        <w:t>τέτοιο</w:t>
      </w:r>
      <w:r w:rsidR="002E1643" w:rsidRPr="002E1643">
        <w:t xml:space="preserve"> </w:t>
      </w:r>
      <w:r w:rsidR="002E1643">
        <w:t>μέτρο</w:t>
      </w:r>
      <w:r w:rsidR="002E1643" w:rsidRPr="002E1643">
        <w:t xml:space="preserve"> </w:t>
      </w:r>
      <w:r w:rsidR="002E1643">
        <w:t>εφόσον</w:t>
      </w:r>
      <w:r w:rsidR="002E1643" w:rsidRPr="002E1643">
        <w:t xml:space="preserve"> </w:t>
      </w:r>
      <w:r w:rsidR="002E1643">
        <w:t xml:space="preserve">βλέπουν μια σημαντική άνοδο των τιμών μέσα από μια πιστωτική επέκταση. </w:t>
      </w:r>
    </w:p>
    <w:p w:rsidR="00C51572" w:rsidRPr="00C51572" w:rsidRDefault="002E1643" w:rsidP="002520FD">
      <w:pPr>
        <w:pStyle w:val="ae"/>
        <w:numPr>
          <w:ilvl w:val="0"/>
          <w:numId w:val="4"/>
        </w:numPr>
        <w:spacing w:line="360" w:lineRule="auto"/>
        <w:jc w:val="both"/>
      </w:pPr>
      <w:r>
        <w:t xml:space="preserve">Την καθιέρωση ενός ελάχιστου </w:t>
      </w:r>
      <w:r w:rsidR="00C51572" w:rsidRPr="00C51572">
        <w:t>απαιτούμενο</w:t>
      </w:r>
      <w:r>
        <w:t>υ</w:t>
      </w:r>
      <w:r w:rsidR="00C51572" w:rsidRPr="00C51572">
        <w:t xml:space="preserve"> επίπεδο</w:t>
      </w:r>
      <w:r>
        <w:t>υ</w:t>
      </w:r>
      <w:r w:rsidR="00C51572" w:rsidRPr="00C51572">
        <w:t xml:space="preserve"> ρευστότητας για τράπεζες που δραστηρ</w:t>
      </w:r>
      <w:r w:rsidR="00EC743B">
        <w:t xml:space="preserve">ιοποιούνται σε διεθνές επίπεδο. </w:t>
      </w:r>
      <w:r w:rsidR="00C51572" w:rsidRPr="00C51572">
        <w:t xml:space="preserve">Σε αυτό περιλαμβάνεται μια απαίτηση για κάλυψη ρευστότητας με χρονικό ορίζοντα </w:t>
      </w:r>
      <w:r w:rsidR="00C51572" w:rsidRPr="00C51572">
        <w:lastRenderedPageBreak/>
        <w:t>30 ημερών υποστηριζόμενη από έναν άλλο δείκτη ρευστότητας με πιο μακροπρόθεσμο ορίζοντα. Επίσης συμπεριλαμβάνεται μια δέσμη μέτρων η οποία βοηθά τις εποπτικές αρχές να παρακολουθούν τις τάσεις της ρευστότητας τόσο σε επίπεδο μεμονωμένης τράπεζας όσο και σε επίπεδο συστήματος.</w:t>
      </w:r>
    </w:p>
    <w:p w:rsidR="00C51572" w:rsidRDefault="00C51572" w:rsidP="00C51572"/>
    <w:tbl>
      <w:tblPr>
        <w:tblStyle w:val="af3"/>
        <w:tblW w:w="0" w:type="auto"/>
        <w:tblLook w:val="04A0"/>
      </w:tblPr>
      <w:tblGrid>
        <w:gridCol w:w="8528"/>
      </w:tblGrid>
      <w:tr w:rsidR="002E1643" w:rsidRPr="000E0B1F" w:rsidTr="002E1643">
        <w:tc>
          <w:tcPr>
            <w:tcW w:w="8528" w:type="dxa"/>
          </w:tcPr>
          <w:p w:rsidR="002E1643" w:rsidRPr="00AE6135" w:rsidRDefault="002E1643" w:rsidP="002E1643">
            <w:pPr>
              <w:rPr>
                <w:b/>
                <w:i/>
              </w:rPr>
            </w:pPr>
            <w:r w:rsidRPr="00EF0A5A">
              <w:rPr>
                <w:b/>
                <w:i/>
              </w:rPr>
              <w:t xml:space="preserve">Πλαίσιο Ανάλυσης </w:t>
            </w:r>
            <w:r w:rsidR="00AE6135" w:rsidRPr="00AE6135">
              <w:rPr>
                <w:b/>
                <w:i/>
              </w:rPr>
              <w:t>1</w:t>
            </w:r>
          </w:p>
          <w:p w:rsidR="002E1643" w:rsidRDefault="002E1643" w:rsidP="00AE6135">
            <w:pPr>
              <w:spacing w:before="120" w:after="120" w:line="360" w:lineRule="auto"/>
              <w:jc w:val="both"/>
            </w:pPr>
            <w:r w:rsidRPr="002E1643">
              <w:rPr>
                <w:b/>
                <w:i/>
              </w:rPr>
              <w:t xml:space="preserve">Παράδειγμα υπολογισμού σταθμισμένου ως προς τον κίνδυνο κεφαλαίου </w:t>
            </w:r>
          </w:p>
          <w:p w:rsidR="002E1643" w:rsidRDefault="002E1643" w:rsidP="002E1643">
            <w:pPr>
              <w:spacing w:line="360" w:lineRule="auto"/>
              <w:jc w:val="both"/>
            </w:pPr>
            <w:r>
              <w:t>Έστω το ενεργητικό μιας τράπεζας αξίας</w:t>
            </w:r>
            <w:r w:rsidRPr="00B85273">
              <w:t xml:space="preserve"> 400</w:t>
            </w:r>
            <w:r>
              <w:t xml:space="preserve"> δις $ κατανέμεται με τον εξής τρόπο στους ακόλουθες τοποθετήσεις:</w:t>
            </w:r>
          </w:p>
          <w:tbl>
            <w:tblPr>
              <w:tblStyle w:val="af3"/>
              <w:tblpPr w:leftFromText="181" w:rightFromText="181" w:vertAnchor="text" w:horzAnchor="margin" w:tblpY="17"/>
              <w:tblOverlap w:val="never"/>
              <w:tblW w:w="0" w:type="auto"/>
              <w:tblLook w:val="04A0"/>
            </w:tblPr>
            <w:tblGrid>
              <w:gridCol w:w="4511"/>
              <w:gridCol w:w="3328"/>
            </w:tblGrid>
            <w:tr w:rsidR="002E1643" w:rsidRPr="00C703F5" w:rsidTr="0048738A">
              <w:tc>
                <w:tcPr>
                  <w:tcW w:w="4511" w:type="dxa"/>
                </w:tcPr>
                <w:p w:rsidR="002E1643" w:rsidRPr="00C703F5" w:rsidRDefault="002E1643" w:rsidP="002E1643">
                  <w:pPr>
                    <w:jc w:val="both"/>
                    <w:rPr>
                      <w:b/>
                    </w:rPr>
                  </w:pPr>
                  <w:r w:rsidRPr="00C703F5">
                    <w:rPr>
                      <w:b/>
                    </w:rPr>
                    <w:t>Στοιχεία Ενεργητικού</w:t>
                  </w:r>
                </w:p>
              </w:tc>
              <w:tc>
                <w:tcPr>
                  <w:tcW w:w="3328" w:type="dxa"/>
                </w:tcPr>
                <w:p w:rsidR="002E1643" w:rsidRPr="00C703F5" w:rsidRDefault="002E1643" w:rsidP="002E1643">
                  <w:pPr>
                    <w:rPr>
                      <w:b/>
                    </w:rPr>
                  </w:pPr>
                  <w:r w:rsidRPr="00C703F5">
                    <w:rPr>
                      <w:b/>
                    </w:rPr>
                    <w:t xml:space="preserve">Στάθμιση σύμφωνα με </w:t>
                  </w:r>
                  <w:r w:rsidRPr="00C703F5">
                    <w:rPr>
                      <w:b/>
                      <w:lang w:val="en-US"/>
                    </w:rPr>
                    <w:t>Basel</w:t>
                  </w:r>
                  <w:r w:rsidRPr="00C703F5">
                    <w:rPr>
                      <w:b/>
                    </w:rPr>
                    <w:t xml:space="preserve"> </w:t>
                  </w:r>
                  <w:r w:rsidRPr="00C703F5">
                    <w:rPr>
                      <w:b/>
                      <w:lang w:val="en-US"/>
                    </w:rPr>
                    <w:t>I</w:t>
                  </w:r>
                </w:p>
              </w:tc>
            </w:tr>
            <w:tr w:rsidR="002E1643" w:rsidRPr="00C703F5" w:rsidTr="0048738A">
              <w:tc>
                <w:tcPr>
                  <w:tcW w:w="4511" w:type="dxa"/>
                </w:tcPr>
                <w:p w:rsidR="002E1643" w:rsidRPr="00C703F5" w:rsidRDefault="002E1643" w:rsidP="002E1643">
                  <w:pPr>
                    <w:jc w:val="both"/>
                  </w:pPr>
                  <w:r w:rsidRPr="00C703F5">
                    <w:t>100 δις Κρατικά Αμερικανικά Ομόλογα</w:t>
                  </w:r>
                </w:p>
              </w:tc>
              <w:tc>
                <w:tcPr>
                  <w:tcW w:w="3328" w:type="dxa"/>
                </w:tcPr>
                <w:p w:rsidR="002E1643" w:rsidRPr="00645FB7" w:rsidRDefault="002E1643" w:rsidP="002E1643">
                  <w:r w:rsidRPr="00645FB7">
                    <w:t>0% for OECD govts</w:t>
                  </w:r>
                </w:p>
              </w:tc>
            </w:tr>
            <w:tr w:rsidR="002E1643" w:rsidRPr="00C703F5" w:rsidTr="0048738A">
              <w:tc>
                <w:tcPr>
                  <w:tcW w:w="4511" w:type="dxa"/>
                </w:tcPr>
                <w:p w:rsidR="002E1643" w:rsidRPr="00C703F5" w:rsidRDefault="002E1643" w:rsidP="002E1643">
                  <w:pPr>
                    <w:jc w:val="both"/>
                  </w:pPr>
                  <w:r w:rsidRPr="00C703F5">
                    <w:t>100 δις τίτλους των Fannie &amp;Freddie</w:t>
                  </w:r>
                </w:p>
              </w:tc>
              <w:tc>
                <w:tcPr>
                  <w:tcW w:w="3328" w:type="dxa"/>
                </w:tcPr>
                <w:p w:rsidR="002E1643" w:rsidRPr="00C703F5" w:rsidRDefault="002E1643" w:rsidP="002E1643">
                  <w:pPr>
                    <w:rPr>
                      <w:lang w:val="en-US"/>
                    </w:rPr>
                  </w:pPr>
                  <w:r w:rsidRPr="00C703F5">
                    <w:rPr>
                      <w:lang w:val="en-US"/>
                    </w:rPr>
                    <w:t xml:space="preserve">20% for municipal bonds </w:t>
                  </w:r>
                </w:p>
              </w:tc>
            </w:tr>
            <w:tr w:rsidR="002E1643" w:rsidRPr="00C703F5" w:rsidTr="0048738A">
              <w:tc>
                <w:tcPr>
                  <w:tcW w:w="4511" w:type="dxa"/>
                </w:tcPr>
                <w:p w:rsidR="002E1643" w:rsidRPr="00C703F5" w:rsidRDefault="002E1643" w:rsidP="002E1643">
                  <w:pPr>
                    <w:jc w:val="both"/>
                  </w:pPr>
                  <w:r w:rsidRPr="00C703F5">
                    <w:t>100 δις στεγαστικά δάνεια (mortgages)</w:t>
                  </w:r>
                </w:p>
              </w:tc>
              <w:tc>
                <w:tcPr>
                  <w:tcW w:w="3328" w:type="dxa"/>
                </w:tcPr>
                <w:p w:rsidR="002E1643" w:rsidRPr="00645FB7" w:rsidRDefault="002E1643" w:rsidP="002E1643">
                  <w:r w:rsidRPr="00645FB7">
                    <w:t>50% mortgages</w:t>
                  </w:r>
                </w:p>
              </w:tc>
            </w:tr>
            <w:tr w:rsidR="002E1643" w:rsidRPr="00C703F5" w:rsidTr="0048738A">
              <w:tc>
                <w:tcPr>
                  <w:tcW w:w="4511" w:type="dxa"/>
                </w:tcPr>
                <w:p w:rsidR="002E1643" w:rsidRPr="00C703F5" w:rsidRDefault="002E1643" w:rsidP="002E1643">
                  <w:pPr>
                    <w:jc w:val="both"/>
                  </w:pPr>
                  <w:r w:rsidRPr="00C703F5">
                    <w:t>100 δις επιχειρηματικά δάνεια (business loans)</w:t>
                  </w:r>
                </w:p>
              </w:tc>
              <w:tc>
                <w:tcPr>
                  <w:tcW w:w="3328" w:type="dxa"/>
                </w:tcPr>
                <w:p w:rsidR="002E1643" w:rsidRDefault="002E1643" w:rsidP="002E1643">
                  <w:r w:rsidRPr="00645FB7">
                    <w:t>100% loans to businesses.</w:t>
                  </w:r>
                </w:p>
              </w:tc>
            </w:tr>
          </w:tbl>
          <w:p w:rsidR="002E1643" w:rsidRDefault="002E1643" w:rsidP="002E1643">
            <w:pPr>
              <w:spacing w:line="360" w:lineRule="auto"/>
              <w:jc w:val="both"/>
            </w:pPr>
          </w:p>
          <w:p w:rsidR="002E1643" w:rsidRPr="00EF0A5A" w:rsidRDefault="002E1643" w:rsidP="002E1643">
            <w:pPr>
              <w:spacing w:line="360" w:lineRule="auto"/>
              <w:jc w:val="both"/>
            </w:pPr>
            <w:r w:rsidRPr="00EF0A5A">
              <w:t xml:space="preserve">Με βάση τις σταθμίσεις που ορίστηκαν στην </w:t>
            </w:r>
            <w:r w:rsidRPr="00EF0A5A">
              <w:rPr>
                <w:lang w:val="en-US"/>
              </w:rPr>
              <w:t>Basel</w:t>
            </w:r>
            <w:r w:rsidRPr="00EF0A5A">
              <w:t xml:space="preserve"> </w:t>
            </w:r>
            <w:r w:rsidRPr="00EF0A5A">
              <w:rPr>
                <w:lang w:val="en-US"/>
              </w:rPr>
              <w:t>I</w:t>
            </w:r>
            <w:r w:rsidRPr="00EF0A5A">
              <w:t xml:space="preserve"> για την επάρκεια κεφαλαίων που φαίνονται στον πίνακα: το λεγόμενο σταθμισμένο ως προς τον κίνδυνο κεφάλαιο (</w:t>
            </w:r>
            <w:r w:rsidRPr="00EF0A5A">
              <w:rPr>
                <w:lang w:val="en-US"/>
              </w:rPr>
              <w:t>RWA</w:t>
            </w:r>
            <w:r w:rsidRPr="00EF0A5A">
              <w:t xml:space="preserve">, </w:t>
            </w:r>
            <w:r w:rsidRPr="00EF0A5A">
              <w:rPr>
                <w:lang w:val="en-US"/>
              </w:rPr>
              <w:t>risk</w:t>
            </w:r>
            <w:r w:rsidRPr="00EF0A5A">
              <w:t xml:space="preserve"> </w:t>
            </w:r>
            <w:r w:rsidRPr="00EF0A5A">
              <w:rPr>
                <w:lang w:val="en-US"/>
              </w:rPr>
              <w:t>weighted</w:t>
            </w:r>
            <w:r w:rsidRPr="00EF0A5A">
              <w:t xml:space="preserve"> </w:t>
            </w:r>
            <w:r w:rsidRPr="00EF0A5A">
              <w:rPr>
                <w:lang w:val="en-US"/>
              </w:rPr>
              <w:t>assets</w:t>
            </w:r>
            <w:r w:rsidRPr="00EF0A5A">
              <w:t xml:space="preserve">) είναι 170 δις. Μια παρατήρηση που μπορούμε να κάνουμε είναι ότι τελικά ήταν μεγάλο σφάλμα εταιρείες που κατείχαν τα λεγόμενα  </w:t>
            </w:r>
            <w:r w:rsidRPr="00EF0A5A">
              <w:rPr>
                <w:lang w:val="en-US"/>
              </w:rPr>
              <w:t>subprime</w:t>
            </w:r>
            <w:r w:rsidRPr="00EF0A5A">
              <w:t xml:space="preserve"> </w:t>
            </w:r>
            <w:r w:rsidRPr="00EF0A5A">
              <w:rPr>
                <w:lang w:val="en-US"/>
              </w:rPr>
              <w:t>loans</w:t>
            </w:r>
            <w:r w:rsidRPr="00EF0A5A">
              <w:t xml:space="preserve">  όπως οι </w:t>
            </w:r>
            <w:r w:rsidRPr="00EF0A5A">
              <w:rPr>
                <w:lang w:val="en-US"/>
              </w:rPr>
              <w:t>Fannie</w:t>
            </w:r>
            <w:r w:rsidRPr="00EF0A5A">
              <w:t xml:space="preserve"> &amp; </w:t>
            </w:r>
            <w:r w:rsidRPr="00EF0A5A">
              <w:rPr>
                <w:lang w:val="en-US"/>
              </w:rPr>
              <w:t>Fredie</w:t>
            </w:r>
            <w:r w:rsidRPr="00EF0A5A">
              <w:t xml:space="preserve"> να παίρνουν στάθμιση μόνο 20%. Όπως και το γεγονός ότι τα κρατικά ομόλογα όλων των </w:t>
            </w:r>
            <w:r w:rsidRPr="00EF0A5A">
              <w:rPr>
                <w:lang w:val="en-US"/>
              </w:rPr>
              <w:t>OECD</w:t>
            </w:r>
            <w:r w:rsidRPr="00EF0A5A">
              <w:t xml:space="preserve"> χωρών είχαν στάθμιση 0% (πχ διάκριση μεταξύ Τουρκίας και ΗΠΑ).</w:t>
            </w:r>
          </w:p>
          <w:p w:rsidR="002E1643" w:rsidRDefault="002E1643" w:rsidP="002E1643">
            <w:pPr>
              <w:spacing w:line="360" w:lineRule="auto"/>
              <w:jc w:val="both"/>
            </w:pPr>
            <w:r w:rsidRPr="00EF0A5A">
              <w:t xml:space="preserve">Σύμφωνα με </w:t>
            </w:r>
            <w:r w:rsidRPr="00EF0A5A">
              <w:rPr>
                <w:lang w:val="en-US"/>
              </w:rPr>
              <w:t>Basel</w:t>
            </w:r>
            <w:r w:rsidRPr="00EF0A5A">
              <w:t xml:space="preserve"> </w:t>
            </w:r>
            <w:r w:rsidRPr="00EF0A5A">
              <w:rPr>
                <w:lang w:val="en-US"/>
              </w:rPr>
              <w:t>III</w:t>
            </w:r>
            <w:r w:rsidRPr="00EF0A5A">
              <w:t xml:space="preserve"> το λεγόμενο </w:t>
            </w:r>
            <w:r w:rsidRPr="00EF0A5A">
              <w:rPr>
                <w:lang w:val="en-US"/>
              </w:rPr>
              <w:t>common</w:t>
            </w:r>
            <w:r w:rsidRPr="00EF0A5A">
              <w:t xml:space="preserve"> </w:t>
            </w:r>
            <w:r w:rsidRPr="00EF0A5A">
              <w:rPr>
                <w:lang w:val="en-US"/>
              </w:rPr>
              <w:t>capital</w:t>
            </w:r>
            <w:r w:rsidRPr="00EF0A5A">
              <w:t xml:space="preserve"> πρέπει να είναι τελικά 9.5% των </w:t>
            </w:r>
            <w:r w:rsidRPr="00EF0A5A">
              <w:rPr>
                <w:lang w:val="en-US"/>
              </w:rPr>
              <w:t>RWA</w:t>
            </w:r>
            <w:r w:rsidRPr="00EF0A5A">
              <w:t>. Πιο συγκεκριμένα ο παρακάτω πίνακας δείχνει την ανάλυση.</w:t>
            </w:r>
          </w:p>
          <w:p w:rsidR="00EC743B" w:rsidRDefault="00EC743B" w:rsidP="002E1643">
            <w:pPr>
              <w:jc w:val="center"/>
              <w:rPr>
                <w:b/>
              </w:rPr>
            </w:pPr>
          </w:p>
          <w:p w:rsidR="002E1643" w:rsidRPr="00EF0A5A" w:rsidRDefault="002E1643" w:rsidP="002E1643">
            <w:pPr>
              <w:jc w:val="center"/>
            </w:pPr>
            <w:r w:rsidRPr="002E1643">
              <w:rPr>
                <w:b/>
              </w:rPr>
              <w:t xml:space="preserve">Πίνακας </w:t>
            </w:r>
            <w:r w:rsidR="00EC743B">
              <w:rPr>
                <w:b/>
              </w:rPr>
              <w:t>6.1</w:t>
            </w:r>
            <w:r>
              <w:t xml:space="preserve"> Ανάλυση Κοινού μετοχικού Κεφαλαίου σύμφωνα με </w:t>
            </w:r>
            <w:r>
              <w:rPr>
                <w:lang w:val="en-US"/>
              </w:rPr>
              <w:t>Basel</w:t>
            </w:r>
            <w:r w:rsidRPr="00EF0A5A">
              <w:t xml:space="preserve"> </w:t>
            </w:r>
            <w:r>
              <w:rPr>
                <w:lang w:val="en-US"/>
              </w:rPr>
              <w:t>III</w:t>
            </w:r>
          </w:p>
          <w:tbl>
            <w:tblPr>
              <w:tblStyle w:val="af3"/>
              <w:tblW w:w="0" w:type="auto"/>
              <w:tblInd w:w="360" w:type="dxa"/>
              <w:tblLook w:val="04A0"/>
            </w:tblPr>
            <w:tblGrid>
              <w:gridCol w:w="7663"/>
            </w:tblGrid>
            <w:tr w:rsidR="002E1643" w:rsidRPr="000E0B1F" w:rsidTr="0048738A">
              <w:tc>
                <w:tcPr>
                  <w:tcW w:w="7663" w:type="dxa"/>
                </w:tcPr>
                <w:p w:rsidR="002E1643" w:rsidRPr="00EC743B" w:rsidRDefault="002E1643" w:rsidP="002520FD">
                  <w:pPr>
                    <w:pStyle w:val="ae"/>
                    <w:numPr>
                      <w:ilvl w:val="1"/>
                      <w:numId w:val="19"/>
                    </w:numPr>
                    <w:jc w:val="both"/>
                  </w:pPr>
                  <w:r w:rsidRPr="00C703F5">
                    <w:t xml:space="preserve">% of RWA  </w:t>
                  </w:r>
                </w:p>
                <w:p w:rsidR="002E1643" w:rsidRPr="00EF0A5A" w:rsidRDefault="002E1643" w:rsidP="0048738A">
                  <w:pPr>
                    <w:jc w:val="both"/>
                  </w:pPr>
                  <w:r w:rsidRPr="00EF0A5A">
                    <w:t xml:space="preserve">    </w:t>
                  </w:r>
                  <w:r w:rsidRPr="00EF0A5A">
                    <w:rPr>
                      <w:u w:val="single"/>
                    </w:rPr>
                    <w:t>+2.5%</w:t>
                  </w:r>
                  <w:r w:rsidRPr="00EF0A5A">
                    <w:t xml:space="preserve"> </w:t>
                  </w:r>
                  <w:r w:rsidRPr="00C703F5">
                    <w:rPr>
                      <w:lang w:val="en-US"/>
                    </w:rPr>
                    <w:t>capital</w:t>
                  </w:r>
                  <w:r w:rsidRPr="00EF0A5A">
                    <w:t xml:space="preserve"> </w:t>
                  </w:r>
                  <w:r w:rsidRPr="00C703F5">
                    <w:rPr>
                      <w:lang w:val="en-US"/>
                    </w:rPr>
                    <w:t>conservation</w:t>
                  </w:r>
                  <w:r w:rsidRPr="00EF0A5A">
                    <w:t xml:space="preserve"> </w:t>
                  </w:r>
                  <w:r w:rsidRPr="00C703F5">
                    <w:rPr>
                      <w:lang w:val="en-US"/>
                    </w:rPr>
                    <w:t>buffer</w:t>
                  </w:r>
                  <w:r w:rsidRPr="00EF0A5A">
                    <w:t xml:space="preserve"> (</w:t>
                  </w:r>
                  <w:r w:rsidR="00EC743B">
                    <w:t>α</w:t>
                  </w:r>
                  <w:r>
                    <w:t>λλιώς μέρισμα δεν μπορεί να δοθεί</w:t>
                  </w:r>
                  <w:r w:rsidRPr="00EF0A5A">
                    <w:t>)</w:t>
                  </w:r>
                </w:p>
                <w:p w:rsidR="002E1643" w:rsidRPr="00A078A8" w:rsidRDefault="002E1643" w:rsidP="0048738A">
                  <w:pPr>
                    <w:jc w:val="both"/>
                    <w:rPr>
                      <w:lang w:val="en-US"/>
                    </w:rPr>
                  </w:pPr>
                  <w:r w:rsidRPr="00EF0A5A">
                    <w:t xml:space="preserve">      </w:t>
                  </w:r>
                  <w:r w:rsidRPr="00A078A8">
                    <w:rPr>
                      <w:lang w:val="en-US"/>
                    </w:rPr>
                    <w:t xml:space="preserve">7%  </w:t>
                  </w:r>
                  <w:r>
                    <w:rPr>
                      <w:lang w:val="en-US"/>
                    </w:rPr>
                    <w:t>of</w:t>
                  </w:r>
                  <w:r w:rsidRPr="00A078A8">
                    <w:rPr>
                      <w:lang w:val="en-US"/>
                    </w:rPr>
                    <w:t xml:space="preserve"> </w:t>
                  </w:r>
                  <w:r>
                    <w:rPr>
                      <w:lang w:val="en-US"/>
                    </w:rPr>
                    <w:t>RWA</w:t>
                  </w:r>
                </w:p>
                <w:p w:rsidR="002E1643" w:rsidRPr="00EF0A5A" w:rsidRDefault="002E1643" w:rsidP="0048738A">
                  <w:pPr>
                    <w:jc w:val="both"/>
                    <w:rPr>
                      <w:lang w:val="en-US"/>
                    </w:rPr>
                  </w:pPr>
                  <w:r w:rsidRPr="00A078A8">
                    <w:rPr>
                      <w:lang w:val="en-US"/>
                    </w:rPr>
                    <w:t xml:space="preserve">    </w:t>
                  </w:r>
                  <w:r w:rsidRPr="00A078A8">
                    <w:rPr>
                      <w:u w:val="single"/>
                      <w:lang w:val="en-US"/>
                    </w:rPr>
                    <w:t>+2.5%</w:t>
                  </w:r>
                  <w:r w:rsidRPr="00A078A8">
                    <w:rPr>
                      <w:lang w:val="en-US"/>
                    </w:rPr>
                    <w:t xml:space="preserve"> </w:t>
                  </w:r>
                  <w:r w:rsidRPr="00C703F5">
                    <w:rPr>
                      <w:lang w:val="en-US"/>
                    </w:rPr>
                    <w:t xml:space="preserve">Countercyclical buffer </w:t>
                  </w:r>
                </w:p>
                <w:p w:rsidR="002E1643" w:rsidRPr="00EF0A5A" w:rsidRDefault="002E1643" w:rsidP="0048738A">
                  <w:pPr>
                    <w:jc w:val="both"/>
                    <w:rPr>
                      <w:lang w:val="en-US"/>
                    </w:rPr>
                  </w:pPr>
                  <w:r w:rsidRPr="00EF0A5A">
                    <w:rPr>
                      <w:lang w:val="en-US"/>
                    </w:rPr>
                    <w:t xml:space="preserve">      9.5% of </w:t>
                  </w:r>
                  <w:r>
                    <w:rPr>
                      <w:lang w:val="en-US"/>
                    </w:rPr>
                    <w:t>RWA</w:t>
                  </w:r>
                </w:p>
              </w:tc>
            </w:tr>
          </w:tbl>
          <w:p w:rsidR="002E1643" w:rsidRPr="00607196" w:rsidRDefault="002E1643" w:rsidP="00C51572">
            <w:pPr>
              <w:rPr>
                <w:lang w:val="en-US"/>
              </w:rPr>
            </w:pPr>
          </w:p>
        </w:tc>
      </w:tr>
    </w:tbl>
    <w:p w:rsidR="002E1643" w:rsidRPr="00607196" w:rsidRDefault="002E1643" w:rsidP="00C51572">
      <w:pPr>
        <w:rPr>
          <w:lang w:val="en-US"/>
        </w:rPr>
      </w:pPr>
    </w:p>
    <w:p w:rsidR="00022B4A" w:rsidRPr="00022B4A" w:rsidRDefault="00022B4A" w:rsidP="00022B4A">
      <w:pPr>
        <w:spacing w:line="360" w:lineRule="auto"/>
        <w:jc w:val="both"/>
        <w:rPr>
          <w:bCs/>
        </w:rPr>
      </w:pPr>
      <w:r w:rsidRPr="00022B4A">
        <w:rPr>
          <w:bCs/>
        </w:rPr>
        <w:t>Η ανάγκη αποτελεσματικής εποπτείας του χρηματοπιστωτικού οικοδομήματος οδήγησε στη δημιουργία φορέων που α</w:t>
      </w:r>
      <w:r w:rsidR="000B30C2">
        <w:rPr>
          <w:bCs/>
        </w:rPr>
        <w:t>σ</w:t>
      </w:r>
      <w:r w:rsidRPr="00022B4A">
        <w:rPr>
          <w:bCs/>
        </w:rPr>
        <w:t>κούν εποπτεία σε περιφερειακό και διεθνές επίπεδο. Οι σημαντικότεροι από αυτούς φαίνο</w:t>
      </w:r>
      <w:r w:rsidR="000B30C2">
        <w:rPr>
          <w:bCs/>
        </w:rPr>
        <w:t>νται στον πίνακα που ακολουθεί.</w:t>
      </w:r>
    </w:p>
    <w:p w:rsidR="004F2675" w:rsidRDefault="004F2675" w:rsidP="00022B4A">
      <w:pPr>
        <w:spacing w:line="360" w:lineRule="auto"/>
        <w:jc w:val="both"/>
        <w:rPr>
          <w:b/>
          <w:bCs/>
        </w:rPr>
      </w:pPr>
    </w:p>
    <w:p w:rsidR="00022B4A" w:rsidRPr="00A078A8" w:rsidRDefault="000B30C2" w:rsidP="00EC743B">
      <w:pPr>
        <w:jc w:val="both"/>
        <w:rPr>
          <w:b/>
          <w:bCs/>
        </w:rPr>
      </w:pPr>
      <w:r>
        <w:rPr>
          <w:b/>
          <w:bCs/>
        </w:rPr>
        <w:t>Πίνακας</w:t>
      </w:r>
      <w:r w:rsidRPr="00A078A8">
        <w:rPr>
          <w:b/>
          <w:bCs/>
        </w:rPr>
        <w:t xml:space="preserve"> </w:t>
      </w:r>
      <w:r w:rsidR="00EC743B" w:rsidRPr="00A078A8">
        <w:rPr>
          <w:b/>
          <w:bCs/>
        </w:rPr>
        <w:t>6.</w:t>
      </w:r>
      <w:r w:rsidR="00EC743B">
        <w:rPr>
          <w:b/>
          <w:bCs/>
        </w:rPr>
        <w:t>2</w:t>
      </w:r>
      <w:r w:rsidRPr="00A078A8">
        <w:rPr>
          <w:b/>
          <w:bCs/>
        </w:rPr>
        <w:t xml:space="preserve"> </w:t>
      </w:r>
      <w:r w:rsidRPr="000B30C2">
        <w:rPr>
          <w:bCs/>
        </w:rPr>
        <w:t>Νέοι</w:t>
      </w:r>
      <w:r w:rsidRPr="00A078A8">
        <w:rPr>
          <w:bCs/>
        </w:rPr>
        <w:t xml:space="preserve"> </w:t>
      </w:r>
      <w:r w:rsidRPr="000B30C2">
        <w:rPr>
          <w:bCs/>
        </w:rPr>
        <w:t>φορείς</w:t>
      </w:r>
      <w:r w:rsidRPr="00A078A8">
        <w:rPr>
          <w:bCs/>
        </w:rPr>
        <w:t xml:space="preserve"> </w:t>
      </w:r>
      <w:r w:rsidRPr="000B30C2">
        <w:rPr>
          <w:bCs/>
        </w:rPr>
        <w:t>εποπτείας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022B4A" w:rsidRPr="000E0B1F" w:rsidTr="00022B4A">
        <w:tc>
          <w:tcPr>
            <w:tcW w:w="2500" w:type="pct"/>
          </w:tcPr>
          <w:p w:rsidR="00022B4A" w:rsidRPr="00022B4A" w:rsidRDefault="00022B4A" w:rsidP="005933B9">
            <w:pPr>
              <w:jc w:val="both"/>
              <w:rPr>
                <w:bCs/>
                <w:lang w:val="en-US" w:bidi="en-US"/>
              </w:rPr>
            </w:pPr>
            <w:r w:rsidRPr="00022B4A">
              <w:rPr>
                <w:bCs/>
                <w:lang w:val="en-US" w:bidi="en-US"/>
              </w:rPr>
              <w:lastRenderedPageBreak/>
              <w:t>Association of Financial Supervisors of Pacific Countries (AFSPC)</w:t>
            </w:r>
          </w:p>
        </w:tc>
        <w:tc>
          <w:tcPr>
            <w:tcW w:w="2500" w:type="pct"/>
          </w:tcPr>
          <w:p w:rsidR="00022B4A" w:rsidRPr="00022B4A" w:rsidRDefault="00022B4A" w:rsidP="005933B9">
            <w:pPr>
              <w:jc w:val="both"/>
              <w:rPr>
                <w:bCs/>
                <w:lang w:val="en-US" w:bidi="en-US"/>
              </w:rPr>
            </w:pPr>
            <w:r w:rsidRPr="00022B4A">
              <w:rPr>
                <w:bCs/>
                <w:lang w:val="en-US" w:bidi="en-US"/>
              </w:rPr>
              <w:t>Regional Group on Banking Supervision of Transcaucasia, Central Asia and the Russian Federation</w:t>
            </w:r>
          </w:p>
        </w:tc>
      </w:tr>
      <w:tr w:rsidR="00022B4A" w:rsidRPr="000E0B1F" w:rsidTr="00022B4A">
        <w:tc>
          <w:tcPr>
            <w:tcW w:w="2500" w:type="pct"/>
          </w:tcPr>
          <w:p w:rsidR="00022B4A" w:rsidRPr="00022B4A" w:rsidRDefault="00022B4A" w:rsidP="005933B9">
            <w:pPr>
              <w:jc w:val="both"/>
              <w:rPr>
                <w:bCs/>
                <w:lang w:val="en-US" w:bidi="en-US"/>
              </w:rPr>
            </w:pPr>
            <w:r w:rsidRPr="00022B4A">
              <w:rPr>
                <w:bCs/>
                <w:lang w:val="en-US" w:bidi="en-US"/>
              </w:rPr>
              <w:t>The Association of Supervisors of Banks of the Americas</w:t>
            </w:r>
          </w:p>
        </w:tc>
        <w:tc>
          <w:tcPr>
            <w:tcW w:w="2500" w:type="pct"/>
          </w:tcPr>
          <w:p w:rsidR="00022B4A" w:rsidRPr="00022B4A" w:rsidRDefault="00022B4A" w:rsidP="005933B9">
            <w:pPr>
              <w:jc w:val="both"/>
              <w:rPr>
                <w:bCs/>
                <w:lang w:val="en-US" w:bidi="en-US"/>
              </w:rPr>
            </w:pPr>
            <w:r w:rsidRPr="00022B4A">
              <w:rPr>
                <w:bCs/>
                <w:lang w:val="en-US" w:bidi="en-US"/>
              </w:rPr>
              <w:t>SADC Subcommittee of Bank Supervisors (SSBS)</w:t>
            </w:r>
          </w:p>
        </w:tc>
      </w:tr>
      <w:tr w:rsidR="00022B4A" w:rsidRPr="000E0B1F" w:rsidTr="00022B4A">
        <w:tc>
          <w:tcPr>
            <w:tcW w:w="2500" w:type="pct"/>
          </w:tcPr>
          <w:p w:rsidR="00022B4A" w:rsidRPr="00022B4A" w:rsidRDefault="00022B4A" w:rsidP="005933B9">
            <w:pPr>
              <w:jc w:val="both"/>
              <w:rPr>
                <w:bCs/>
                <w:lang w:val="en-US" w:bidi="en-US"/>
              </w:rPr>
            </w:pPr>
            <w:r w:rsidRPr="00022B4A">
              <w:rPr>
                <w:bCs/>
                <w:lang w:val="en-US" w:bidi="en-US"/>
              </w:rPr>
              <w:t>The Banking Supervision Committee of the ESCB Caribbean Group of Banking Supervisors</w:t>
            </w:r>
          </w:p>
        </w:tc>
        <w:tc>
          <w:tcPr>
            <w:tcW w:w="2500" w:type="pct"/>
          </w:tcPr>
          <w:p w:rsidR="00022B4A" w:rsidRPr="00022B4A" w:rsidRDefault="00022B4A" w:rsidP="005933B9">
            <w:pPr>
              <w:jc w:val="both"/>
              <w:rPr>
                <w:bCs/>
                <w:lang w:val="en-US" w:bidi="en-US"/>
              </w:rPr>
            </w:pPr>
            <w:r w:rsidRPr="00022B4A">
              <w:rPr>
                <w:bCs/>
                <w:lang w:val="en-US" w:bidi="en-US"/>
              </w:rPr>
              <w:t>SEANZA Forum of Banking Supervisors</w:t>
            </w:r>
          </w:p>
        </w:tc>
      </w:tr>
      <w:tr w:rsidR="00022B4A" w:rsidRPr="000E0B1F" w:rsidTr="00022B4A">
        <w:tc>
          <w:tcPr>
            <w:tcW w:w="2500" w:type="pct"/>
          </w:tcPr>
          <w:p w:rsidR="00022B4A" w:rsidRPr="00022B4A" w:rsidRDefault="00022B4A" w:rsidP="005933B9">
            <w:pPr>
              <w:jc w:val="both"/>
              <w:rPr>
                <w:bCs/>
                <w:lang w:val="en-US" w:bidi="en-US"/>
              </w:rPr>
            </w:pPr>
            <w:r w:rsidRPr="00022B4A">
              <w:rPr>
                <w:bCs/>
                <w:lang w:val="en-US" w:bidi="en-US"/>
              </w:rPr>
              <w:t>Committee of Banking Supervisors of West and Central Africa</w:t>
            </w:r>
          </w:p>
        </w:tc>
        <w:tc>
          <w:tcPr>
            <w:tcW w:w="2500" w:type="pct"/>
          </w:tcPr>
          <w:p w:rsidR="00022B4A" w:rsidRPr="00022B4A" w:rsidRDefault="00022B4A" w:rsidP="005933B9">
            <w:pPr>
              <w:jc w:val="both"/>
              <w:rPr>
                <w:bCs/>
                <w:lang w:val="en-US" w:bidi="en-US"/>
              </w:rPr>
            </w:pPr>
            <w:r w:rsidRPr="00022B4A">
              <w:rPr>
                <w:bCs/>
                <w:lang w:val="en-US" w:bidi="en-US"/>
              </w:rPr>
              <w:t>EMEAP Working Group on Banking Supervision</w:t>
            </w:r>
          </w:p>
        </w:tc>
      </w:tr>
      <w:tr w:rsidR="00022B4A" w:rsidRPr="000E0B1F" w:rsidTr="00022B4A">
        <w:tc>
          <w:tcPr>
            <w:tcW w:w="2500" w:type="pct"/>
          </w:tcPr>
          <w:p w:rsidR="00022B4A" w:rsidRPr="00022B4A" w:rsidRDefault="00022B4A" w:rsidP="005933B9">
            <w:pPr>
              <w:jc w:val="both"/>
              <w:rPr>
                <w:bCs/>
                <w:lang w:val="en-US" w:bidi="en-US"/>
              </w:rPr>
            </w:pPr>
            <w:r w:rsidRPr="00022B4A">
              <w:rPr>
                <w:bCs/>
                <w:lang w:val="en-US" w:bidi="en-US"/>
              </w:rPr>
              <w:t>Committee of European Banking Supervisors</w:t>
            </w:r>
          </w:p>
        </w:tc>
        <w:tc>
          <w:tcPr>
            <w:tcW w:w="2500" w:type="pct"/>
          </w:tcPr>
          <w:p w:rsidR="00022B4A" w:rsidRPr="00022B4A" w:rsidRDefault="00022B4A" w:rsidP="005933B9">
            <w:pPr>
              <w:jc w:val="both"/>
              <w:rPr>
                <w:bCs/>
                <w:lang w:val="en-US" w:bidi="en-US"/>
              </w:rPr>
            </w:pPr>
            <w:r w:rsidRPr="00022B4A">
              <w:rPr>
                <w:bCs/>
                <w:lang w:val="en-US" w:bidi="en-US"/>
              </w:rPr>
              <w:t>Group of  French-Speaking Banking Supervisors</w:t>
            </w:r>
          </w:p>
        </w:tc>
      </w:tr>
      <w:tr w:rsidR="00022B4A" w:rsidRPr="000E0B1F" w:rsidTr="00022B4A">
        <w:trPr>
          <w:trHeight w:val="179"/>
        </w:trPr>
        <w:tc>
          <w:tcPr>
            <w:tcW w:w="2500" w:type="pct"/>
          </w:tcPr>
          <w:p w:rsidR="00022B4A" w:rsidRPr="00022B4A" w:rsidRDefault="00022B4A" w:rsidP="005933B9">
            <w:pPr>
              <w:jc w:val="both"/>
              <w:rPr>
                <w:bCs/>
                <w:lang w:val="en-US" w:bidi="en-US"/>
              </w:rPr>
            </w:pPr>
            <w:r w:rsidRPr="00022B4A">
              <w:rPr>
                <w:bCs/>
                <w:lang w:val="en-US" w:bidi="en-US"/>
              </w:rPr>
              <w:t>Offshore Group of Banking Supervisors (OGBS)</w:t>
            </w:r>
          </w:p>
        </w:tc>
        <w:tc>
          <w:tcPr>
            <w:tcW w:w="2500" w:type="pct"/>
          </w:tcPr>
          <w:p w:rsidR="00022B4A" w:rsidRPr="00022B4A" w:rsidRDefault="00022B4A" w:rsidP="005933B9">
            <w:pPr>
              <w:jc w:val="both"/>
              <w:rPr>
                <w:bCs/>
                <w:lang w:val="en-US" w:bidi="en-US"/>
              </w:rPr>
            </w:pPr>
            <w:r w:rsidRPr="00022B4A">
              <w:rPr>
                <w:bCs/>
                <w:lang w:val="en-US" w:bidi="en-US"/>
              </w:rPr>
              <w:t>The Islamic Financial Services Board</w:t>
            </w:r>
          </w:p>
        </w:tc>
      </w:tr>
    </w:tbl>
    <w:p w:rsidR="00022B4A" w:rsidRPr="00022B4A" w:rsidRDefault="000B30C2" w:rsidP="00022B4A">
      <w:pPr>
        <w:spacing w:line="360" w:lineRule="auto"/>
        <w:jc w:val="both"/>
      </w:pPr>
      <w:r w:rsidRPr="001667D1">
        <w:rPr>
          <w:b/>
          <w:lang w:bidi="en-US"/>
        </w:rPr>
        <w:t>Πηγή:</w:t>
      </w:r>
      <w:r>
        <w:rPr>
          <w:lang w:bidi="en-US"/>
        </w:rPr>
        <w:t xml:space="preserve"> </w:t>
      </w:r>
      <w:r w:rsidR="00022B4A" w:rsidRPr="00022B4A">
        <w:rPr>
          <w:lang w:bidi="en-US"/>
        </w:rPr>
        <w:t>B</w:t>
      </w:r>
      <w:r w:rsidR="00022B4A" w:rsidRPr="00022B4A">
        <w:t>.</w:t>
      </w:r>
      <w:r w:rsidR="00022B4A" w:rsidRPr="00022B4A">
        <w:rPr>
          <w:lang w:bidi="en-US"/>
        </w:rPr>
        <w:t>I</w:t>
      </w:r>
      <w:r w:rsidR="00022B4A" w:rsidRPr="00022B4A">
        <w:t>.</w:t>
      </w:r>
      <w:r w:rsidR="00022B4A" w:rsidRPr="00022B4A">
        <w:rPr>
          <w:lang w:bidi="en-US"/>
        </w:rPr>
        <w:t>S</w:t>
      </w:r>
      <w:r>
        <w:t>. (</w:t>
      </w:r>
      <w:r w:rsidR="00022B4A" w:rsidRPr="00022B4A">
        <w:t>2006)</w:t>
      </w:r>
    </w:p>
    <w:p w:rsidR="001667D1" w:rsidRDefault="001667D1" w:rsidP="005933B9">
      <w:pPr>
        <w:autoSpaceDE w:val="0"/>
        <w:autoSpaceDN w:val="0"/>
        <w:adjustRightInd w:val="0"/>
        <w:spacing w:line="360" w:lineRule="auto"/>
        <w:ind w:firstLine="720"/>
        <w:jc w:val="both"/>
        <w:rPr>
          <w:color w:val="000000"/>
          <w:shd w:val="clear" w:color="auto" w:fill="FFFFFF"/>
        </w:rPr>
      </w:pPr>
    </w:p>
    <w:p w:rsidR="005933B9" w:rsidRDefault="000B30C2" w:rsidP="005933B9">
      <w:pPr>
        <w:autoSpaceDE w:val="0"/>
        <w:autoSpaceDN w:val="0"/>
        <w:adjustRightInd w:val="0"/>
        <w:spacing w:line="360" w:lineRule="auto"/>
        <w:ind w:firstLine="720"/>
        <w:jc w:val="both"/>
      </w:pPr>
      <w:r>
        <w:rPr>
          <w:color w:val="000000"/>
          <w:shd w:val="clear" w:color="auto" w:fill="FFFFFF"/>
        </w:rPr>
        <w:t>Σχετικά με τα υπέρ και τα κατά του συμφώνου της Βασιλείας ΙΙΙ μπορούμε να πούμε ότι από την μία θα λειτουργήσει ενισχυτικά για την οικονομία μια και οι νέοι κανόνες για την κεφαλαιακή επάρκεια και την ρευστότητα των τραπεζών θα καταστήσουν ασφαλέστερο τόσο το τραπεζικό σύστημα όσο και τις παγκόσμιες οικονομίες γενικότερα. Από τη άλλη όμως οι αυστηρότεροι αυτοί κανόνες συνεπάγονται ένα πολύ υψηλό κόστος για τις τράπεζες που πιθανότατα θα φέρει σημαντική αύξηση τόσο στο κόστος δανεισμού όσο και σε άλλες τραπεζικές υπηρεσίες. Επομένως οι τράπεζες ναι μεν θα είναι α</w:t>
      </w:r>
      <w:r w:rsidR="005933B9">
        <w:rPr>
          <w:color w:val="000000"/>
          <w:shd w:val="clear" w:color="auto" w:fill="FFFFFF"/>
        </w:rPr>
        <w:t>σφαλής αλλά θα γίνουν πολύ πιο «ακριβές σε όρ</w:t>
      </w:r>
      <w:r w:rsidR="00D2470F">
        <w:rPr>
          <w:color w:val="000000"/>
          <w:shd w:val="clear" w:color="auto" w:fill="FFFFFF"/>
        </w:rPr>
        <w:t>ους παροχής υπηρεσιών» κατά τον</w:t>
      </w:r>
      <w:r w:rsidR="005933B9">
        <w:rPr>
          <w:color w:val="000000"/>
          <w:shd w:val="clear" w:color="auto" w:fill="FFFFFF"/>
        </w:rPr>
        <w:t xml:space="preserve"> </w:t>
      </w:r>
      <w:r w:rsidR="004F2675" w:rsidRPr="004F2675">
        <w:rPr>
          <w:bCs/>
          <w:lang w:val="en-US"/>
        </w:rPr>
        <w:t>Elliott</w:t>
      </w:r>
      <w:r w:rsidR="005933B9">
        <w:rPr>
          <w:bCs/>
        </w:rPr>
        <w:t xml:space="preserve"> (</w:t>
      </w:r>
      <w:r w:rsidR="004F2675">
        <w:rPr>
          <w:bCs/>
        </w:rPr>
        <w:t xml:space="preserve">2010). Ενώ κατά τους </w:t>
      </w:r>
      <w:r w:rsidR="004F2675" w:rsidRPr="000B30C2">
        <w:t>Chortareas et al. (2012)</w:t>
      </w:r>
      <w:r w:rsidR="004F2675">
        <w:t xml:space="preserve"> η αποτελεσματικότητα των τραπεζών επηρεάζεται καίρια από το ρυθμιστικό πλαίσιο.</w:t>
      </w:r>
    </w:p>
    <w:p w:rsidR="005933B9" w:rsidRDefault="004F2675" w:rsidP="005933B9">
      <w:pPr>
        <w:autoSpaceDE w:val="0"/>
        <w:autoSpaceDN w:val="0"/>
        <w:adjustRightInd w:val="0"/>
        <w:spacing w:line="360" w:lineRule="auto"/>
        <w:ind w:firstLine="720"/>
        <w:jc w:val="both"/>
      </w:pPr>
      <w:r>
        <w:t>Πιο συγκεκριμένα</w:t>
      </w:r>
      <w:r w:rsidRPr="000B30C2">
        <w:t xml:space="preserve"> οι μεγάλες τράπεζες εντός Ε.Ε. που λειτουργούν με αποτελεσματικότερα και λιγότερο συγκεντρωμένα συστήματα, έχουν μεγαλύτερα επίπεδα απόδοσης. Η πρόκληση για το τραπεζικό σύστημα είναι ποιές πτυχές των νομοθετικών και εποπτικών πολιτικών επηρεάζουν την αποτελεσματική λειτουργία μιας τράπεζας.</w:t>
      </w:r>
    </w:p>
    <w:p w:rsidR="005933B9" w:rsidRDefault="000B30C2" w:rsidP="005933B9">
      <w:pPr>
        <w:autoSpaceDE w:val="0"/>
        <w:autoSpaceDN w:val="0"/>
        <w:adjustRightInd w:val="0"/>
        <w:spacing w:line="360" w:lineRule="auto"/>
        <w:ind w:firstLine="720"/>
        <w:jc w:val="both"/>
        <w:rPr>
          <w:color w:val="000000"/>
          <w:shd w:val="clear" w:color="auto" w:fill="FFFFFF"/>
        </w:rPr>
      </w:pPr>
      <w:r>
        <w:rPr>
          <w:color w:val="000000"/>
          <w:shd w:val="clear" w:color="auto" w:fill="FFFFFF"/>
        </w:rPr>
        <w:t xml:space="preserve">Μια άλλη κριτική που δέχτηκε το σύμφωνο έχει να κάνει με το γεγονός ότι δεν αντιμετώπισε το θέμα με τι πολύ μεγάλες τράπεζες όπου πολλές φορές διασώζονται με λεφτά των φορολογούμενων. </w:t>
      </w:r>
      <w:r w:rsidR="005933B9">
        <w:rPr>
          <w:color w:val="000000"/>
          <w:shd w:val="clear" w:color="auto" w:fill="FFFFFF"/>
        </w:rPr>
        <w:t>Κ</w:t>
      </w:r>
      <w:r w:rsidR="004F2675">
        <w:rPr>
          <w:color w:val="000000"/>
          <w:shd w:val="clear" w:color="auto" w:fill="FFFFFF"/>
        </w:rPr>
        <w:t xml:space="preserve">ατά τους </w:t>
      </w:r>
      <w:r w:rsidR="004F2675" w:rsidRPr="004F2675">
        <w:rPr>
          <w:color w:val="000000"/>
          <w:shd w:val="clear" w:color="auto" w:fill="FFFFFF"/>
        </w:rPr>
        <w:t>B</w:t>
      </w:r>
      <w:r w:rsidR="005933B9">
        <w:rPr>
          <w:color w:val="000000"/>
          <w:shd w:val="clear" w:color="auto" w:fill="FFFFFF"/>
        </w:rPr>
        <w:t>lundell-Wignall</w:t>
      </w:r>
      <w:r w:rsidR="004F2675" w:rsidRPr="004F2675">
        <w:rPr>
          <w:color w:val="000000"/>
          <w:shd w:val="clear" w:color="auto" w:fill="FFFFFF"/>
        </w:rPr>
        <w:t xml:space="preserve"> </w:t>
      </w:r>
      <w:r w:rsidR="004F2675">
        <w:rPr>
          <w:color w:val="000000"/>
          <w:shd w:val="clear" w:color="auto" w:fill="FFFFFF"/>
        </w:rPr>
        <w:t xml:space="preserve">&amp; </w:t>
      </w:r>
      <w:r w:rsidR="004F2675" w:rsidRPr="004F2675">
        <w:rPr>
          <w:color w:val="000000"/>
          <w:shd w:val="clear" w:color="auto" w:fill="FFFFFF"/>
        </w:rPr>
        <w:t>Atkinson</w:t>
      </w:r>
      <w:r w:rsidR="004F2675">
        <w:rPr>
          <w:color w:val="000000"/>
          <w:shd w:val="clear" w:color="auto" w:fill="FFFFFF"/>
        </w:rPr>
        <w:t xml:space="preserve"> (2010) </w:t>
      </w:r>
      <w:r w:rsidR="00D2470F">
        <w:rPr>
          <w:color w:val="000000"/>
          <w:shd w:val="clear" w:color="auto" w:fill="FFFFFF"/>
        </w:rPr>
        <w:t xml:space="preserve"> </w:t>
      </w:r>
      <w:r w:rsidR="004F2675">
        <w:rPr>
          <w:color w:val="000000"/>
          <w:shd w:val="clear" w:color="auto" w:fill="FFFFFF"/>
        </w:rPr>
        <w:t>η</w:t>
      </w:r>
      <w:r>
        <w:rPr>
          <w:color w:val="000000"/>
          <w:shd w:val="clear" w:color="auto" w:fill="FFFFFF"/>
        </w:rPr>
        <w:t xml:space="preserve"> ε</w:t>
      </w:r>
      <w:r w:rsidR="00D2470F">
        <w:rPr>
          <w:color w:val="000000"/>
          <w:shd w:val="clear" w:color="auto" w:fill="FFFFFF"/>
        </w:rPr>
        <w:t xml:space="preserve">φαρμογή του εποπτικού πλαισίου </w:t>
      </w:r>
      <w:r>
        <w:rPr>
          <w:color w:val="000000"/>
          <w:shd w:val="clear" w:color="auto" w:fill="FFFFFF"/>
        </w:rPr>
        <w:t xml:space="preserve">κρίνεται επιβεβλημένη και σε μη τραπεζικούς  χρηματοπιστωτικούς οργανισμούς διότι σε διαφορετική περίπτωση </w:t>
      </w:r>
      <w:r>
        <w:rPr>
          <w:color w:val="000000"/>
          <w:shd w:val="clear" w:color="auto" w:fill="FFFFFF"/>
        </w:rPr>
        <w:lastRenderedPageBreak/>
        <w:t>οι τράπεζες θα κληθούν να αντιμετωπίσουν αθέμιτο ανταγωνισμό ο οποίος θα συρρικνώσει το εποπτευόμενο τραπεζικό σύστημα προς όφελος του ανεξέλεγκτου μη τραπεζικού</w:t>
      </w:r>
      <w:r w:rsidR="004F2675">
        <w:rPr>
          <w:color w:val="000000"/>
          <w:shd w:val="clear" w:color="auto" w:fill="FFFFFF"/>
        </w:rPr>
        <w:t>.</w:t>
      </w:r>
    </w:p>
    <w:p w:rsidR="007D6964" w:rsidRPr="005933B9" w:rsidRDefault="004F2675" w:rsidP="005933B9">
      <w:pPr>
        <w:autoSpaceDE w:val="0"/>
        <w:autoSpaceDN w:val="0"/>
        <w:adjustRightInd w:val="0"/>
        <w:spacing w:line="360" w:lineRule="auto"/>
        <w:ind w:firstLine="720"/>
        <w:jc w:val="both"/>
        <w:rPr>
          <w:color w:val="000000"/>
          <w:shd w:val="clear" w:color="auto" w:fill="FFFFFF"/>
        </w:rPr>
      </w:pPr>
      <w:r>
        <w:rPr>
          <w:color w:val="000000"/>
          <w:shd w:val="clear" w:color="auto" w:fill="FFFFFF"/>
        </w:rPr>
        <w:t>Αναμφίβολα όμως οι αλλαγές στο εποπτικό πλαίσιο των τραπεζών θα έχουν πολύ μεγάλες επιπτώσεις θετικές και αρνητικές τόσο στην παγκόσμια οικονομία, όσο και στο ίδιο το χρηματοπιστωτικό σύστημα τις οποίες μένει να δούμε στην πράξη.</w:t>
      </w:r>
    </w:p>
    <w:p w:rsidR="00022B4A" w:rsidRPr="000F319A" w:rsidRDefault="00022B4A" w:rsidP="00022B4A"/>
    <w:tbl>
      <w:tblPr>
        <w:tblStyle w:val="af3"/>
        <w:tblW w:w="0" w:type="auto"/>
        <w:tblLook w:val="04A0"/>
      </w:tblPr>
      <w:tblGrid>
        <w:gridCol w:w="8528"/>
      </w:tblGrid>
      <w:tr w:rsidR="002F7261" w:rsidRPr="002F7261" w:rsidTr="002F7261">
        <w:tc>
          <w:tcPr>
            <w:tcW w:w="8528" w:type="dxa"/>
          </w:tcPr>
          <w:p w:rsidR="002F7261" w:rsidRPr="00AE6135" w:rsidRDefault="002F7261" w:rsidP="002F7261">
            <w:pPr>
              <w:autoSpaceDE w:val="0"/>
              <w:autoSpaceDN w:val="0"/>
              <w:adjustRightInd w:val="0"/>
              <w:spacing w:line="360" w:lineRule="auto"/>
              <w:jc w:val="both"/>
              <w:rPr>
                <w:rFonts w:ascii="Times New Roman" w:hAnsi="Times New Roman"/>
                <w:b/>
                <w:i/>
                <w:color w:val="000000"/>
                <w:shd w:val="clear" w:color="auto" w:fill="FFFFFF"/>
              </w:rPr>
            </w:pPr>
            <w:r w:rsidRPr="002F7261">
              <w:rPr>
                <w:rFonts w:ascii="Times New Roman" w:hAnsi="Times New Roman"/>
                <w:b/>
                <w:i/>
                <w:color w:val="000000"/>
                <w:shd w:val="clear" w:color="auto" w:fill="FFFFFF"/>
              </w:rPr>
              <w:t>Πλαίσιο Αν</w:t>
            </w:r>
            <w:r w:rsidR="00AE6135">
              <w:rPr>
                <w:rFonts w:ascii="Times New Roman" w:hAnsi="Times New Roman"/>
                <w:b/>
                <w:i/>
                <w:color w:val="000000"/>
                <w:shd w:val="clear" w:color="auto" w:fill="FFFFFF"/>
              </w:rPr>
              <w:t>άλυσης 2</w:t>
            </w:r>
          </w:p>
          <w:p w:rsidR="002F7261" w:rsidRPr="002F7261" w:rsidRDefault="002F7261" w:rsidP="002F7261">
            <w:pPr>
              <w:autoSpaceDE w:val="0"/>
              <w:autoSpaceDN w:val="0"/>
              <w:adjustRightInd w:val="0"/>
              <w:spacing w:line="360" w:lineRule="auto"/>
              <w:jc w:val="both"/>
              <w:rPr>
                <w:rFonts w:ascii="Times New Roman" w:hAnsi="Times New Roman"/>
                <w:b/>
                <w:i/>
                <w:color w:val="000000"/>
                <w:shd w:val="clear" w:color="auto" w:fill="FFFFFF"/>
              </w:rPr>
            </w:pPr>
            <w:r w:rsidRPr="002F7261">
              <w:rPr>
                <w:b/>
                <w:i/>
                <w:color w:val="000000"/>
                <w:shd w:val="clear" w:color="auto" w:fill="FFFFFF"/>
              </w:rPr>
              <w:t>«</w:t>
            </w:r>
            <w:r w:rsidRPr="002F7261">
              <w:rPr>
                <w:rFonts w:ascii="Times New Roman" w:hAnsi="Times New Roman"/>
                <w:b/>
                <w:i/>
                <w:color w:val="000000"/>
                <w:shd w:val="clear" w:color="auto" w:fill="FFFFFF"/>
              </w:rPr>
              <w:t>Οχι» σε αυστηρότερη Βασιλεία ΙΙΙ</w:t>
            </w:r>
          </w:p>
          <w:p w:rsidR="002F7261" w:rsidRDefault="002F7261" w:rsidP="002F7261">
            <w:pPr>
              <w:rPr>
                <w:rStyle w:val="item-source"/>
                <w:color w:val="999999"/>
              </w:rPr>
            </w:pPr>
            <w:r>
              <w:rPr>
                <w:rStyle w:val="item-source"/>
                <w:color w:val="999999"/>
              </w:rPr>
              <w:t>Bloomberg</w:t>
            </w:r>
          </w:p>
          <w:p w:rsidR="002F7261" w:rsidRPr="002F7261" w:rsidRDefault="002F7261" w:rsidP="002F7261">
            <w:pPr>
              <w:rPr>
                <w:color w:val="999999"/>
              </w:rPr>
            </w:pPr>
            <w:r w:rsidRPr="002F7261">
              <w:rPr>
                <w:color w:val="999999"/>
              </w:rPr>
              <w:t>Έντυπη έκδοση Καθημερινή</w:t>
            </w:r>
          </w:p>
          <w:p w:rsidR="002F7261" w:rsidRPr="002F7261" w:rsidRDefault="002F7261" w:rsidP="002F7261">
            <w:pPr>
              <w:rPr>
                <w:color w:val="999999"/>
              </w:rPr>
            </w:pPr>
            <w:r w:rsidRPr="002F7261">
              <w:rPr>
                <w:color w:val="999999"/>
              </w:rPr>
              <w:t>Στήλη Διεθνής Οικονομία 12/10/2010</w:t>
            </w:r>
          </w:p>
          <w:p w:rsidR="002F7261" w:rsidRDefault="00177F7A" w:rsidP="002F7261">
            <w:pPr>
              <w:rPr>
                <w:color w:val="999999"/>
              </w:rPr>
            </w:pPr>
            <w:hyperlink r:id="rId9" w:history="1">
              <w:r w:rsidR="002F7261" w:rsidRPr="009F4B40">
                <w:rPr>
                  <w:rStyle w:val="-"/>
                </w:rPr>
                <w:t>http://www.kathimerini.gr/407593/article/oikonomia/die8nhs-oikonomia/oxi-se-aysthroterh-vasileia-iii</w:t>
              </w:r>
            </w:hyperlink>
          </w:p>
          <w:p w:rsidR="002F7261" w:rsidRPr="002F7261" w:rsidRDefault="002F7261" w:rsidP="002F7261">
            <w:pPr>
              <w:rPr>
                <w:color w:val="999999"/>
              </w:rPr>
            </w:pPr>
          </w:p>
          <w:p w:rsidR="002F7261" w:rsidRPr="002F7261" w:rsidRDefault="002F7261" w:rsidP="002F7261">
            <w:pPr>
              <w:autoSpaceDE w:val="0"/>
              <w:autoSpaceDN w:val="0"/>
              <w:adjustRightInd w:val="0"/>
              <w:spacing w:line="360" w:lineRule="auto"/>
              <w:ind w:firstLine="720"/>
              <w:jc w:val="both"/>
              <w:rPr>
                <w:rFonts w:ascii="Times New Roman" w:hAnsi="Times New Roman"/>
                <w:color w:val="000000"/>
                <w:shd w:val="clear" w:color="auto" w:fill="FFFFFF"/>
              </w:rPr>
            </w:pPr>
            <w:r w:rsidRPr="002F7261">
              <w:rPr>
                <w:rFonts w:ascii="Times New Roman" w:hAnsi="Times New Roman"/>
                <w:color w:val="000000"/>
                <w:shd w:val="clear" w:color="auto" w:fill="FFFFFF"/>
              </w:rPr>
              <w:t>Οι εποπτικές τραπεζικές αρχές μπορεί να θέσουν σε κίνδυνο μια ήδη εύθραυστη οικονομική ανάκαμψη εάν προχωρήσουν στην επιβολή νέων και αυστηρότερων κανόνων για τα κεφάλαια και τη ρευστότητα των τραπεζών, πέραν εκείνων που έχουν συμφωνηθεί διεθνώς, επισήμαναν κάποιοι από τους ισχυρότερους τραπεζίτες του κόσμου σε συνέδριο που πραγματοποιήθηκε υπό την αιγίδα του Ινστιτούτου Διεθνών Χρηματοοικονομικών (ΙΙF) στην Ουάσιγκτον.</w:t>
            </w:r>
          </w:p>
          <w:p w:rsidR="002F7261" w:rsidRPr="002F7261" w:rsidRDefault="002F7261" w:rsidP="002F7261">
            <w:pPr>
              <w:autoSpaceDE w:val="0"/>
              <w:autoSpaceDN w:val="0"/>
              <w:adjustRightInd w:val="0"/>
              <w:spacing w:line="360" w:lineRule="auto"/>
              <w:ind w:firstLine="720"/>
              <w:jc w:val="both"/>
              <w:rPr>
                <w:rFonts w:ascii="Times New Roman" w:hAnsi="Times New Roman"/>
                <w:color w:val="000000"/>
                <w:shd w:val="clear" w:color="auto" w:fill="FFFFFF"/>
              </w:rPr>
            </w:pPr>
            <w:r w:rsidRPr="002F7261">
              <w:rPr>
                <w:rFonts w:ascii="Times New Roman" w:hAnsi="Times New Roman"/>
                <w:color w:val="000000"/>
                <w:shd w:val="clear" w:color="auto" w:fill="FFFFFF"/>
              </w:rPr>
              <w:t xml:space="preserve">«Υπάρχει μια ανησυχία που απορρέει από τον συντονισμό των κρατών με στόχο τη λήψη περαιτέρω μέτρων σε μονομερή βάση, πέραν των διεθνών ορίων», δήλωσε ο επικεφαλής της Deutsche Bank, Γιόζεφ Ακερμαν, ο οποίος έχει αναλάβει, επίσης, την προεδρία του IIF, ενός ινστιτούτου που εκπροσωπεί πάνω από 400 χρηματοπιστωτικά ιδρύματα. «Οι τράπεζες θα υπαχθούν σε ένα νέο ρυθμιστικό πλαίσιο σε κάθε περιφέρεια όπου δραστηριοποιούνται, ανεξαρτήτως έδρας. Αυτό θα στερήσει δάνεια από τις εταιρείες και θα πλήξει τη δημιουργία θέσεων εργασίας», προσέθεσε ο κ. Ακερμαν. </w:t>
            </w:r>
          </w:p>
          <w:p w:rsidR="002F7261" w:rsidRPr="002F7261" w:rsidRDefault="002F7261" w:rsidP="002F7261">
            <w:pPr>
              <w:autoSpaceDE w:val="0"/>
              <w:autoSpaceDN w:val="0"/>
              <w:adjustRightInd w:val="0"/>
              <w:spacing w:line="360" w:lineRule="auto"/>
              <w:ind w:firstLine="720"/>
              <w:jc w:val="both"/>
              <w:rPr>
                <w:rFonts w:ascii="Times New Roman" w:hAnsi="Times New Roman"/>
                <w:color w:val="000000"/>
                <w:shd w:val="clear" w:color="auto" w:fill="FFFFFF"/>
              </w:rPr>
            </w:pPr>
            <w:r w:rsidRPr="002F7261">
              <w:rPr>
                <w:rFonts w:ascii="Times New Roman" w:hAnsi="Times New Roman"/>
                <w:color w:val="000000"/>
                <w:shd w:val="clear" w:color="auto" w:fill="FFFFFF"/>
              </w:rPr>
              <w:t>Τον περασμένο μήνα, η Επιτροπή της Βασιλείας ανακοίνωσε δέσμη νέων μέτρων για τη λειτουργία των τραπεζών κάτω από αυστηρότερους κανόνες κεφαλαιακής επάρκειας, με στόχο την αποτελεσματικότερη θωράκιση του συστήματος προκειμένου να μην επαναληφθεί μια κρίση σαν την τελευταία.</w:t>
            </w:r>
          </w:p>
          <w:p w:rsidR="002F7261" w:rsidRPr="002F7261" w:rsidRDefault="002F7261" w:rsidP="002F7261">
            <w:pPr>
              <w:autoSpaceDE w:val="0"/>
              <w:autoSpaceDN w:val="0"/>
              <w:adjustRightInd w:val="0"/>
              <w:spacing w:line="360" w:lineRule="auto"/>
              <w:ind w:firstLine="720"/>
              <w:jc w:val="both"/>
              <w:rPr>
                <w:rFonts w:ascii="Times New Roman" w:hAnsi="Times New Roman"/>
                <w:color w:val="000000"/>
                <w:shd w:val="clear" w:color="auto" w:fill="FFFFFF"/>
              </w:rPr>
            </w:pPr>
            <w:r w:rsidRPr="002F7261">
              <w:rPr>
                <w:rFonts w:ascii="Times New Roman" w:hAnsi="Times New Roman"/>
                <w:color w:val="000000"/>
                <w:shd w:val="clear" w:color="auto" w:fill="FFFFFF"/>
              </w:rPr>
              <w:t xml:space="preserve"> Βάσει της Βασιλείας ΙΙΙ, το ποσοστό των κοινών μετοχών μιας τράπεζας ως προς το σταθμισμένο ενεργητικό της, όπου γίνεται αποτίμηση του πιστωτικού κινδύνου σε όλο το εύρος του χαρτοφυλακίου δανείων, θα πρέπει να φθάνει το 7%, ενώ στην Ελβετία προτάθηκε αύξηση στο 10%.</w:t>
            </w:r>
          </w:p>
          <w:p w:rsidR="002F7261" w:rsidRPr="002F7261" w:rsidRDefault="002F7261" w:rsidP="00022B4A"/>
        </w:tc>
      </w:tr>
    </w:tbl>
    <w:p w:rsidR="002F7261" w:rsidRPr="002F7261" w:rsidRDefault="002F7261" w:rsidP="00022B4A"/>
    <w:p w:rsidR="002F7261" w:rsidRPr="002F7261" w:rsidRDefault="002F7261" w:rsidP="00022B4A"/>
    <w:p w:rsidR="00B85273" w:rsidRPr="003C40B1" w:rsidRDefault="00B85273" w:rsidP="00C51572"/>
    <w:p w:rsidR="00460FE5" w:rsidRPr="00460FE5" w:rsidRDefault="00460FE5" w:rsidP="00460FE5">
      <w:pPr>
        <w:pStyle w:val="2"/>
        <w:spacing w:before="0" w:after="0" w:line="360" w:lineRule="auto"/>
        <w:jc w:val="both"/>
        <w:rPr>
          <w:rFonts w:ascii="Times New Roman" w:hAnsi="Times New Roman" w:cs="Times New Roman"/>
          <w:i w:val="0"/>
          <w:sz w:val="24"/>
          <w:szCs w:val="24"/>
        </w:rPr>
      </w:pPr>
      <w:bookmarkStart w:id="14" w:name="_Toc396034958"/>
      <w:r>
        <w:rPr>
          <w:rFonts w:ascii="Times New Roman" w:hAnsi="Times New Roman" w:cs="Times New Roman"/>
          <w:i w:val="0"/>
          <w:sz w:val="24"/>
          <w:szCs w:val="24"/>
        </w:rPr>
        <w:t>6.</w:t>
      </w:r>
      <w:r w:rsidR="007533D5">
        <w:rPr>
          <w:rFonts w:ascii="Times New Roman" w:hAnsi="Times New Roman" w:cs="Times New Roman"/>
          <w:i w:val="0"/>
          <w:sz w:val="24"/>
          <w:szCs w:val="24"/>
        </w:rPr>
        <w:t>4</w:t>
      </w:r>
      <w:r>
        <w:rPr>
          <w:rFonts w:ascii="Times New Roman" w:hAnsi="Times New Roman" w:cs="Times New Roman"/>
          <w:i w:val="0"/>
          <w:sz w:val="24"/>
          <w:szCs w:val="24"/>
        </w:rPr>
        <w:t>.4</w:t>
      </w:r>
      <w:r w:rsidRPr="00580915">
        <w:rPr>
          <w:rFonts w:ascii="Times New Roman" w:hAnsi="Times New Roman" w:cs="Times New Roman"/>
          <w:i w:val="0"/>
          <w:sz w:val="24"/>
          <w:szCs w:val="24"/>
        </w:rPr>
        <w:t xml:space="preserve"> </w:t>
      </w:r>
      <w:r>
        <w:rPr>
          <w:rFonts w:ascii="Times New Roman" w:hAnsi="Times New Roman" w:cs="Times New Roman"/>
          <w:i w:val="0"/>
          <w:sz w:val="24"/>
          <w:szCs w:val="24"/>
        </w:rPr>
        <w:t xml:space="preserve">Η </w:t>
      </w:r>
      <w:r w:rsidR="000414F6">
        <w:rPr>
          <w:rFonts w:ascii="Times New Roman" w:hAnsi="Times New Roman" w:cs="Times New Roman"/>
          <w:i w:val="0"/>
          <w:sz w:val="24"/>
          <w:szCs w:val="24"/>
        </w:rPr>
        <w:t xml:space="preserve">έννοια της </w:t>
      </w:r>
      <w:r>
        <w:rPr>
          <w:rFonts w:ascii="Times New Roman" w:hAnsi="Times New Roman" w:cs="Times New Roman"/>
          <w:i w:val="0"/>
          <w:sz w:val="24"/>
          <w:szCs w:val="24"/>
        </w:rPr>
        <w:t>αξία</w:t>
      </w:r>
      <w:r w:rsidR="000414F6">
        <w:rPr>
          <w:rFonts w:ascii="Times New Roman" w:hAnsi="Times New Roman" w:cs="Times New Roman"/>
          <w:i w:val="0"/>
          <w:sz w:val="24"/>
          <w:szCs w:val="24"/>
        </w:rPr>
        <w:t>ς</w:t>
      </w:r>
      <w:r>
        <w:rPr>
          <w:rFonts w:ascii="Times New Roman" w:hAnsi="Times New Roman" w:cs="Times New Roman"/>
          <w:i w:val="0"/>
          <w:sz w:val="24"/>
          <w:szCs w:val="24"/>
        </w:rPr>
        <w:t xml:space="preserve"> σε κίνδυνο</w:t>
      </w:r>
      <w:bookmarkEnd w:id="14"/>
    </w:p>
    <w:p w:rsidR="0048512F" w:rsidRDefault="00D4417C" w:rsidP="0048512F">
      <w:pPr>
        <w:autoSpaceDE w:val="0"/>
        <w:autoSpaceDN w:val="0"/>
        <w:adjustRightInd w:val="0"/>
        <w:spacing w:line="360" w:lineRule="auto"/>
        <w:ind w:firstLine="720"/>
        <w:jc w:val="both"/>
      </w:pPr>
      <w:r>
        <w:t xml:space="preserve">Ο όρος κίνδυνος αγοράς ενός χαρτοφυλακίου αναφέρεται στην πιθανότητα χρηματοοικονομικών απωλειών εξαιτίας μιας </w:t>
      </w:r>
      <w:r w:rsidR="00B5505B">
        <w:t xml:space="preserve">μη αναμενόμενης μεταβολής </w:t>
      </w:r>
      <w:r w:rsidR="0048512F">
        <w:t>στην τιμή κάποιας θέσης</w:t>
      </w:r>
      <w:r>
        <w:t>.</w:t>
      </w:r>
      <w:r w:rsidR="0048512F">
        <w:t xml:space="preserve"> Η αυξημένη χρήση της αγοράς παραγώγων </w:t>
      </w:r>
      <w:r>
        <w:t>(</w:t>
      </w:r>
      <w:r w:rsidR="0048512F">
        <w:rPr>
          <w:lang w:val="en-US"/>
        </w:rPr>
        <w:t>derivative</w:t>
      </w:r>
      <w:r w:rsidR="0048512F">
        <w:t xml:space="preserve"> </w:t>
      </w:r>
      <w:r w:rsidR="0048512F">
        <w:rPr>
          <w:lang w:val="en-US"/>
        </w:rPr>
        <w:t>market</w:t>
      </w:r>
      <w:r w:rsidRPr="00125DFC">
        <w:t>)</w:t>
      </w:r>
      <w:r w:rsidR="0048512F" w:rsidRPr="0048512F">
        <w:t xml:space="preserve"> </w:t>
      </w:r>
      <w:r w:rsidR="0048512F">
        <w:t>σε κερδοσκοπικές στρατηγικές</w:t>
      </w:r>
      <w:r>
        <w:t xml:space="preserve"> σε συνδυασμό με την ανεπάρκεια του ρυθμιστικού-κανονιστικού πλαισίου </w:t>
      </w:r>
      <w:r w:rsidR="0048512F">
        <w:t>τα πρώτα χρόνια ανάπτυξης των αγορών διεθνώς, κατέστησαν αναγκαία την εξεύρεση</w:t>
      </w:r>
      <w:r>
        <w:t xml:space="preserve"> τεχνικών ποσοτικοποίησης και διαχείρισης του κινδύνου της αγοράς</w:t>
      </w:r>
      <w:r w:rsidR="0048512F">
        <w:t xml:space="preserve"> για τα τραπεζικά ιδρύματα</w:t>
      </w:r>
      <w:r>
        <w:t>.</w:t>
      </w:r>
      <w:r w:rsidR="0048512F">
        <w:t xml:space="preserve"> </w:t>
      </w:r>
      <w:r>
        <w:t>Η ποσοτικοποίηση του κινδύνου αγοράς είναι σημαντική τόσο για τους χρηματοοικονομικούς οργανισμούς, όσο και για τις ρυθμιστικές αρχές, ώστε να εξασφαλίζεται η επάρκεια των χρηματοοικονομικών ροών και η ασφάλεια των κεφαλαίων.</w:t>
      </w:r>
    </w:p>
    <w:p w:rsidR="00A65E0E" w:rsidRPr="00362D56" w:rsidRDefault="00D4417C" w:rsidP="00A65E0E">
      <w:pPr>
        <w:autoSpaceDE w:val="0"/>
        <w:autoSpaceDN w:val="0"/>
        <w:adjustRightInd w:val="0"/>
        <w:spacing w:line="360" w:lineRule="auto"/>
        <w:ind w:firstLine="720"/>
        <w:jc w:val="both"/>
      </w:pPr>
      <w:r>
        <w:t xml:space="preserve">Κατά τον </w:t>
      </w:r>
      <w:r w:rsidRPr="001317A2">
        <w:rPr>
          <w:lang w:val="en-US"/>
        </w:rPr>
        <w:t>Best</w:t>
      </w:r>
      <w:r w:rsidR="00AE6135">
        <w:t xml:space="preserve"> (2000)</w:t>
      </w:r>
      <w:r w:rsidR="0048512F">
        <w:t xml:space="preserve"> η αξία σε κίνδυνο</w:t>
      </w:r>
      <w:r w:rsidRPr="001317A2">
        <w:t xml:space="preserve"> </w:t>
      </w:r>
      <w:r w:rsidR="0048512F" w:rsidRPr="0048512F">
        <w:t>(</w:t>
      </w:r>
      <w:r w:rsidRPr="001317A2">
        <w:t>Value at Risk</w:t>
      </w:r>
      <w:r w:rsidR="0048512F">
        <w:t xml:space="preserve"> </w:t>
      </w:r>
      <w:r w:rsidR="0048512F">
        <w:rPr>
          <w:lang w:val="en-US"/>
        </w:rPr>
        <w:t>Va</w:t>
      </w:r>
      <w:r>
        <w:rPr>
          <w:lang w:val="en-US"/>
        </w:rPr>
        <w:t>R</w:t>
      </w:r>
      <w:r w:rsidRPr="00B972DA">
        <w:t>)</w:t>
      </w:r>
      <w:r w:rsidRPr="001317A2">
        <w:t>, είναι το μέγιστο ποσό χ</w:t>
      </w:r>
      <w:r w:rsidR="0048512F">
        <w:t xml:space="preserve">ρημάτων που μπορεί να απολέσει </w:t>
      </w:r>
      <w:r w:rsidRPr="001317A2">
        <w:t>ένα συγκεκριμένο χαρτοφυλάκιο κατά τη διάρκ</w:t>
      </w:r>
      <w:r>
        <w:t xml:space="preserve">εια μιας συγκεκριμένης χρονικής </w:t>
      </w:r>
      <w:r w:rsidRPr="001317A2">
        <w:t>περιόδου, δεδομένου ενός επιπέδου εμπιστοσύνης.</w:t>
      </w:r>
      <w:r>
        <w:t xml:space="preserve">  Ειδικότερα, αποτελεί μια στατιστική εκτίμησης, η οποία υπολογίζει, μέσα σε συγκεκριμένο διάστημα εμπιστοσύνης (π.χ. 95%), το χρηματικό ποσό σε ένα συγκεκριμένο νόμισμα, το οποίο </w:t>
      </w:r>
      <w:r w:rsidR="0048512F">
        <w:t>ένα χρηματοπιστωτικό ίδρυμα μπορεί</w:t>
      </w:r>
      <w:r>
        <w:t xml:space="preserve"> να χάσει σε έν</w:t>
      </w:r>
      <w:r w:rsidR="0048512F">
        <w:t>α συγκεκριμένο χρονικό ορίζοντα,</w:t>
      </w:r>
      <w:r>
        <w:t xml:space="preserve"> εξαιτίας των δυνητικών μεταβολών στις αγοραίες τιμές των υποκειμένων τίτλων (</w:t>
      </w:r>
      <w:r>
        <w:rPr>
          <w:lang w:val="en-US"/>
        </w:rPr>
        <w:t>Jorion</w:t>
      </w:r>
      <w:r w:rsidRPr="001317A2">
        <w:t>, 1996).</w:t>
      </w:r>
      <w:r w:rsidR="00A65E0E" w:rsidRPr="00A65E0E">
        <w:t xml:space="preserve"> </w:t>
      </w:r>
    </w:p>
    <w:p w:rsidR="009D2576" w:rsidRDefault="00D4417C" w:rsidP="00A65E0E">
      <w:pPr>
        <w:autoSpaceDE w:val="0"/>
        <w:autoSpaceDN w:val="0"/>
        <w:adjustRightInd w:val="0"/>
        <w:spacing w:line="360" w:lineRule="auto"/>
        <w:ind w:firstLine="720"/>
        <w:jc w:val="both"/>
      </w:pPr>
      <w:r>
        <w:t xml:space="preserve">Συχνά το </w:t>
      </w:r>
      <w:r w:rsidR="00D2470F">
        <w:rPr>
          <w:lang w:val="en-US"/>
        </w:rPr>
        <w:t>Va</w:t>
      </w:r>
      <w:r>
        <w:rPr>
          <w:lang w:val="en-US"/>
        </w:rPr>
        <w:t>R</w:t>
      </w:r>
      <w:r>
        <w:t xml:space="preserve"> υπολογίζεται για χρονική περίοδο μίας ημέρας, γνωστή και ως περίοδος διακράτησης (</w:t>
      </w:r>
      <w:r>
        <w:rPr>
          <w:lang w:val="en-US"/>
        </w:rPr>
        <w:t>holding</w:t>
      </w:r>
      <w:r w:rsidRPr="00BA4FFF">
        <w:t xml:space="preserve"> </w:t>
      </w:r>
      <w:r>
        <w:rPr>
          <w:lang w:val="en-US"/>
        </w:rPr>
        <w:t>period</w:t>
      </w:r>
      <w:r>
        <w:t xml:space="preserve">), και υπολογίζεται με 99% επίπεδο εμπιστοσύνης, που σημαίνει πως κατά μέσο όρο, υπάρχει 99% πιθανότητα να είναι κάποια απώλεια του χαρτοφυλακίου μικρότερη από την υπολογισμένη </w:t>
      </w:r>
      <w:r>
        <w:rPr>
          <w:lang w:val="en-US"/>
        </w:rPr>
        <w:t>VAR</w:t>
      </w:r>
      <w:r w:rsidRPr="00A87763">
        <w:t xml:space="preserve">. </w:t>
      </w:r>
      <w:r w:rsidR="009D2576">
        <w:t>Αντίθετα για επενδυτικά χαρτοφυλάκια που η έκθεση τους στον κίνδυνο δεν μεταβάλλεται συχνά μπορεί να επιλεγεί περίοδος ενός μήνα.</w:t>
      </w:r>
    </w:p>
    <w:p w:rsidR="00A65E0E" w:rsidRDefault="00A65E0E" w:rsidP="00A65E0E">
      <w:pPr>
        <w:autoSpaceDE w:val="0"/>
        <w:autoSpaceDN w:val="0"/>
        <w:adjustRightInd w:val="0"/>
        <w:spacing w:line="360" w:lineRule="auto"/>
        <w:ind w:firstLine="720"/>
        <w:jc w:val="both"/>
      </w:pPr>
      <w:r>
        <w:t xml:space="preserve">Ο ακριβής υπολογισμός του </w:t>
      </w:r>
      <w:r>
        <w:rPr>
          <w:lang w:val="en-US"/>
        </w:rPr>
        <w:t>V</w:t>
      </w:r>
      <w:r w:rsidR="00D2470F">
        <w:rPr>
          <w:lang w:val="en-US"/>
        </w:rPr>
        <w:t>a</w:t>
      </w:r>
      <w:r>
        <w:rPr>
          <w:lang w:val="en-US"/>
        </w:rPr>
        <w:t>R</w:t>
      </w:r>
      <w:r>
        <w:t xml:space="preserve"> ενός χαρτοφυλακίου εξαρτάται από μια σειρά υποθέσεων που ενδεικτικά αφορούν την κατανομή των μεταβλητών των τιμών, την έκταση κατά την οποία η σημερινή μεταβολή στην τιμή ενός περιουσιακού στοιχείου συσχετίζεται με τις μεταβολές στο παρελθόν</w:t>
      </w:r>
      <w:r w:rsidR="00D2470F">
        <w:t>, και άλλε</w:t>
      </w:r>
      <w:r w:rsidR="009D2576">
        <w:t xml:space="preserve">ς. </w:t>
      </w:r>
      <w:r>
        <w:t xml:space="preserve">Αξίζει να σημειωθεί </w:t>
      </w:r>
      <w:r w:rsidR="00D4417C">
        <w:t xml:space="preserve">ότι </w:t>
      </w:r>
      <w:r>
        <w:t>όσο μεγαλύτερη η περίοδος διακράτησης</w:t>
      </w:r>
      <w:r w:rsidR="00D4417C">
        <w:t xml:space="preserve"> είναι, τόσο μεγαλύτερη και</w:t>
      </w:r>
      <w:r>
        <w:t xml:space="preserve"> η </w:t>
      </w:r>
      <w:r>
        <w:lastRenderedPageBreak/>
        <w:t>αξία σε κίνδυνο. Το</w:t>
      </w:r>
      <w:r w:rsidR="00D4417C">
        <w:t xml:space="preserve"> διάστημα εμπιστοσύνης είναι επίσης σημαντικό,</w:t>
      </w:r>
      <w:r>
        <w:t xml:space="preserve"> καθώς</w:t>
      </w:r>
      <w:r w:rsidR="00D4417C">
        <w:t xml:space="preserve"> 95% επίπεδο εμπιστοσύνης σημαίνει πως το υπόλοιπο 5% αντιστοιχεί σε </w:t>
      </w:r>
      <w:r>
        <w:t>μία ημέρα στις 20, ενώ το</w:t>
      </w:r>
      <w:r w:rsidR="00D4417C">
        <w:t xml:space="preserve"> 99% επίπεδο εμπιστοσύνης σημαίνει πως το υπόλοιπο 1% αντιστοιχεί σε μία ημέρα στις 100</w:t>
      </w:r>
      <w:r>
        <w:t xml:space="preserve">. </w:t>
      </w:r>
    </w:p>
    <w:p w:rsidR="00DA495B" w:rsidRDefault="00D4417C" w:rsidP="009D2576">
      <w:pPr>
        <w:autoSpaceDE w:val="0"/>
        <w:autoSpaceDN w:val="0"/>
        <w:adjustRightInd w:val="0"/>
        <w:spacing w:line="360" w:lineRule="auto"/>
        <w:ind w:firstLine="720"/>
        <w:jc w:val="both"/>
      </w:pPr>
      <w:r>
        <w:t>Παρά το γεγονός ότι ο ορισμός του V</w:t>
      </w:r>
      <w:r w:rsidR="00D2470F">
        <w:rPr>
          <w:lang w:val="en-US"/>
        </w:rPr>
        <w:t>a</w:t>
      </w:r>
      <w:r>
        <w:t>R είναι σχετικά απλός υπάρχουν πολλές διαφορετικές προσεγγίσεις στον υπολογισμό του. Η βασική τους διάφορα είναι ο τρόπος υπολογισμού της κατανομής των αποδόσεων του χαρτοφυλακίου, μερικές μέθοδοι υποθέτουν κάποιες δεδομένες κατανομές για τις αποδό</w:t>
      </w:r>
      <w:r w:rsidR="00D2470F">
        <w:t>σεις ( όπως κανονική, t κατανομή και άλλες</w:t>
      </w:r>
      <w:r>
        <w:t xml:space="preserve">), ενώ κάποιες άλλες βασίζονται σε μη παραμετρικές μεθόδους και δεν κάνουν κάποια υπόθεση για συγκεκριμένη κατανομή των αποδόσεων. </w:t>
      </w:r>
    </w:p>
    <w:p w:rsidR="00D4417C" w:rsidRDefault="00DA495B" w:rsidP="009D2576">
      <w:pPr>
        <w:autoSpaceDE w:val="0"/>
        <w:autoSpaceDN w:val="0"/>
        <w:adjustRightInd w:val="0"/>
        <w:spacing w:line="360" w:lineRule="auto"/>
        <w:ind w:firstLine="720"/>
        <w:jc w:val="both"/>
      </w:pPr>
      <w:r>
        <w:t>Κατά</w:t>
      </w:r>
      <w:r w:rsidRPr="00DA495B">
        <w:t xml:space="preserve"> </w:t>
      </w:r>
      <w:r>
        <w:t>τους</w:t>
      </w:r>
      <w:r w:rsidRPr="00DA495B">
        <w:t xml:space="preserve"> </w:t>
      </w:r>
      <w:r w:rsidRPr="009D2576">
        <w:t>Engle</w:t>
      </w:r>
      <w:r w:rsidRPr="00DA495B">
        <w:t xml:space="preserve"> </w:t>
      </w:r>
      <w:r>
        <w:t>και</w:t>
      </w:r>
      <w:r w:rsidRPr="00DA495B">
        <w:t xml:space="preserve"> </w:t>
      </w:r>
      <w:r w:rsidRPr="009D2576">
        <w:t>Manganelli</w:t>
      </w:r>
      <w:r w:rsidRPr="00DA495B">
        <w:t xml:space="preserve"> </w:t>
      </w:r>
      <w:r>
        <w:t>(</w:t>
      </w:r>
      <w:r w:rsidRPr="00DA495B">
        <w:t>2001)</w:t>
      </w:r>
      <w:r>
        <w:t xml:space="preserve"> μ</w:t>
      </w:r>
      <w:r w:rsidR="00D4417C">
        <w:t xml:space="preserve">πορούμε να χωρίσουμε τις διάφορες μεθοδολογίες σε </w:t>
      </w:r>
      <w:r w:rsidR="00E87600">
        <w:t>τρείς</w:t>
      </w:r>
      <w:r w:rsidR="00D4417C">
        <w:t xml:space="preserve"> γενικές κατηγορίες </w:t>
      </w:r>
      <w:r w:rsidR="00E87600">
        <w:t>τις μη παραμετρικές μεθόδους</w:t>
      </w:r>
      <w:r w:rsidRPr="00DA495B">
        <w:t xml:space="preserve"> </w:t>
      </w:r>
      <w:r>
        <w:t xml:space="preserve">(πχ. η μέθοδος Ιστορικής Προσομοίωσης - </w:t>
      </w:r>
      <w:r w:rsidRPr="004D3BF4">
        <w:t>Historical</w:t>
      </w:r>
      <w:r w:rsidRPr="009D2BFD">
        <w:t xml:space="preserve"> </w:t>
      </w:r>
      <w:r w:rsidRPr="004D3BF4">
        <w:t>Simulation</w:t>
      </w:r>
      <w:r w:rsidRPr="009D2BFD">
        <w:t xml:space="preserve"> </w:t>
      </w:r>
      <w:r>
        <w:t>και</w:t>
      </w:r>
      <w:r w:rsidRPr="009D2BFD">
        <w:t xml:space="preserve"> </w:t>
      </w:r>
      <w:r>
        <w:t>το</w:t>
      </w:r>
      <w:r w:rsidRPr="009D2BFD">
        <w:t xml:space="preserve"> </w:t>
      </w:r>
      <w:r>
        <w:t>Υβριδικό</w:t>
      </w:r>
      <w:r w:rsidRPr="009D2BFD">
        <w:t xml:space="preserve"> </w:t>
      </w:r>
      <w:r>
        <w:t>Μοντέλο -</w:t>
      </w:r>
      <w:r w:rsidRPr="004D3BF4">
        <w:t>Hybrid</w:t>
      </w:r>
      <w:r w:rsidRPr="009D2BFD">
        <w:t xml:space="preserve"> </w:t>
      </w:r>
      <w:r w:rsidRPr="004D3BF4">
        <w:t>Model</w:t>
      </w:r>
      <w:r w:rsidRPr="009D2BFD">
        <w:t>)</w:t>
      </w:r>
      <w:r w:rsidR="00E87600">
        <w:t>, τις παραμετρικές</w:t>
      </w:r>
      <w:r>
        <w:t xml:space="preserve"> (πχ η μεθοδολογία Risk Metrics)</w:t>
      </w:r>
      <w:r w:rsidR="00E87600">
        <w:t xml:space="preserve"> και τις ημι-παραμετρικές</w:t>
      </w:r>
      <w:r>
        <w:t xml:space="preserve"> (πχ. η θεωρία των ακραίων Τιμών - Extreme Value </w:t>
      </w:r>
      <w:r w:rsidRPr="004D3BF4">
        <w:t>Theory</w:t>
      </w:r>
      <w:r w:rsidRPr="009D2BFD">
        <w:t>)</w:t>
      </w:r>
      <w:r>
        <w:t>.</w:t>
      </w:r>
      <w:r w:rsidRPr="009D2BFD">
        <w:t xml:space="preserve"> </w:t>
      </w:r>
      <w:r w:rsidRPr="009D2576">
        <w:t xml:space="preserve"> </w:t>
      </w:r>
    </w:p>
    <w:p w:rsidR="00D4417C" w:rsidRDefault="00E87600" w:rsidP="009D2576">
      <w:pPr>
        <w:autoSpaceDE w:val="0"/>
        <w:autoSpaceDN w:val="0"/>
        <w:adjustRightInd w:val="0"/>
        <w:spacing w:line="360" w:lineRule="auto"/>
        <w:ind w:firstLine="720"/>
        <w:jc w:val="both"/>
      </w:pPr>
      <w:r>
        <w:t>Απ τις μη παραμετρικές μεθόδους</w:t>
      </w:r>
      <w:r w:rsidR="00DA495B">
        <w:t xml:space="preserve"> </w:t>
      </w:r>
      <w:r>
        <w:t xml:space="preserve">ενδεικτικά θα </w:t>
      </w:r>
      <w:r w:rsidR="007A5432">
        <w:t>αναφέρουμε</w:t>
      </w:r>
      <w:r>
        <w:t xml:space="preserve"> την μέθοδο της </w:t>
      </w:r>
      <w:r w:rsidRPr="009D2576">
        <w:t>ιστορικής προσομοίωσης</w:t>
      </w:r>
      <w:r>
        <w:t xml:space="preserve"> η οποία χρησιμοποιεί ιστορικές αποδόσεις και τις κατατάσσει από την χειρότερη προς την καλύτερη. Στο παρακάτω ιστόγραμμα παρουσιάζουμε την συχνότητα εμφάνισης των </w:t>
      </w:r>
      <w:r w:rsidR="007A5432">
        <w:t xml:space="preserve">ημερήσιων </w:t>
      </w:r>
      <w:r>
        <w:t>αποδόσεων της υποθετική</w:t>
      </w:r>
      <w:r w:rsidR="007A5432">
        <w:t>ς</w:t>
      </w:r>
      <w:r>
        <w:t xml:space="preserve"> μετοχής ΑΑΑ. </w:t>
      </w:r>
      <w:r w:rsidR="007A5432">
        <w:t xml:space="preserve">Όπως παρατηρούμε οι αποδόσεις μεταξύ 0% και 1% παρουσιάστηκαν για περισσότερες από 250 ημέρες, ενώ μεταξύ 4% και 5% για λίγο περισσότερο από 50 ημέρες. </w:t>
      </w:r>
      <w:r w:rsidR="00DA495B">
        <w:t>Αριστερά της κατανομής των απο</w:t>
      </w:r>
      <w:r w:rsidR="009D2576">
        <w:t>δόσεων μπορούμε να εντοπίσο</w:t>
      </w:r>
      <w:r w:rsidR="00D2470F">
        <w:t>υ</w:t>
      </w:r>
      <w:r w:rsidR="009D2576">
        <w:t>με</w:t>
      </w:r>
      <w:r w:rsidR="00DA495B">
        <w:t xml:space="preserve"> τις χειρότερες 5% των 1387 παρατηρήσεων που παριστάνουν απώλειες μεταξύ 4% και 8%. Έτσι μπορούμε να πούμε ότι σε επίπεδο σημαντικότητας 95% η μέγιστη ημερήσια ζημία δεν θα ξεπερνά το 4%. Δηλαδή εάν επενδύσουμε ένα ποσό 10.000 ευρώ η ζημιά μας δεν αναμένεται να ξεπεράσει τα 400 ευρώ με πιθανότητα 95%. Αυτά τα 400 ευρώ είναι η αξία σε κίνδυνο.</w:t>
      </w:r>
    </w:p>
    <w:p w:rsidR="009D2576" w:rsidRPr="009D2576" w:rsidRDefault="009D2576" w:rsidP="009D2576">
      <w:pPr>
        <w:autoSpaceDE w:val="0"/>
        <w:autoSpaceDN w:val="0"/>
        <w:adjustRightInd w:val="0"/>
        <w:spacing w:line="360" w:lineRule="auto"/>
        <w:ind w:firstLine="720"/>
        <w:jc w:val="both"/>
      </w:pPr>
    </w:p>
    <w:p w:rsidR="00E87600" w:rsidRPr="009D2576" w:rsidRDefault="00E87600" w:rsidP="004539E8">
      <w:pPr>
        <w:jc w:val="center"/>
        <w:rPr>
          <w:b/>
        </w:rPr>
      </w:pPr>
      <w:r w:rsidRPr="009D2576">
        <w:rPr>
          <w:b/>
        </w:rPr>
        <w:t xml:space="preserve">Γράφημα </w:t>
      </w:r>
      <w:r w:rsidR="00045DCB">
        <w:rPr>
          <w:b/>
        </w:rPr>
        <w:t>6.2</w:t>
      </w:r>
      <w:r w:rsidR="00E35128">
        <w:t xml:space="preserve"> Κατανομή η</w:t>
      </w:r>
      <w:r>
        <w:t>μερήσιων αποδόσεων μετοχής ΑΑΑ</w:t>
      </w:r>
    </w:p>
    <w:p w:rsidR="00E87600" w:rsidRDefault="009D2576" w:rsidP="00E87600">
      <w:pPr>
        <w:ind w:left="720"/>
        <w:jc w:val="center"/>
      </w:pPr>
      <w:r>
        <w:rPr>
          <w:noProof/>
        </w:rPr>
        <w:lastRenderedPageBreak/>
        <w:drawing>
          <wp:inline distT="0" distB="0" distL="0" distR="0">
            <wp:extent cx="4626721" cy="2948151"/>
            <wp:effectExtent l="19050" t="19050" r="21590" b="24130"/>
            <wp:docPr id="47139" name="Εικόνα 4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6_HistSimul.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102"/>
                    <a:stretch/>
                  </pic:blipFill>
                  <pic:spPr bwMode="auto">
                    <a:xfrm>
                      <a:off x="0" y="0"/>
                      <a:ext cx="4636186" cy="2954182"/>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87600" w:rsidRPr="00E87600" w:rsidRDefault="00E87600" w:rsidP="00E87600">
      <w:pPr>
        <w:ind w:left="720"/>
      </w:pPr>
    </w:p>
    <w:p w:rsidR="00892090" w:rsidRPr="006450D5" w:rsidRDefault="00892090" w:rsidP="00AC386B">
      <w:pPr>
        <w:autoSpaceDE w:val="0"/>
        <w:autoSpaceDN w:val="0"/>
        <w:adjustRightInd w:val="0"/>
        <w:spacing w:line="360" w:lineRule="auto"/>
        <w:ind w:firstLine="720"/>
        <w:jc w:val="both"/>
      </w:pPr>
      <w:r>
        <w:t>Από τις π</w:t>
      </w:r>
      <w:r w:rsidR="00E87600">
        <w:t>αραμε</w:t>
      </w:r>
      <w:r>
        <w:t>τρικές μέθοδους η προσέγγιστη της διακύμανσης-συνδιακύμανσης είναι παρόμοια με την ιστορική προσομοίωση μόνο που τώρα χρησιμοποιούμε την κανονική κατανομή για να περιγράψουμε τις αποδόσεις και γνωρίζουμε  που βρίσκονται στην καμπύλη το 1% και το 5% των χειρότερων περιπτώσεων. Στο παράδειγμα της μετοχής ΑΑΑ η ημερήσια τυπική απόκλιση των αποδόσεων είναι 2,64% και η μέση τιμή της είναι κοντά στο μηδέν.</w:t>
      </w:r>
      <w:r w:rsidR="006450D5">
        <w:t xml:space="preserve"> Έτσι μπορούμε να υπολογίσουμε την ημερήσια αξία σε κίνδυνο σε συγκεκριμένο διάστημα εμπιστοσύνης.</w:t>
      </w:r>
    </w:p>
    <w:p w:rsidR="00892090" w:rsidRPr="00892090" w:rsidRDefault="00892090" w:rsidP="00AC386B">
      <w:pPr>
        <w:autoSpaceDE w:val="0"/>
        <w:autoSpaceDN w:val="0"/>
        <w:adjustRightInd w:val="0"/>
        <w:spacing w:line="360" w:lineRule="auto"/>
        <w:ind w:firstLine="720"/>
        <w:jc w:val="both"/>
      </w:pPr>
      <w:r>
        <w:t xml:space="preserve">Η </w:t>
      </w:r>
      <w:r>
        <w:rPr>
          <w:lang w:val="en-US"/>
        </w:rPr>
        <w:t>VaR</w:t>
      </w:r>
      <w:r w:rsidRPr="00892090">
        <w:t xml:space="preserve"> </w:t>
      </w:r>
      <w:r>
        <w:t xml:space="preserve">στο 95% είναι -1,645 </w:t>
      </w:r>
      <w:r w:rsidRPr="00AC386B">
        <w:t>x</w:t>
      </w:r>
      <w:r w:rsidRPr="00892090">
        <w:t xml:space="preserve"> </w:t>
      </w:r>
      <w:r>
        <w:t xml:space="preserve">σ = </w:t>
      </w:r>
      <w:r w:rsidRPr="00892090">
        <w:t>-</w:t>
      </w:r>
      <w:r>
        <w:t xml:space="preserve">1,645 </w:t>
      </w:r>
      <w:r w:rsidRPr="00AC386B">
        <w:t>x</w:t>
      </w:r>
      <w:r w:rsidRPr="00892090">
        <w:t xml:space="preserve"> 2,64%=-4,34%</w:t>
      </w:r>
    </w:p>
    <w:p w:rsidR="00892090" w:rsidRDefault="00892090" w:rsidP="00AC386B">
      <w:pPr>
        <w:autoSpaceDE w:val="0"/>
        <w:autoSpaceDN w:val="0"/>
        <w:adjustRightInd w:val="0"/>
        <w:spacing w:line="360" w:lineRule="auto"/>
        <w:ind w:firstLine="720"/>
        <w:jc w:val="both"/>
      </w:pPr>
      <w:r>
        <w:t xml:space="preserve">Η </w:t>
      </w:r>
      <w:r w:rsidRPr="00AC386B">
        <w:t>VaR</w:t>
      </w:r>
      <w:r w:rsidRPr="00892090">
        <w:t xml:space="preserve"> </w:t>
      </w:r>
      <w:r>
        <w:t>στο 9</w:t>
      </w:r>
      <w:r w:rsidRPr="00892090">
        <w:t>9</w:t>
      </w:r>
      <w:r>
        <w:t>% είναι -</w:t>
      </w:r>
      <w:r w:rsidRPr="00892090">
        <w:t>2,33</w:t>
      </w:r>
      <w:r>
        <w:t xml:space="preserve"> </w:t>
      </w:r>
      <w:r w:rsidRPr="00AC386B">
        <w:t>x</w:t>
      </w:r>
      <w:r w:rsidRPr="00892090">
        <w:t xml:space="preserve"> </w:t>
      </w:r>
      <w:r>
        <w:t xml:space="preserve">σ = </w:t>
      </w:r>
      <w:r w:rsidRPr="00892090">
        <w:t>-2,33</w:t>
      </w:r>
      <w:r>
        <w:t xml:space="preserve"> </w:t>
      </w:r>
      <w:r w:rsidRPr="00AC386B">
        <w:t>x</w:t>
      </w:r>
      <w:r w:rsidRPr="00892090">
        <w:t xml:space="preserve"> 2,64%</w:t>
      </w:r>
      <w:r>
        <w:t>=-</w:t>
      </w:r>
      <w:r w:rsidRPr="00892090">
        <w:t>6</w:t>
      </w:r>
      <w:r>
        <w:t>,</w:t>
      </w:r>
      <w:r w:rsidRPr="00892090">
        <w:t>14%</w:t>
      </w:r>
    </w:p>
    <w:p w:rsidR="00E35128" w:rsidRDefault="00E35128" w:rsidP="00EF4093">
      <w:pPr>
        <w:ind w:left="720"/>
        <w:jc w:val="center"/>
        <w:rPr>
          <w:b/>
        </w:rPr>
      </w:pPr>
    </w:p>
    <w:p w:rsidR="00EF4093" w:rsidRPr="004A2B5F" w:rsidRDefault="00EF4093" w:rsidP="00EF4093">
      <w:pPr>
        <w:ind w:left="720"/>
        <w:jc w:val="center"/>
      </w:pPr>
      <w:r w:rsidRPr="00E87600">
        <w:rPr>
          <w:b/>
        </w:rPr>
        <w:t xml:space="preserve">Γράφημα </w:t>
      </w:r>
      <w:r w:rsidR="00045DCB">
        <w:rPr>
          <w:b/>
        </w:rPr>
        <w:t>6.3</w:t>
      </w:r>
      <w:r w:rsidR="00E35128">
        <w:t xml:space="preserve"> Κατανομή η</w:t>
      </w:r>
      <w:r>
        <w:t>μερήσιων αποδόσεων μετοχής ΑΑΑ</w:t>
      </w:r>
      <w:r w:rsidRPr="004A2B5F">
        <w:t xml:space="preserve"> </w:t>
      </w:r>
      <w:r>
        <w:t>και κανονική κατανομή</w:t>
      </w:r>
    </w:p>
    <w:p w:rsidR="00EF4093" w:rsidRPr="009D2576" w:rsidRDefault="00EF4093" w:rsidP="00EF4093">
      <w:pPr>
        <w:ind w:left="720"/>
        <w:jc w:val="center"/>
      </w:pPr>
      <w:r>
        <w:rPr>
          <w:noProof/>
        </w:rPr>
        <w:lastRenderedPageBreak/>
        <w:drawing>
          <wp:inline distT="0" distB="0" distL="0" distR="0">
            <wp:extent cx="4004442" cy="2548281"/>
            <wp:effectExtent l="19050" t="19050" r="15240" b="23495"/>
            <wp:docPr id="47120" name="Εικόνα 4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6_Normal.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731" r="3883" b="2402"/>
                    <a:stretch/>
                  </pic:blipFill>
                  <pic:spPr bwMode="auto">
                    <a:xfrm>
                      <a:off x="0" y="0"/>
                      <a:ext cx="3996868" cy="2543461"/>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F4093" w:rsidRDefault="00EF4093" w:rsidP="00EF4093">
      <w:pPr>
        <w:spacing w:after="240" w:line="480" w:lineRule="auto"/>
        <w:ind w:left="720"/>
        <w:contextualSpacing/>
        <w:jc w:val="both"/>
      </w:pPr>
    </w:p>
    <w:p w:rsidR="006450D5" w:rsidRDefault="003D44FC" w:rsidP="00AC386B">
      <w:pPr>
        <w:autoSpaceDE w:val="0"/>
        <w:autoSpaceDN w:val="0"/>
        <w:adjustRightInd w:val="0"/>
        <w:spacing w:line="360" w:lineRule="auto"/>
        <w:ind w:firstLine="720"/>
        <w:jc w:val="both"/>
      </w:pPr>
      <w:r>
        <w:t>Αντίστοιχα η αξία σε κίνδ</w:t>
      </w:r>
      <w:r w:rsidR="006450D5">
        <w:t>υ</w:t>
      </w:r>
      <w:r>
        <w:t>ν</w:t>
      </w:r>
      <w:r w:rsidR="006450D5">
        <w:t>ο σε μηνιαία βάση υποθέτοντας 20 εργάσιμες ημέρες θα είναι:</w:t>
      </w:r>
    </w:p>
    <w:p w:rsidR="006450D5" w:rsidRDefault="006450D5" w:rsidP="00AC386B">
      <w:pPr>
        <w:autoSpaceDE w:val="0"/>
        <w:autoSpaceDN w:val="0"/>
        <w:adjustRightInd w:val="0"/>
        <w:spacing w:line="360" w:lineRule="auto"/>
        <w:ind w:firstLine="720"/>
        <w:jc w:val="both"/>
      </w:pPr>
      <w:r>
        <w:t xml:space="preserve">Η </w:t>
      </w:r>
      <w:r w:rsidRPr="00AC386B">
        <w:t>VaR</w:t>
      </w:r>
      <w:r w:rsidRPr="00892090">
        <w:t xml:space="preserve"> </w:t>
      </w:r>
      <w:r>
        <w:t xml:space="preserve">στο 95% είναι </w:t>
      </w:r>
      <m:oMath>
        <m:r>
          <m:rPr>
            <m:sty m:val="p"/>
          </m:rPr>
          <w:rPr>
            <w:rFonts w:ascii="Cambria Math" w:hAnsi="Cambria Math"/>
          </w:rPr>
          <m:t>-1,645×σ</m:t>
        </m:r>
        <m:rad>
          <m:radPr>
            <m:degHide m:val="on"/>
            <m:ctrlPr>
              <w:rPr>
                <w:rFonts w:ascii="Cambria Math" w:hAnsi="Cambria Math"/>
              </w:rPr>
            </m:ctrlPr>
          </m:radPr>
          <m:deg/>
          <m:e>
            <m:r>
              <m:rPr>
                <m:sty m:val="p"/>
              </m:rPr>
              <w:rPr>
                <w:rFonts w:ascii="Cambria Math" w:hAnsi="Cambria Math"/>
              </w:rPr>
              <m:t>Τ</m:t>
            </m:r>
          </m:e>
        </m:rad>
        <m:r>
          <m:rPr>
            <m:sty m:val="p"/>
          </m:rPr>
          <w:rPr>
            <w:rFonts w:ascii="Cambria Math" w:hAnsi="Cambria Math"/>
          </w:rPr>
          <m:t>=1,645×2,645</m:t>
        </m:r>
        <m:rad>
          <m:radPr>
            <m:degHide m:val="on"/>
            <m:ctrlPr>
              <w:rPr>
                <w:rFonts w:ascii="Cambria Math" w:hAnsi="Cambria Math"/>
              </w:rPr>
            </m:ctrlPr>
          </m:radPr>
          <m:deg/>
          <m:e>
            <m:r>
              <m:rPr>
                <m:sty m:val="p"/>
              </m:rPr>
              <w:rPr>
                <w:rFonts w:ascii="Cambria Math" w:hAnsi="Cambria Math"/>
              </w:rPr>
              <m:t>20</m:t>
            </m:r>
          </m:e>
        </m:rad>
        <m:r>
          <m:rPr>
            <m:sty m:val="p"/>
          </m:rPr>
          <w:rPr>
            <w:rFonts w:ascii="Cambria Math" w:hAnsi="Cambria Math"/>
          </w:rPr>
          <m:t>=-4,34%</m:t>
        </m:r>
      </m:oMath>
    </w:p>
    <w:p w:rsidR="006450D5" w:rsidRDefault="006450D5" w:rsidP="00AC386B">
      <w:pPr>
        <w:autoSpaceDE w:val="0"/>
        <w:autoSpaceDN w:val="0"/>
        <w:adjustRightInd w:val="0"/>
        <w:spacing w:line="360" w:lineRule="auto"/>
        <w:ind w:firstLine="720"/>
        <w:jc w:val="both"/>
      </w:pPr>
      <w:r>
        <w:t xml:space="preserve">Η </w:t>
      </w:r>
      <w:r w:rsidRPr="00AC386B">
        <w:t>VaR</w:t>
      </w:r>
      <w:r w:rsidRPr="00892090">
        <w:t xml:space="preserve"> </w:t>
      </w:r>
      <w:r>
        <w:t>στο 9</w:t>
      </w:r>
      <w:r w:rsidRPr="00892090">
        <w:t>9</w:t>
      </w:r>
      <w:r>
        <w:t xml:space="preserve">% είναι </w:t>
      </w:r>
      <m:oMath>
        <m:r>
          <m:rPr>
            <m:sty m:val="p"/>
          </m:rPr>
          <w:rPr>
            <w:rFonts w:ascii="Cambria Math" w:hAnsi="Cambria Math"/>
          </w:rPr>
          <m:t>-2,33×σ</m:t>
        </m:r>
        <m:rad>
          <m:radPr>
            <m:degHide m:val="on"/>
            <m:ctrlPr>
              <w:rPr>
                <w:rFonts w:ascii="Cambria Math" w:hAnsi="Cambria Math"/>
              </w:rPr>
            </m:ctrlPr>
          </m:radPr>
          <m:deg/>
          <m:e>
            <m:r>
              <m:rPr>
                <m:sty m:val="p"/>
              </m:rPr>
              <w:rPr>
                <w:rFonts w:ascii="Cambria Math" w:hAnsi="Cambria Math"/>
              </w:rPr>
              <m:t>Τ</m:t>
            </m:r>
          </m:e>
        </m:rad>
        <m:r>
          <m:rPr>
            <m:sty m:val="p"/>
          </m:rPr>
          <w:rPr>
            <w:rFonts w:ascii="Cambria Math" w:hAnsi="Cambria Math"/>
          </w:rPr>
          <m:t>=2,33×2,645</m:t>
        </m:r>
        <m:rad>
          <m:radPr>
            <m:degHide m:val="on"/>
            <m:ctrlPr>
              <w:rPr>
                <w:rFonts w:ascii="Cambria Math" w:hAnsi="Cambria Math"/>
              </w:rPr>
            </m:ctrlPr>
          </m:radPr>
          <m:deg/>
          <m:e>
            <m:r>
              <m:rPr>
                <m:sty m:val="p"/>
              </m:rPr>
              <w:rPr>
                <w:rFonts w:ascii="Cambria Math" w:hAnsi="Cambria Math"/>
              </w:rPr>
              <m:t>20</m:t>
            </m:r>
          </m:e>
        </m:rad>
        <m:r>
          <m:rPr>
            <m:sty m:val="p"/>
          </m:rPr>
          <w:rPr>
            <w:rFonts w:ascii="Cambria Math" w:hAnsi="Cambria Math"/>
          </w:rPr>
          <m:t>=-6,14%</m:t>
        </m:r>
      </m:oMath>
    </w:p>
    <w:p w:rsidR="00F25489" w:rsidRDefault="00F25489" w:rsidP="00AC386B">
      <w:pPr>
        <w:autoSpaceDE w:val="0"/>
        <w:autoSpaceDN w:val="0"/>
        <w:adjustRightInd w:val="0"/>
        <w:spacing w:line="360" w:lineRule="auto"/>
        <w:ind w:firstLine="720"/>
        <w:jc w:val="both"/>
      </w:pPr>
      <w:r>
        <w:t xml:space="preserve">Έτσι υποθέτοντας ένα </w:t>
      </w:r>
      <w:r w:rsidR="00EF4093">
        <w:t xml:space="preserve">αρχικό </w:t>
      </w:r>
      <w:r>
        <w:t xml:space="preserve">κεφάλαιο επένδυσης </w:t>
      </w:r>
      <w:r w:rsidRPr="00AC386B">
        <w:t>W</w:t>
      </w:r>
      <w:r>
        <w:t xml:space="preserve"> μπορούμε να ορίσουμε τον γενικό τύπο της απόλυτης και της σχετική αξίας σε κίνδυνο</w:t>
      </w:r>
      <w:r w:rsidRPr="00F25489">
        <w:t xml:space="preserve">, </w:t>
      </w:r>
      <w:r>
        <w:t xml:space="preserve">τα οποία έγιναν ευρέως γνωστά μέσα από την αναθεωρημένη έκθεση του Απριλίου 1995 της </w:t>
      </w:r>
      <w:r w:rsidRPr="00AC386B">
        <w:t>E</w:t>
      </w:r>
      <w:r>
        <w:t>πιτροπής της Βασιλείας για τους τραπεζικούς οργανισμούς.</w:t>
      </w:r>
    </w:p>
    <w:p w:rsidR="00EF4093" w:rsidRPr="00EF4093" w:rsidRDefault="00EF4093" w:rsidP="00AC386B">
      <w:pPr>
        <w:autoSpaceDE w:val="0"/>
        <w:autoSpaceDN w:val="0"/>
        <w:adjustRightInd w:val="0"/>
        <w:spacing w:line="360" w:lineRule="auto"/>
        <w:ind w:firstLine="720"/>
        <w:jc w:val="both"/>
      </w:pPr>
      <w:r>
        <w:t>α</w:t>
      </w:r>
      <w:r w:rsidR="00F25489">
        <w:t xml:space="preserve">πόλυτη </w:t>
      </w:r>
      <m:oMath>
        <m:r>
          <m:rPr>
            <m:sty m:val="p"/>
          </m:rPr>
          <w:rPr>
            <w:rFonts w:ascii="Cambria Math" w:hAnsi="Cambria Math"/>
          </w:rPr>
          <m:t>VaR=-μW-ασW</m:t>
        </m:r>
      </m:oMath>
      <w:r>
        <w:t xml:space="preserve"> ή απόλυτη </w:t>
      </w:r>
      <m:oMath>
        <m:r>
          <m:rPr>
            <m:sty m:val="p"/>
          </m:rPr>
          <w:rPr>
            <w:rFonts w:ascii="Cambria Math" w:hAnsi="Cambria Math"/>
          </w:rPr>
          <m:t>VaR=W(ασ</m:t>
        </m:r>
        <m:rad>
          <m:radPr>
            <m:degHide m:val="on"/>
            <m:ctrlPr>
              <w:rPr>
                <w:rFonts w:ascii="Cambria Math" w:hAnsi="Cambria Math"/>
              </w:rPr>
            </m:ctrlPr>
          </m:radPr>
          <m:deg/>
          <m:e>
            <m:r>
              <m:rPr>
                <m:sty m:val="p"/>
              </m:rPr>
              <w:rPr>
                <w:rFonts w:ascii="Cambria Math" w:hAnsi="Cambria Math"/>
              </w:rPr>
              <m:t>Δt</m:t>
            </m:r>
          </m:e>
        </m:rad>
        <m:r>
          <m:rPr>
            <m:sty m:val="p"/>
          </m:rPr>
          <w:rPr>
            <w:rFonts w:ascii="Cambria Math" w:hAnsi="Cambria Math"/>
          </w:rPr>
          <m:t>-μΔt)</m:t>
        </m:r>
      </m:oMath>
    </w:p>
    <w:p w:rsidR="00F25489" w:rsidRPr="00EF4093" w:rsidRDefault="00EF4093" w:rsidP="00AC386B">
      <w:pPr>
        <w:autoSpaceDE w:val="0"/>
        <w:autoSpaceDN w:val="0"/>
        <w:adjustRightInd w:val="0"/>
        <w:spacing w:line="360" w:lineRule="auto"/>
        <w:ind w:firstLine="720"/>
        <w:jc w:val="both"/>
      </w:pPr>
      <w:r>
        <w:t>σ</w:t>
      </w:r>
      <w:r w:rsidR="00F25489">
        <w:t xml:space="preserve">χετική </w:t>
      </w:r>
      <m:oMath>
        <m:r>
          <m:rPr>
            <m:sty m:val="p"/>
          </m:rPr>
          <w:rPr>
            <w:rFonts w:ascii="Cambria Math" w:hAnsi="Cambria Math"/>
          </w:rPr>
          <m:t>VaR=ασW</m:t>
        </m:r>
      </m:oMath>
      <w:r>
        <w:t xml:space="preserve"> ή σχετική </w:t>
      </w:r>
      <m:oMath>
        <m:r>
          <m:rPr>
            <m:sty m:val="p"/>
          </m:rPr>
          <w:rPr>
            <w:rFonts w:ascii="Cambria Math" w:hAnsi="Cambria Math"/>
          </w:rPr>
          <m:t>VaR=ασW</m:t>
        </m:r>
        <m:rad>
          <m:radPr>
            <m:degHide m:val="on"/>
            <m:ctrlPr>
              <w:rPr>
                <w:rFonts w:ascii="Cambria Math" w:hAnsi="Cambria Math"/>
              </w:rPr>
            </m:ctrlPr>
          </m:radPr>
          <m:deg/>
          <m:e>
            <m:r>
              <m:rPr>
                <m:sty m:val="p"/>
              </m:rPr>
              <w:rPr>
                <w:rFonts w:ascii="Cambria Math" w:hAnsi="Cambria Math"/>
              </w:rPr>
              <m:t>Δt</m:t>
            </m:r>
          </m:e>
        </m:rad>
      </m:oMath>
    </w:p>
    <w:p w:rsidR="00AC386B" w:rsidRDefault="00AC386B" w:rsidP="00AC386B">
      <w:pPr>
        <w:autoSpaceDE w:val="0"/>
        <w:autoSpaceDN w:val="0"/>
        <w:adjustRightInd w:val="0"/>
        <w:spacing w:line="360" w:lineRule="auto"/>
        <w:jc w:val="both"/>
      </w:pPr>
      <w:r>
        <w:t>Ό</w:t>
      </w:r>
      <w:r w:rsidR="00F25489" w:rsidRPr="00E1506C">
        <w:t>που α</w:t>
      </w:r>
      <w:r w:rsidR="00F25489">
        <w:t xml:space="preserve"> </w:t>
      </w:r>
      <w:r w:rsidR="00F25489" w:rsidRPr="00E1506C">
        <w:t>είναι</w:t>
      </w:r>
      <w:r w:rsidR="00F25489">
        <w:t xml:space="preserve"> </w:t>
      </w:r>
      <w:r w:rsidR="00F25489" w:rsidRPr="00E1506C">
        <w:t>το επιλε</w:t>
      </w:r>
      <w:r w:rsidR="00EF4093">
        <w:t>γόμενο επίπεδο εμπιστοσύνης ( πχ 0,</w:t>
      </w:r>
      <w:r w:rsidR="00F25489" w:rsidRPr="00E1506C">
        <w:t>05 ή</w:t>
      </w:r>
      <w:r w:rsidR="00F25489">
        <w:t xml:space="preserve"> </w:t>
      </w:r>
      <w:r w:rsidR="00EF4093">
        <w:t>0,</w:t>
      </w:r>
      <w:r w:rsidR="00F25489" w:rsidRPr="00E1506C">
        <w:t>01)</w:t>
      </w:r>
      <w:r w:rsidR="00F25489">
        <w:t xml:space="preserve"> </w:t>
      </w:r>
      <w:r w:rsidR="00F25489" w:rsidRPr="00E1506C">
        <w:t>και</w:t>
      </w:r>
      <w:r w:rsidR="00F25489">
        <w:t xml:space="preserve"> </w:t>
      </w:r>
      <w:r w:rsidR="00F25489" w:rsidRPr="00E1506C">
        <w:tab/>
      </w:r>
      <w:r w:rsidR="00EF4093" w:rsidRPr="00AC386B">
        <w:t>Δ</w:t>
      </w:r>
      <w:r w:rsidR="00F25489" w:rsidRPr="00AC386B">
        <w:t>t</w:t>
      </w:r>
      <w:r w:rsidR="00D2470F">
        <w:t xml:space="preserve"> </w:t>
      </w:r>
      <w:r w:rsidR="00F25489" w:rsidRPr="00E1506C">
        <w:t>η</w:t>
      </w:r>
      <w:r w:rsidR="00EF4093">
        <w:t xml:space="preserve"> </w:t>
      </w:r>
      <w:r w:rsidR="00F25489" w:rsidRPr="00E1506C">
        <w:t>μετα</w:t>
      </w:r>
      <w:r w:rsidR="00D2470F">
        <w:t>-</w:t>
      </w:r>
      <w:r w:rsidR="00F25489" w:rsidRPr="00E1506C">
        <w:t>βολή</w:t>
      </w:r>
      <w:r w:rsidR="00D2470F">
        <w:t xml:space="preserve"> </w:t>
      </w:r>
      <w:r w:rsidR="00F25489" w:rsidRPr="00E1506C">
        <w:t xml:space="preserve">του χρόνου. Φαίνεται, λοιπόν, ότι η τιμή της </w:t>
      </w:r>
      <w:r w:rsidR="00F25489" w:rsidRPr="00EF4093">
        <w:t>VaR</w:t>
      </w:r>
      <w:r w:rsidR="00F25489" w:rsidRPr="00E1506C">
        <w:t xml:space="preserve"> εξαρτάται από τόσο από τον χρονικό ορί</w:t>
      </w:r>
      <w:r w:rsidR="00F25489" w:rsidRPr="00E1506C">
        <w:softHyphen/>
        <w:t xml:space="preserve">ζοντα (που ορίζεται από </w:t>
      </w:r>
      <w:r w:rsidR="00F25489" w:rsidRPr="00AC386B">
        <w:t>σΔt)</w:t>
      </w:r>
      <w:r w:rsidR="00F25489" w:rsidRPr="00E1506C">
        <w:t xml:space="preserve"> και από το επίπεδο εμπιστοσύνης (που ορίζει το α). Και τα δύο αυτά μεγέθη μπορούν να μεταβάλλονται. Για παράδειγμα, η </w:t>
      </w:r>
      <w:r w:rsidR="00F25489" w:rsidRPr="00EF4093">
        <w:t>Risk</w:t>
      </w:r>
      <w:r w:rsidR="00F25489" w:rsidRPr="00E1506C">
        <w:t xml:space="preserve"> </w:t>
      </w:r>
      <w:r w:rsidR="00F25489" w:rsidRPr="00EF4093">
        <w:t>Metrics</w:t>
      </w:r>
      <w:r w:rsidR="00F25489" w:rsidRPr="00E1506C">
        <w:t xml:space="preserve"> (</w:t>
      </w:r>
      <w:r w:rsidR="00F25489" w:rsidRPr="00EF4093">
        <w:t>RM</w:t>
      </w:r>
      <w:r w:rsidR="00F25489" w:rsidRPr="00E1506C">
        <w:t>) υπολογίζει 95% διάστημα εμπιστοσύνης (ή 1.65σ) σε χρονικό διά</w:t>
      </w:r>
      <w:r w:rsidR="00F25489" w:rsidRPr="00E1506C">
        <w:softHyphen/>
        <w:t>στημα ημέρας και η Επιτροπή της Βασιλείας (</w:t>
      </w:r>
      <w:r w:rsidR="00F25489" w:rsidRPr="00EF4093">
        <w:t>BC</w:t>
      </w:r>
      <w:r w:rsidR="00F25489" w:rsidRPr="00E1506C">
        <w:t>) θέτει 99% διάστημα εμπιστο</w:t>
      </w:r>
      <w:r w:rsidR="00F25489" w:rsidRPr="00E1506C">
        <w:softHyphen/>
        <w:t>σύνης σε χρονι</w:t>
      </w:r>
      <w:r w:rsidR="00E35128">
        <w:t>κό διάστημα 10 ημερών (ή 2.33σ).</w:t>
      </w:r>
    </w:p>
    <w:p w:rsidR="00AC386B" w:rsidRDefault="00AC386B" w:rsidP="00AC386B">
      <w:pPr>
        <w:autoSpaceDE w:val="0"/>
        <w:autoSpaceDN w:val="0"/>
        <w:adjustRightInd w:val="0"/>
        <w:spacing w:line="360" w:lineRule="auto"/>
        <w:ind w:firstLine="720"/>
        <w:jc w:val="both"/>
      </w:pPr>
      <w:r>
        <w:t xml:space="preserve">Μια άλλη </w:t>
      </w:r>
      <w:r w:rsidRPr="00AE6135">
        <w:t xml:space="preserve">σημαντική μέθοδος στον υπολογισμό της αξίας σε κίνδυνο είναι η </w:t>
      </w:r>
      <w:r w:rsidRPr="004B76EA">
        <w:rPr>
          <w:bCs/>
          <w:iCs/>
        </w:rPr>
        <w:t>μέθοδος προσομοίωσης Monte Carlo που</w:t>
      </w:r>
      <w:r w:rsidRPr="00AE6135">
        <w:rPr>
          <w:b/>
          <w:bCs/>
          <w:i/>
          <w:iCs/>
        </w:rPr>
        <w:t xml:space="preserve"> </w:t>
      </w:r>
      <w:r w:rsidRPr="00AE6135">
        <w:t xml:space="preserve">περιλαμβάνει την ανάπτυξη ενός μοντέλου για τις μελλοντικές τιμές </w:t>
      </w:r>
      <w:r w:rsidRPr="00AD14E2">
        <w:t xml:space="preserve">των αποδόσεων των μετοχών καθώς και την εκτέλεση πολλαπλών υποθετικών δοκιμών. </w:t>
      </w:r>
      <w:r>
        <w:t>Η</w:t>
      </w:r>
      <w:r w:rsidRPr="00AD14E2">
        <w:t xml:space="preserve"> προσομοίωση Monte Carlo ισοδυναμεί με μία </w:t>
      </w:r>
      <w:r w:rsidRPr="00AD14E2">
        <w:lastRenderedPageBreak/>
        <w:t>γ</w:t>
      </w:r>
      <w:r>
        <w:t xml:space="preserve">εννήτρια τυχαίων αποτελεσμάτων </w:t>
      </w:r>
      <w:r w:rsidRPr="00AD14E2">
        <w:t xml:space="preserve">βασιζόμενοι στις ιστορικές </w:t>
      </w:r>
      <w:r>
        <w:t>παρατηρήσεις.</w:t>
      </w:r>
      <w:r w:rsidRPr="00AC386B">
        <w:t xml:space="preserve"> </w:t>
      </w:r>
      <w:r>
        <w:t xml:space="preserve">Τρέχοντας λοιπόν 100 τυχαίες δοκιμές βασιζόμενοι στην ιστορική διακύμανση της μετοχής </w:t>
      </w:r>
      <w:r w:rsidRPr="00AD14E2">
        <w:t xml:space="preserve">δύο αποτελέσματα ήταν ανάμεσα στο -15% και -20%. Τρία ήταν μεταξύ του -20% και </w:t>
      </w:r>
      <w:r>
        <w:t>-</w:t>
      </w:r>
      <w:r w:rsidRPr="00AD14E2">
        <w:t xml:space="preserve">25%. Αυτό σημαίνει ότι </w:t>
      </w:r>
      <w:r>
        <w:t>με 95% πιθανότητα η ζημιά της μετοχής δεν θα είναι μεγλύτερη από το 15%</w:t>
      </w:r>
      <w:r w:rsidR="00445E49">
        <w:t xml:space="preserve"> (γράφημα</w:t>
      </w:r>
      <w:r w:rsidR="00CD0DF8">
        <w:t xml:space="preserve"> 6.4</w:t>
      </w:r>
      <w:r w:rsidR="00445E49">
        <w:t>)</w:t>
      </w:r>
      <w:r w:rsidRPr="00AD14E2">
        <w:t>.</w:t>
      </w:r>
    </w:p>
    <w:p w:rsidR="00D2470F" w:rsidRDefault="00D2470F" w:rsidP="00AC386B">
      <w:pPr>
        <w:jc w:val="center"/>
        <w:rPr>
          <w:b/>
        </w:rPr>
      </w:pPr>
    </w:p>
    <w:p w:rsidR="00AC386B" w:rsidRDefault="00AC386B" w:rsidP="00AC386B">
      <w:pPr>
        <w:jc w:val="center"/>
      </w:pPr>
      <w:r w:rsidRPr="009D2576">
        <w:rPr>
          <w:b/>
        </w:rPr>
        <w:t xml:space="preserve">Γράφημα </w:t>
      </w:r>
      <w:r w:rsidR="00045DCB">
        <w:rPr>
          <w:b/>
        </w:rPr>
        <w:t>6.4</w:t>
      </w:r>
      <w:r>
        <w:t xml:space="preserve"> </w:t>
      </w:r>
      <w:r>
        <w:rPr>
          <w:lang w:val="en-US"/>
        </w:rPr>
        <w:t>Monte</w:t>
      </w:r>
      <w:r w:rsidRPr="00AC386B">
        <w:t xml:space="preserve"> </w:t>
      </w:r>
      <w:r>
        <w:rPr>
          <w:lang w:val="en-US"/>
        </w:rPr>
        <w:t>Carlo</w:t>
      </w:r>
      <w:r w:rsidRPr="00AC386B">
        <w:t xml:space="preserve"> </w:t>
      </w:r>
      <w:r>
        <w:t>Προσομοίωση με 100 δοκιμές</w:t>
      </w:r>
      <w:r w:rsidR="00CD0DF8">
        <w:t xml:space="preserve"> για την ΑΑΑ</w:t>
      </w:r>
    </w:p>
    <w:p w:rsidR="00445E49" w:rsidRPr="009D2576" w:rsidRDefault="00445E49" w:rsidP="00AC386B">
      <w:pPr>
        <w:jc w:val="center"/>
        <w:rPr>
          <w:b/>
        </w:rPr>
      </w:pPr>
      <w:r>
        <w:rPr>
          <w:b/>
          <w:noProof/>
        </w:rPr>
        <w:drawing>
          <wp:inline distT="0" distB="0" distL="0" distR="0">
            <wp:extent cx="3384645" cy="2463084"/>
            <wp:effectExtent l="19050" t="19050" r="25400" b="13970"/>
            <wp:docPr id="132" name="Εικόνα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6_ΜοντεΚαρλο.jpg"/>
                    <pic:cNvPicPr/>
                  </pic:nvPicPr>
                  <pic:blipFill rotWithShape="1">
                    <a:blip r:embed="rId12"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052" t="10769" r="31652" b="32692"/>
                    <a:stretch/>
                  </pic:blipFill>
                  <pic:spPr bwMode="auto">
                    <a:xfrm>
                      <a:off x="0" y="0"/>
                      <a:ext cx="3388850" cy="2466144"/>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5E49" w:rsidRDefault="00445E49" w:rsidP="00AC386B">
      <w:pPr>
        <w:pStyle w:val="a6"/>
        <w:jc w:val="both"/>
      </w:pPr>
    </w:p>
    <w:p w:rsidR="008B721E" w:rsidRPr="00445E49" w:rsidRDefault="00445E49" w:rsidP="00445E49">
      <w:pPr>
        <w:autoSpaceDE w:val="0"/>
        <w:autoSpaceDN w:val="0"/>
        <w:adjustRightInd w:val="0"/>
        <w:spacing w:line="360" w:lineRule="auto"/>
        <w:ind w:firstLine="720"/>
        <w:jc w:val="both"/>
      </w:pPr>
      <w:r w:rsidRPr="00445E49">
        <w:t xml:space="preserve">Η αξία σε κίνδυνο </w:t>
      </w:r>
      <w:r w:rsidR="008B721E" w:rsidRPr="00445E49">
        <w:t>εκφράζει την έκθεση του τραπεζικού οργανισμού στους κινδύνους της αγοράς. Συνεπώς, τόσο οι διαχειρι</w:t>
      </w:r>
      <w:r w:rsidR="008B721E" w:rsidRPr="00445E49">
        <w:softHyphen/>
        <w:t>στές της τράπεζας όσο και οι μέτοχοι μπορούν να αποφασίσουν εάν το ύψος του</w:t>
      </w:r>
      <w:r>
        <w:t xml:space="preserve"> κινδύνου αυτού είναι αποδεκτό. Η</w:t>
      </w:r>
      <w:r w:rsidR="008B721E" w:rsidRPr="00445E49">
        <w:t xml:space="preserve"> εποπτεία των πιστωτικών ιδρυμάτων και των εταιριών που</w:t>
      </w:r>
      <w:r w:rsidR="004539E8" w:rsidRPr="00445E49">
        <w:t xml:space="preserve"> </w:t>
      </w:r>
      <w:r w:rsidR="008B721E" w:rsidRPr="00445E49">
        <w:t>δραστηριοποιούνται στον χρηματοοικονομικό τομέα, γενικότερα, απαιτεί ένα ελά</w:t>
      </w:r>
      <w:r w:rsidR="008B721E" w:rsidRPr="00445E49">
        <w:softHyphen/>
        <w:t>χιστο ύψος κεφαλαιακής επάρκειας για την αντιμετώπιση των χρηματοοικονομι</w:t>
      </w:r>
      <w:r w:rsidR="008B721E" w:rsidRPr="00445E49">
        <w:softHyphen/>
        <w:t xml:space="preserve">κών κινδύνων. Η επιτροπή της Βασιλείας για την εποπτεία των τραπεζών, </w:t>
      </w:r>
      <w:r>
        <w:t>οι κενρικές τράπεζες</w:t>
      </w:r>
      <w:r w:rsidR="008B721E" w:rsidRPr="00445E49">
        <w:t xml:space="preserve"> και οι εποπτικές αρχές των Ευρωπαϊκών χωρών, συ</w:t>
      </w:r>
      <w:r w:rsidR="008B721E" w:rsidRPr="00445E49">
        <w:softHyphen/>
        <w:t xml:space="preserve">γκλίνουν στην αποδοχή της VaR </w:t>
      </w:r>
      <w:r>
        <w:t xml:space="preserve">σαν μιας </w:t>
      </w:r>
      <w:r w:rsidR="008B721E" w:rsidRPr="00445E49">
        <w:t>κατ</w:t>
      </w:r>
      <w:r>
        <w:t xml:space="preserve">άλληλης μεθόδου </w:t>
      </w:r>
      <w:r w:rsidR="008B721E" w:rsidRPr="00445E49">
        <w:t>αποτίμησης του κινδύνου.</w:t>
      </w:r>
    </w:p>
    <w:p w:rsidR="00E35128" w:rsidRPr="00C077F7" w:rsidRDefault="00245F44" w:rsidP="00445E49">
      <w:pPr>
        <w:autoSpaceDE w:val="0"/>
        <w:autoSpaceDN w:val="0"/>
        <w:adjustRightInd w:val="0"/>
        <w:spacing w:line="360" w:lineRule="auto"/>
        <w:ind w:firstLine="720"/>
        <w:jc w:val="both"/>
      </w:pPr>
      <w:r>
        <w:t>Η μέτρηση του απ</w:t>
      </w:r>
      <w:r w:rsidR="00D2470F">
        <w:t>α</w:t>
      </w:r>
      <w:r>
        <w:t xml:space="preserve">ιτούμενου κεφαλαίου μπορεί να προσεγγιστεί αποτελεσματικά με την μεθοδολογία </w:t>
      </w:r>
      <w:r>
        <w:rPr>
          <w:lang w:val="en-US"/>
        </w:rPr>
        <w:t>VaR</w:t>
      </w:r>
      <w:r>
        <w:t>.</w:t>
      </w:r>
      <w:r w:rsidRPr="00245F44">
        <w:t xml:space="preserve"> </w:t>
      </w:r>
      <w:r w:rsidR="00362D56">
        <w:t>Στην περί</w:t>
      </w:r>
      <w:r>
        <w:t>πτωση αυτή το κεφάλαιο που εκτιμάται προορίζεται για προστασία έναντι των αποκλίσεων των ζημιών από την μ</w:t>
      </w:r>
      <w:r w:rsidR="00C077F7">
        <w:t>έση αναμεν</w:t>
      </w:r>
      <w:r>
        <w:t>ομενη ζημιά. Οι αποκλίσεις αυτές μπορεί να είναι η μη αναμενόμενη</w:t>
      </w:r>
      <w:r w:rsidR="00C077F7">
        <w:t xml:space="preserve"> ζημιά (το κεφάλαιο σε κίνδυνο - </w:t>
      </w:r>
      <w:r w:rsidR="00C077F7">
        <w:rPr>
          <w:lang w:val="en-US"/>
        </w:rPr>
        <w:t>Capital</w:t>
      </w:r>
      <w:r w:rsidR="00C077F7" w:rsidRPr="00C077F7">
        <w:t xml:space="preserve"> </w:t>
      </w:r>
      <w:r w:rsidR="00C077F7">
        <w:rPr>
          <w:lang w:val="en-US"/>
        </w:rPr>
        <w:t>at</w:t>
      </w:r>
      <w:r w:rsidR="00C077F7" w:rsidRPr="00C077F7">
        <w:t xml:space="preserve"> </w:t>
      </w:r>
      <w:r w:rsidR="00C077F7">
        <w:rPr>
          <w:lang w:val="en-US"/>
        </w:rPr>
        <w:t>Risk</w:t>
      </w:r>
      <w:r w:rsidR="00C077F7" w:rsidRPr="00C077F7">
        <w:t xml:space="preserve">, </w:t>
      </w:r>
      <w:r w:rsidR="00C077F7">
        <w:rPr>
          <w:lang w:val="en-US"/>
        </w:rPr>
        <w:t>CaR</w:t>
      </w:r>
      <w:r w:rsidR="00C077F7">
        <w:t xml:space="preserve">) </w:t>
      </w:r>
      <w:r>
        <w:t xml:space="preserve"> και η ασυνήθης ζημία και ορίζονται σε δεδομένο διάστημα εμπιστοσύνης</w:t>
      </w:r>
      <w:r w:rsidR="00C077F7">
        <w:t xml:space="preserve">. Το κεφάλαιο προσφέρει προστασία </w:t>
      </w:r>
      <w:r w:rsidR="00C077F7">
        <w:lastRenderedPageBreak/>
        <w:t xml:space="preserve">και το </w:t>
      </w:r>
      <w:r w:rsidR="00C077F7">
        <w:rPr>
          <w:lang w:val="en-US"/>
        </w:rPr>
        <w:t>CaR</w:t>
      </w:r>
      <w:r w:rsidR="00C077F7">
        <w:t xml:space="preserve"> αντιστοιχεί στο συγκεκριμένο ε</w:t>
      </w:r>
      <w:r w:rsidR="00D2470F">
        <w:t>πίπεδο εμπιστοσύνης όπως φαίνετ</w:t>
      </w:r>
      <w:r w:rsidR="00C077F7">
        <w:t>α</w:t>
      </w:r>
      <w:r w:rsidR="00D2470F">
        <w:t>ι</w:t>
      </w:r>
      <w:r w:rsidR="00C077F7">
        <w:t xml:space="preserve"> στο ακόλουθο γράφημα.</w:t>
      </w:r>
    </w:p>
    <w:p w:rsidR="00445E49" w:rsidRDefault="00445E49" w:rsidP="00445E49">
      <w:pPr>
        <w:jc w:val="both"/>
      </w:pPr>
    </w:p>
    <w:p w:rsidR="00445E49" w:rsidRPr="004A2B5F" w:rsidRDefault="00445E49" w:rsidP="00C077F7">
      <w:pPr>
        <w:jc w:val="center"/>
      </w:pPr>
      <w:r w:rsidRPr="004A2B5F">
        <w:rPr>
          <w:b/>
        </w:rPr>
        <w:t xml:space="preserve">Γράφημα </w:t>
      </w:r>
      <w:r w:rsidR="00045DCB">
        <w:rPr>
          <w:b/>
        </w:rPr>
        <w:t>6.5</w:t>
      </w:r>
      <w:r>
        <w:t xml:space="preserve"> Κατανομή Ημερήσιων αποδόσεων μετοχής ΑΑΑ</w:t>
      </w:r>
    </w:p>
    <w:p w:rsidR="00445E49" w:rsidRPr="00045DCB" w:rsidRDefault="00445E49" w:rsidP="00C077F7">
      <w:pPr>
        <w:jc w:val="center"/>
        <w:rPr>
          <w:b/>
        </w:rPr>
      </w:pPr>
      <w:r>
        <w:rPr>
          <w:noProof/>
        </w:rPr>
        <w:drawing>
          <wp:inline distT="0" distB="0" distL="0" distR="0">
            <wp:extent cx="2743200" cy="2144889"/>
            <wp:effectExtent l="19050" t="19050" r="19050" b="27305"/>
            <wp:docPr id="47121" name="Εικόνα 4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6_CAR.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8559" r="1834" b="5856"/>
                    <a:stretch/>
                  </pic:blipFill>
                  <pic:spPr bwMode="auto">
                    <a:xfrm>
                      <a:off x="0" y="0"/>
                      <a:ext cx="2728694" cy="2133547"/>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5E49" w:rsidRDefault="00445E49" w:rsidP="00445E49">
      <w:pPr>
        <w:autoSpaceDE w:val="0"/>
        <w:autoSpaceDN w:val="0"/>
        <w:adjustRightInd w:val="0"/>
        <w:spacing w:line="360" w:lineRule="auto"/>
        <w:ind w:firstLine="720"/>
        <w:jc w:val="both"/>
      </w:pPr>
    </w:p>
    <w:p w:rsidR="00D2470F" w:rsidRDefault="00D2470F" w:rsidP="00445E49">
      <w:pPr>
        <w:autoSpaceDE w:val="0"/>
        <w:autoSpaceDN w:val="0"/>
        <w:adjustRightInd w:val="0"/>
        <w:spacing w:line="360" w:lineRule="auto"/>
        <w:ind w:firstLine="720"/>
        <w:jc w:val="both"/>
      </w:pPr>
      <w:r>
        <w:t>Ο υπολογισμός της</w:t>
      </w:r>
      <w:r w:rsidR="00C077F7">
        <w:t xml:space="preserve"> αν</w:t>
      </w:r>
      <w:r>
        <w:t>αμενόμενης</w:t>
      </w:r>
      <w:r w:rsidR="00C077F7">
        <w:t xml:space="preserve"> και της μη αναμενόμενης ζημίας </w:t>
      </w:r>
      <w:r w:rsidR="00C077F7" w:rsidRPr="00C077F7">
        <w:t>(</w:t>
      </w:r>
      <w:r w:rsidR="00C077F7">
        <w:rPr>
          <w:lang w:val="en-US"/>
        </w:rPr>
        <w:t>CaR</w:t>
      </w:r>
      <w:r w:rsidR="00C077F7" w:rsidRPr="00C077F7">
        <w:t xml:space="preserve">) </w:t>
      </w:r>
      <w:r w:rsidR="00C077F7">
        <w:t>δίνεται στο ακόλουθο παράδειγμα.</w:t>
      </w:r>
      <w:r>
        <w:t xml:space="preserve"> Αν μια τράπεζα έ</w:t>
      </w:r>
      <w:r w:rsidR="00FF56BB">
        <w:t>χει έκθεση σε κίνδυνο 500 εκατ. Ευρώ (α)</w:t>
      </w:r>
      <w:r>
        <w:t>,</w:t>
      </w:r>
      <w:r w:rsidR="00FF56BB">
        <w:t xml:space="preserve"> και μέσο ετήσιο ποσοστό αθέτησης 1% (</w:t>
      </w:r>
      <w:r w:rsidR="00FF56BB">
        <w:rPr>
          <w:lang w:val="en-US"/>
        </w:rPr>
        <w:t>b</w:t>
      </w:r>
      <w:r w:rsidR="00FF56BB">
        <w:t>)</w:t>
      </w:r>
      <w:r>
        <w:t>,</w:t>
      </w:r>
      <w:r w:rsidR="00FF56BB">
        <w:t xml:space="preserve"> και μέγιστη απόκλιση από το μέσο ποσοστό αθέτησης 3% (</w:t>
      </w:r>
      <w:r w:rsidR="00FF56BB">
        <w:rPr>
          <w:lang w:val="en-US"/>
        </w:rPr>
        <w:t>c</w:t>
      </w:r>
      <w:r w:rsidR="00FF56BB" w:rsidRPr="00FF56BB">
        <w:t>=</w:t>
      </w:r>
      <w:r w:rsidR="00FF56BB">
        <w:rPr>
          <w:lang w:val="en-US"/>
        </w:rPr>
        <w:t>Dmax</w:t>
      </w:r>
      <w:r w:rsidR="00FF56BB" w:rsidRPr="00FF56BB">
        <w:t>-</w:t>
      </w:r>
      <w:r w:rsidR="00FF56BB">
        <w:rPr>
          <w:lang w:val="en-US"/>
        </w:rPr>
        <w:t>Davg</w:t>
      </w:r>
      <w:r w:rsidR="00FF56BB" w:rsidRPr="00FF56BB">
        <w:t xml:space="preserve"> )</w:t>
      </w:r>
      <w:r>
        <w:t>,</w:t>
      </w:r>
      <w:r w:rsidR="00FF56BB">
        <w:t xml:space="preserve"> τότε η αναμενόμενη ζημία θα είναι </w:t>
      </w:r>
    </w:p>
    <w:p w:rsidR="00D2470F" w:rsidRDefault="00FF56BB" w:rsidP="00445E49">
      <w:pPr>
        <w:autoSpaceDE w:val="0"/>
        <w:autoSpaceDN w:val="0"/>
        <w:adjustRightInd w:val="0"/>
        <w:spacing w:line="360" w:lineRule="auto"/>
        <w:ind w:firstLine="720"/>
        <w:jc w:val="both"/>
      </w:pPr>
      <w:r>
        <w:t>(α)</w:t>
      </w:r>
      <w:r w:rsidRPr="00FF56BB">
        <w:t xml:space="preserve"> </w:t>
      </w:r>
      <w:r>
        <w:rPr>
          <w:lang w:val="en-US"/>
        </w:rPr>
        <w:t>x</w:t>
      </w:r>
      <w:r w:rsidRPr="00FF56BB">
        <w:t xml:space="preserve"> (</w:t>
      </w:r>
      <w:r>
        <w:rPr>
          <w:lang w:val="en-US"/>
        </w:rPr>
        <w:t>b</w:t>
      </w:r>
      <w:r w:rsidRPr="00FF56BB">
        <w:t xml:space="preserve">)=500.000.000 </w:t>
      </w:r>
      <w:r>
        <w:rPr>
          <w:lang w:val="en-US"/>
        </w:rPr>
        <w:t>x</w:t>
      </w:r>
      <w:r>
        <w:t xml:space="preserve"> 0</w:t>
      </w:r>
      <w:r w:rsidRPr="00FF56BB">
        <w:t>,01=5.000.000</w:t>
      </w:r>
      <w:r w:rsidR="00D2470F">
        <w:t>.</w:t>
      </w:r>
      <w:r w:rsidRPr="00FF56BB">
        <w:t xml:space="preserve"> </w:t>
      </w:r>
    </w:p>
    <w:p w:rsidR="00445E49" w:rsidRPr="00362D56" w:rsidRDefault="00D2470F" w:rsidP="00D2470F">
      <w:pPr>
        <w:autoSpaceDE w:val="0"/>
        <w:autoSpaceDN w:val="0"/>
        <w:adjustRightInd w:val="0"/>
        <w:spacing w:line="360" w:lineRule="auto"/>
        <w:jc w:val="both"/>
      </w:pPr>
      <w:r>
        <w:t>Κ</w:t>
      </w:r>
      <w:r w:rsidR="00FF56BB">
        <w:t xml:space="preserve">αι η μη αναμενόμενη ζημία </w:t>
      </w:r>
      <w:r w:rsidR="00CD05FE">
        <w:t>θα είναι (α</w:t>
      </w:r>
      <w:r w:rsidR="00CD05FE" w:rsidRPr="00CD05FE">
        <w:t>)</w:t>
      </w:r>
      <w:r w:rsidR="00CD05FE">
        <w:t xml:space="preserve"> </w:t>
      </w:r>
      <w:r w:rsidR="00CD05FE">
        <w:rPr>
          <w:lang w:val="en-US"/>
        </w:rPr>
        <w:t>x</w:t>
      </w:r>
      <w:r w:rsidR="00CD05FE" w:rsidRPr="00CD05FE">
        <w:t xml:space="preserve"> (</w:t>
      </w:r>
      <w:r w:rsidR="00CD05FE">
        <w:rPr>
          <w:lang w:val="en-US"/>
        </w:rPr>
        <w:t>c</w:t>
      </w:r>
      <w:r w:rsidR="00CD05FE" w:rsidRPr="00CD05FE">
        <w:t xml:space="preserve">)=500.000.000 </w:t>
      </w:r>
      <w:r w:rsidR="00CD05FE">
        <w:rPr>
          <w:lang w:val="en-US"/>
        </w:rPr>
        <w:t>x</w:t>
      </w:r>
      <w:r w:rsidR="00CD05FE">
        <w:t xml:space="preserve"> 0</w:t>
      </w:r>
      <w:r w:rsidR="00CD05FE" w:rsidRPr="00CD05FE">
        <w:t xml:space="preserve">,03=15.000.000. </w:t>
      </w:r>
    </w:p>
    <w:p w:rsidR="00CD05FE" w:rsidRPr="00CD05FE" w:rsidRDefault="00CD05FE" w:rsidP="00445E49">
      <w:pPr>
        <w:autoSpaceDE w:val="0"/>
        <w:autoSpaceDN w:val="0"/>
        <w:adjustRightInd w:val="0"/>
        <w:spacing w:line="360" w:lineRule="auto"/>
        <w:ind w:firstLine="720"/>
        <w:jc w:val="both"/>
      </w:pPr>
      <w:r>
        <w:t>Να σημειώσουμε ότι την μεγιστη απόκλιση από την μέση αθέτηση δηλα</w:t>
      </w:r>
      <w:r w:rsidR="00D2470F">
        <w:t>δ</w:t>
      </w:r>
      <w:r>
        <w:t xml:space="preserve">ή το </w:t>
      </w:r>
      <w:r>
        <w:rPr>
          <w:lang w:val="en-US"/>
        </w:rPr>
        <w:t>c</w:t>
      </w:r>
      <w:r>
        <w:t xml:space="preserve"> πολλές φορές υπολογίζεται ως </w:t>
      </w:r>
      <w:r>
        <w:rPr>
          <w:lang w:val="en-US"/>
        </w:rPr>
        <w:t>k</w:t>
      </w:r>
      <w:r w:rsidRPr="00CD05FE">
        <w:t xml:space="preserve"> </w:t>
      </w:r>
      <w:r>
        <w:rPr>
          <w:lang w:val="en-US"/>
        </w:rPr>
        <w:t>x</w:t>
      </w:r>
      <w:r w:rsidRPr="00CD05FE">
        <w:t xml:space="preserve"> </w:t>
      </w:r>
      <w:r>
        <w:t>τυπική απόκλιση του ποσοστού αθέτησης.</w:t>
      </w:r>
      <w:r w:rsidR="00D2470F">
        <w:t xml:space="preserve"> </w:t>
      </w:r>
      <w:r>
        <w:t>Στο παράδειγμα υποθέτωντας τυπική απόκλιση του ποσοστού αθέτησης 1,5 και κ=2 έχουμε</w:t>
      </w:r>
      <w:r w:rsidRPr="00CD05FE">
        <w:t xml:space="preserve"> </w:t>
      </w:r>
      <w:r w:rsidRPr="00CD05FE">
        <w:rPr>
          <w:lang w:val="en-US"/>
        </w:rPr>
        <w:t>c</w:t>
      </w:r>
      <w:r w:rsidRPr="00CD05FE">
        <w:t>=</w:t>
      </w:r>
      <w:r w:rsidRPr="00CD05FE">
        <w:rPr>
          <w:lang w:val="en-US"/>
        </w:rPr>
        <w:t>Dmax</w:t>
      </w:r>
      <w:r w:rsidRPr="00CD05FE">
        <w:t>-</w:t>
      </w:r>
      <w:r w:rsidRPr="00CD05FE">
        <w:rPr>
          <w:lang w:val="en-US"/>
        </w:rPr>
        <w:t>Davg</w:t>
      </w:r>
      <w:r>
        <w:t xml:space="preserve">=2 </w:t>
      </w:r>
      <w:r>
        <w:rPr>
          <w:lang w:val="en-US"/>
        </w:rPr>
        <w:t>x</w:t>
      </w:r>
      <w:r>
        <w:t xml:space="preserve"> 1</w:t>
      </w:r>
      <w:r w:rsidRPr="00CD05FE">
        <w:t>,5%= 3%.</w:t>
      </w:r>
    </w:p>
    <w:p w:rsidR="00445E49" w:rsidRDefault="00445E49" w:rsidP="00445E49">
      <w:pPr>
        <w:autoSpaceDE w:val="0"/>
        <w:autoSpaceDN w:val="0"/>
        <w:adjustRightInd w:val="0"/>
        <w:spacing w:line="360" w:lineRule="auto"/>
        <w:ind w:firstLine="720"/>
        <w:jc w:val="both"/>
      </w:pPr>
    </w:p>
    <w:p w:rsidR="00D4417C" w:rsidRPr="007A7DE6" w:rsidRDefault="00D4417C" w:rsidP="00C40FDD">
      <w:pPr>
        <w:autoSpaceDE w:val="0"/>
        <w:autoSpaceDN w:val="0"/>
        <w:adjustRightInd w:val="0"/>
        <w:spacing w:line="360" w:lineRule="auto"/>
        <w:jc w:val="both"/>
        <w:rPr>
          <w:b/>
          <w:i/>
          <w:u w:val="single"/>
        </w:rPr>
      </w:pPr>
      <w:r w:rsidRPr="007A7DE6">
        <w:rPr>
          <w:b/>
          <w:i/>
          <w:u w:val="single"/>
        </w:rPr>
        <w:t xml:space="preserve">Πλεονεκτήματα </w:t>
      </w:r>
      <w:r w:rsidR="00C40FDD" w:rsidRPr="007A7DE6">
        <w:rPr>
          <w:b/>
          <w:i/>
          <w:u w:val="single"/>
        </w:rPr>
        <w:t>και Αδυναμίες της μεθόδου V</w:t>
      </w:r>
      <w:r w:rsidR="00C40FDD" w:rsidRPr="007A7DE6">
        <w:rPr>
          <w:b/>
          <w:i/>
          <w:u w:val="single"/>
          <w:lang w:val="en-US"/>
        </w:rPr>
        <w:t>a</w:t>
      </w:r>
      <w:r w:rsidRPr="007A7DE6">
        <w:rPr>
          <w:b/>
          <w:i/>
          <w:u w:val="single"/>
        </w:rPr>
        <w:t>R</w:t>
      </w:r>
    </w:p>
    <w:p w:rsidR="00D4417C" w:rsidRDefault="00C40FDD" w:rsidP="00C40FDD">
      <w:pPr>
        <w:autoSpaceDE w:val="0"/>
        <w:autoSpaceDN w:val="0"/>
        <w:adjustRightInd w:val="0"/>
        <w:spacing w:line="360" w:lineRule="auto"/>
        <w:ind w:firstLine="720"/>
        <w:jc w:val="both"/>
      </w:pPr>
      <w:r>
        <w:t>Η αξία σε κίνδυνο</w:t>
      </w:r>
      <w:r w:rsidR="00D4417C">
        <w:t xml:space="preserve"> είναι ένα πολύ σημαντικό μέτρο κινδύνου γιατί μπορεί να συνοψίσει σε έναν μόνο αριθμό την συνολική έκθεση μιας επιχείρησης ή ενός οργανισμού στον κίνδυνο αγοράς</w:t>
      </w:r>
      <w:r w:rsidR="00D2470F">
        <w:t>.</w:t>
      </w:r>
      <w:r w:rsidR="00D4417C">
        <w:t xml:space="preserve"> </w:t>
      </w:r>
      <w:r w:rsidR="00D2470F">
        <w:t>Κ</w:t>
      </w:r>
      <w:r w:rsidR="00D4417C">
        <w:t xml:space="preserve">αι εξαιτίας αυτού αποτελεί πλέον την πιο διαδεδομένη μέθοδο για την ποσοτικοποίηση του κινδύνου αγοράς. </w:t>
      </w:r>
      <w:r w:rsidR="00361FA0">
        <w:t>Χ</w:t>
      </w:r>
      <w:r w:rsidR="00D4417C">
        <w:t>αρακτηρίζ</w:t>
      </w:r>
      <w:r w:rsidR="00D2470F">
        <w:t>ε</w:t>
      </w:r>
      <w:r w:rsidR="00D4417C">
        <w:t xml:space="preserve">ται από </w:t>
      </w:r>
      <w:r w:rsidR="00361FA0">
        <w:t>απλότητα και σαφήνεια και μπορεί να χρησιμοποιηθεί</w:t>
      </w:r>
      <w:r w:rsidR="00D4417C">
        <w:t xml:space="preserve"> άμεσα. </w:t>
      </w:r>
    </w:p>
    <w:p w:rsidR="00D4417C" w:rsidRDefault="00361FA0" w:rsidP="00C40FDD">
      <w:pPr>
        <w:autoSpaceDE w:val="0"/>
        <w:autoSpaceDN w:val="0"/>
        <w:adjustRightInd w:val="0"/>
        <w:spacing w:line="360" w:lineRule="auto"/>
        <w:ind w:firstLine="720"/>
        <w:jc w:val="both"/>
      </w:pPr>
      <w:r>
        <w:t>Ο</w:t>
      </w:r>
      <w:r w:rsidR="00D4417C">
        <w:t>ι τράπεζες μπορούν με αυτήν την μέθοδο να καθορίσουν όρια στους διαπραγματευτές συναλλάγμ</w:t>
      </w:r>
      <w:r>
        <w:t>ατος και χρεογράφων σε όρους της</w:t>
      </w:r>
      <w:r w:rsidR="00D4417C">
        <w:t xml:space="preserve"> </w:t>
      </w:r>
      <w:r w:rsidRPr="00C40FDD">
        <w:t>Va</w:t>
      </w:r>
      <w:r w:rsidR="00D4417C" w:rsidRPr="00C40FDD">
        <w:t>R</w:t>
      </w:r>
      <w:r>
        <w:t>. Επιπλέον η σχέση</w:t>
      </w:r>
      <w:r w:rsidR="00D4417C">
        <w:t xml:space="preserve"> κινδύνου-απόδοσης </w:t>
      </w:r>
      <w:r>
        <w:t xml:space="preserve">μελετάται πλέον κάτω από ένα άλλο εναλλακτικό μέτρο </w:t>
      </w:r>
      <w:r>
        <w:lastRenderedPageBreak/>
        <w:t>του κινδύνου συμβάλλοντας στην αποτελεσματική κατανομή των κεφαλαίων μεταξύ διαφορετικών κατηγοριών τίτλων.</w:t>
      </w:r>
    </w:p>
    <w:p w:rsidR="00361FA0" w:rsidRPr="00361FA0" w:rsidRDefault="00D4417C" w:rsidP="00C40FDD">
      <w:pPr>
        <w:autoSpaceDE w:val="0"/>
        <w:autoSpaceDN w:val="0"/>
        <w:adjustRightInd w:val="0"/>
        <w:spacing w:line="360" w:lineRule="auto"/>
        <w:ind w:firstLine="720"/>
        <w:jc w:val="both"/>
      </w:pPr>
      <w:r>
        <w:t xml:space="preserve">Από την άλλη πλευρά, η μέθοδος </w:t>
      </w:r>
      <w:r w:rsidR="00361FA0" w:rsidRPr="00C40FDD">
        <w:t>Va</w:t>
      </w:r>
      <w:r w:rsidRPr="00C40FDD">
        <w:t>R</w:t>
      </w:r>
      <w:r>
        <w:t xml:space="preserve"> εμφανίζει κάποιες αδυναμίες, μία από αυτές είναι ότι υπάρχει περίπτωση να προσφέρει υποεκτιμημένα αποτελέσματα, εάν οι αποδόσεις ενός περιουσιακού στοιχείου ή ενός χαρτοφυλακίου ξαφνικά μεταβληθούν κατά μη προβλέψιμο τρόπο, λόγω μιας δοκιμής αλλαγής της υποκείμενης οικονομίας μιας χώρας. </w:t>
      </w:r>
      <w:r w:rsidR="00361FA0">
        <w:t>Υποθέτει όπως είδαμε σε κάποιες περιπτώσεις την κανονική κατανομή και στην περίπτωση μη εμφάνισης της μπορεί να δώσει λανθασμένες εκτιμήσεις.</w:t>
      </w:r>
    </w:p>
    <w:p w:rsidR="001667D1" w:rsidRDefault="00D4417C" w:rsidP="001667D1">
      <w:pPr>
        <w:autoSpaceDE w:val="0"/>
        <w:autoSpaceDN w:val="0"/>
        <w:adjustRightInd w:val="0"/>
        <w:spacing w:line="360" w:lineRule="auto"/>
        <w:ind w:firstLine="720"/>
        <w:jc w:val="both"/>
      </w:pPr>
      <w:r>
        <w:t xml:space="preserve">Ακόμη, το </w:t>
      </w:r>
      <w:r w:rsidR="001667D1">
        <w:t>V</w:t>
      </w:r>
      <w:r w:rsidR="001667D1">
        <w:rPr>
          <w:lang w:val="en-US"/>
        </w:rPr>
        <w:t>a</w:t>
      </w:r>
      <w:r w:rsidRPr="00C40FDD">
        <w:t>R</w:t>
      </w:r>
      <w:r>
        <w:t xml:space="preserve"> υπολογίζει τη μέγιστη ζημιά που μπορεί να αναμένει ένας οργανισμός για μία δεδομένη χρονική περίοδο. Οι ζημιές υπολογίζονται υποθέτοντας ότι τα περιουσιακά στοιχεία μπορούν να πωληθούν στις τρέχουσες αγοραίες τιμές, γεγονός που δεν ισχύει αν η επιχείρηση έχει στην κατοχή της μεγάλο βαθ</w:t>
      </w:r>
      <w:r w:rsidR="00D2470F">
        <w:t>μό μη ρευστοποιήσιμων στοιχείων. Έ</w:t>
      </w:r>
      <w:r>
        <w:t xml:space="preserve">τσι το </w:t>
      </w:r>
      <w:r w:rsidR="001667D1">
        <w:t>V</w:t>
      </w:r>
      <w:r w:rsidR="001667D1">
        <w:rPr>
          <w:lang w:val="en-US"/>
        </w:rPr>
        <w:t>a</w:t>
      </w:r>
      <w:r w:rsidRPr="00C40FDD">
        <w:t>R</w:t>
      </w:r>
      <w:r w:rsidRPr="00BF7D38">
        <w:t xml:space="preserve"> </w:t>
      </w:r>
      <w:r>
        <w:t>μπορεί να υποεκτιμά τις πραγματικές ζημιές, αφού τα στοιχεία αυτά ίσως χρειαστεί να πωληθούν με έκπτωση.</w:t>
      </w:r>
      <w:r w:rsidR="001667D1">
        <w:t xml:space="preserve"> </w:t>
      </w:r>
    </w:p>
    <w:p w:rsidR="00D4417C" w:rsidRDefault="001667D1" w:rsidP="001667D1">
      <w:pPr>
        <w:autoSpaceDE w:val="0"/>
        <w:autoSpaceDN w:val="0"/>
        <w:adjustRightInd w:val="0"/>
        <w:spacing w:line="360" w:lineRule="auto"/>
        <w:ind w:firstLine="720"/>
        <w:jc w:val="both"/>
      </w:pPr>
      <w:r>
        <w:t>Η ιδιαιτερότητα της αξίας σε κίνδυνο</w:t>
      </w:r>
      <w:r w:rsidR="00D4417C">
        <w:t xml:space="preserve"> </w:t>
      </w:r>
      <w:r>
        <w:t>(</w:t>
      </w:r>
      <w:r>
        <w:rPr>
          <w:lang w:val="en-US"/>
        </w:rPr>
        <w:t>Va</w:t>
      </w:r>
      <w:r w:rsidR="00D4417C">
        <w:rPr>
          <w:lang w:val="en-US"/>
        </w:rPr>
        <w:t>R</w:t>
      </w:r>
      <w:r>
        <w:t>)</w:t>
      </w:r>
      <w:r w:rsidR="00D4417C">
        <w:t xml:space="preserve"> βρίσκεται κυρίως στην προσπάθεια μιας συνολικής διαχείρισης των κινδύνων ενός χαρτοφυλακίου περιουσιακών στοιχείων. Α</w:t>
      </w:r>
      <w:r>
        <w:t>λλά και η σύγχρονη χρηματοπιστωτικ</w:t>
      </w:r>
      <w:r w:rsidR="00F82003">
        <w:t>ή κρίση ανέδειξε την αδυναμία τ</w:t>
      </w:r>
      <w:r>
        <w:t>ο</w:t>
      </w:r>
      <w:r w:rsidR="00F82003">
        <w:t>υ</w:t>
      </w:r>
      <w:r>
        <w:t xml:space="preserve"> μέτρου αυτού δημιουργώντας το έναυσμα</w:t>
      </w:r>
      <w:r w:rsidR="00D4417C">
        <w:t xml:space="preserve"> για εξεύρεση νέων μεθόδων συνολικής διαχείρισης κινδύνων.</w:t>
      </w:r>
    </w:p>
    <w:p w:rsidR="00E87600" w:rsidRPr="005C2C50" w:rsidRDefault="00E87600" w:rsidP="00D4417C">
      <w:pPr>
        <w:jc w:val="both"/>
      </w:pPr>
    </w:p>
    <w:tbl>
      <w:tblPr>
        <w:tblStyle w:val="af3"/>
        <w:tblW w:w="0" w:type="auto"/>
        <w:tblLook w:val="04A0"/>
      </w:tblPr>
      <w:tblGrid>
        <w:gridCol w:w="8528"/>
      </w:tblGrid>
      <w:tr w:rsidR="005E0896" w:rsidRPr="005E0896" w:rsidTr="005E0896">
        <w:tc>
          <w:tcPr>
            <w:tcW w:w="8528" w:type="dxa"/>
          </w:tcPr>
          <w:p w:rsidR="005E0896" w:rsidRDefault="005E0896" w:rsidP="001029A4">
            <w:pPr>
              <w:jc w:val="both"/>
              <w:rPr>
                <w:b/>
                <w:i/>
                <w:u w:val="single"/>
              </w:rPr>
            </w:pPr>
            <w:r w:rsidRPr="005E0896">
              <w:rPr>
                <w:b/>
                <w:i/>
                <w:u w:val="single"/>
              </w:rPr>
              <w:t xml:space="preserve">Πλαίσιο Ανάλυσης 2 </w:t>
            </w:r>
          </w:p>
          <w:p w:rsidR="005E0896" w:rsidRDefault="005E0896" w:rsidP="001029A4">
            <w:pPr>
              <w:jc w:val="both"/>
              <w:rPr>
                <w:b/>
                <w:i/>
                <w:u w:val="single"/>
              </w:rPr>
            </w:pPr>
            <w:r w:rsidRPr="005E0896">
              <w:rPr>
                <w:b/>
                <w:i/>
                <w:u w:val="single"/>
              </w:rPr>
              <w:t xml:space="preserve">Παράδειγματα Υπολογισμού Αξίας σε κίνδυνο </w:t>
            </w:r>
          </w:p>
          <w:p w:rsidR="005E0896" w:rsidRDefault="005E0896" w:rsidP="005E0896">
            <w:pPr>
              <w:autoSpaceDE w:val="0"/>
              <w:autoSpaceDN w:val="0"/>
              <w:adjustRightInd w:val="0"/>
              <w:spacing w:line="360" w:lineRule="auto"/>
              <w:jc w:val="both"/>
            </w:pPr>
            <w:r>
              <w:t>Α) Να υπολογιστεί η 95% VaR (Value-at-Risk) για μια μέρα και 2 εβδομάδες της ακόλουθης επενδυτικής θέσης: διαπραγμάτευση 100 μετοχών της Εταιρείας ΑΑΑ στην τιμή των 113€/μετοχή όταν η διακύμανση ενός έτους των αποδόσεων της μετοχής είναι 0,0441. Υποθέστε ότι το έτος έχει 250 ημέρες και η τιμή α για την 95% VaR είναι 1,65.</w:t>
            </w:r>
          </w:p>
          <w:p w:rsidR="005E0896" w:rsidRPr="00900D56" w:rsidRDefault="005E0896" w:rsidP="005E0896">
            <w:pPr>
              <w:autoSpaceDE w:val="0"/>
              <w:autoSpaceDN w:val="0"/>
              <w:adjustRightInd w:val="0"/>
              <w:spacing w:line="360" w:lineRule="auto"/>
              <w:jc w:val="both"/>
              <w:rPr>
                <w:i/>
                <w:u w:val="single"/>
              </w:rPr>
            </w:pPr>
            <w:r>
              <w:rPr>
                <w:i/>
                <w:u w:val="single"/>
              </w:rPr>
              <w:t>Λύση</w:t>
            </w:r>
          </w:p>
          <w:p w:rsidR="005E0896" w:rsidRDefault="005E0896" w:rsidP="005E0896">
            <w:pPr>
              <w:autoSpaceDE w:val="0"/>
              <w:autoSpaceDN w:val="0"/>
              <w:adjustRightInd w:val="0"/>
              <w:spacing w:line="360" w:lineRule="auto"/>
              <w:jc w:val="both"/>
            </w:pPr>
            <w:r>
              <w:t xml:space="preserve">Η τυπική απόκλιση ενός έτους είναι η ρίζα της διακύμανσης </w:t>
            </w:r>
            <m:oMath>
              <m:sSub>
                <m:sSubPr>
                  <m:ctrlPr>
                    <w:rPr>
                      <w:rFonts w:ascii="Cambria Math" w:hAnsi="Cambria Math"/>
                      <w:i/>
                    </w:rPr>
                  </m:ctrlPr>
                </m:sSubPr>
                <m:e>
                  <m:r>
                    <w:rPr>
                      <w:rFonts w:ascii="Cambria Math" w:hAnsi="Cambria Math"/>
                    </w:rPr>
                    <m:t>σ</m:t>
                  </m:r>
                </m:e>
                <m:sub>
                  <m:r>
                    <w:rPr>
                      <w:rFonts w:ascii="Cambria Math" w:hAnsi="Cambria Math"/>
                    </w:rPr>
                    <m:t>ΑΑΑ</m:t>
                  </m:r>
                </m:sub>
              </m:sSub>
              <m:r>
                <w:rPr>
                  <w:rFonts w:ascii="Cambria Math" w:hAnsi="Cambria Math"/>
                </w:rPr>
                <m:t>=</m:t>
              </m:r>
              <m:rad>
                <m:radPr>
                  <m:degHide m:val="on"/>
                  <m:ctrlPr>
                    <w:rPr>
                      <w:rFonts w:ascii="Cambria Math" w:hAnsi="Cambria Math"/>
                      <w:i/>
                    </w:rPr>
                  </m:ctrlPr>
                </m:radPr>
                <m:deg/>
                <m:e>
                  <m:r>
                    <w:rPr>
                      <w:rFonts w:ascii="Cambria Math" w:hAnsi="Cambria Math"/>
                    </w:rPr>
                    <m:t>0,0441</m:t>
                  </m:r>
                </m:e>
              </m:rad>
              <m:r>
                <w:rPr>
                  <w:rFonts w:ascii="Cambria Math" w:hAnsi="Cambria Math"/>
                </w:rPr>
                <m:t>=0,21</m:t>
              </m:r>
            </m:oMath>
            <w:r>
              <w:t>.</w:t>
            </w:r>
          </w:p>
          <w:p w:rsidR="005E0896" w:rsidRDefault="005E0896" w:rsidP="005E0896">
            <w:pPr>
              <w:autoSpaceDE w:val="0"/>
              <w:autoSpaceDN w:val="0"/>
              <w:adjustRightInd w:val="0"/>
              <w:spacing w:line="360" w:lineRule="auto"/>
              <w:jc w:val="both"/>
            </w:pPr>
            <w:r>
              <w:t xml:space="preserve">Στην κανονική κατανομή για 95% διάστημα εμπιστοσύνης το α είναι 1,65. Η ετήσια απόκλιση για να γίνει ημερήσια διαιρείται με την ρίζα του 250 δηλ. </w:t>
            </w:r>
            <m:oMath>
              <m:sSub>
                <m:sSubPr>
                  <m:ctrlPr>
                    <w:rPr>
                      <w:rFonts w:ascii="Cambria Math" w:hAnsi="Cambria Math"/>
                      <w:i/>
                    </w:rPr>
                  </m:ctrlPr>
                </m:sSubPr>
                <m:e>
                  <m:r>
                    <w:rPr>
                      <w:rFonts w:ascii="Cambria Math" w:hAnsi="Cambria Math"/>
                    </w:rPr>
                    <m:t>σ</m:t>
                  </m:r>
                </m:e>
                <m:sub>
                  <m:r>
                    <w:rPr>
                      <w:rFonts w:ascii="Cambria Math" w:hAnsi="Cambria Math"/>
                    </w:rPr>
                    <m:t>ΑΑΑ</m:t>
                  </m:r>
                </m:sub>
              </m:sSub>
              <m:r>
                <w:rPr>
                  <w:rFonts w:ascii="Cambria Math" w:hAnsi="Cambria Math"/>
                </w:rPr>
                <m:t>=0,21(</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250</m:t>
                      </m:r>
                    </m:e>
                  </m:rad>
                </m:den>
              </m:f>
              <m:r>
                <w:rPr>
                  <w:rFonts w:ascii="Cambria Math" w:hAnsi="Cambria Math"/>
                </w:rPr>
                <m:t>)=0,013282</m:t>
              </m:r>
            </m:oMath>
            <w:r>
              <w:t>.</w:t>
            </w:r>
          </w:p>
          <w:p w:rsidR="005E0896" w:rsidRDefault="005E0896" w:rsidP="005E0896">
            <w:pPr>
              <w:autoSpaceDE w:val="0"/>
              <w:autoSpaceDN w:val="0"/>
              <w:adjustRightInd w:val="0"/>
              <w:spacing w:line="360" w:lineRule="auto"/>
              <w:jc w:val="both"/>
            </w:pPr>
            <w:r>
              <w:t xml:space="preserve">Άρα </w:t>
            </w:r>
            <m:oMath>
              <m:sSub>
                <m:sSubPr>
                  <m:ctrlPr>
                    <w:rPr>
                      <w:rFonts w:ascii="Cambria Math" w:hAnsi="Cambria Math"/>
                      <w:i/>
                    </w:rPr>
                  </m:ctrlPr>
                </m:sSubPr>
                <m:e>
                  <m:r>
                    <w:rPr>
                      <w:rFonts w:ascii="Cambria Math" w:hAnsi="Cambria Math"/>
                      <w:lang w:val="en-US"/>
                    </w:rPr>
                    <m:t>VaR</m:t>
                  </m:r>
                  <m:r>
                    <w:rPr>
                      <w:rFonts w:ascii="Cambria Math" w:hAnsi="Cambria Math"/>
                    </w:rPr>
                    <m:t>=</m:t>
                  </m:r>
                  <m:r>
                    <w:rPr>
                      <w:rFonts w:ascii="Cambria Math" w:hAnsi="Cambria Math"/>
                      <w:lang w:val="en-US"/>
                    </w:rPr>
                    <m:t>a</m:t>
                  </m:r>
                  <m:r>
                    <w:rPr>
                      <w:rFonts w:ascii="Cambria Math" w:hAnsi="Cambria Math"/>
                    </w:rPr>
                    <m:t>σ</m:t>
                  </m:r>
                </m:e>
                <m:sub>
                  <m:r>
                    <w:rPr>
                      <w:rFonts w:ascii="Cambria Math" w:hAnsi="Cambria Math"/>
                    </w:rPr>
                    <m:t>W</m:t>
                  </m:r>
                </m:sub>
              </m:sSub>
              <m:r>
                <w:rPr>
                  <w:rFonts w:ascii="Cambria Math" w:hAnsi="Cambria Math"/>
                </w:rPr>
                <m:t>=1,65×1×0,0132×</m:t>
              </m:r>
              <m:d>
                <m:dPr>
                  <m:ctrlPr>
                    <w:rPr>
                      <w:rFonts w:ascii="Cambria Math" w:hAnsi="Cambria Math"/>
                      <w:i/>
                    </w:rPr>
                  </m:ctrlPr>
                </m:dPr>
                <m:e>
                  <m:r>
                    <w:rPr>
                      <w:rFonts w:ascii="Cambria Math" w:hAnsi="Cambria Math"/>
                    </w:rPr>
                    <m:t>100×113</m:t>
                  </m:r>
                </m:e>
              </m:d>
              <m:r>
                <w:rPr>
                  <w:rFonts w:ascii="Cambria Math" w:hAnsi="Cambria Math"/>
                </w:rPr>
                <m:t>=247,</m:t>
              </m:r>
              <m:r>
                <w:rPr>
                  <w:rFonts w:ascii="Cambria Math" w:hAnsi="Cambria Math"/>
                </w:rPr>
                <m:t>643</m:t>
              </m:r>
            </m:oMath>
            <w:r>
              <w:t>€</w:t>
            </w:r>
            <w:r w:rsidRPr="00900D56">
              <w:t xml:space="preserve">. </w:t>
            </w:r>
            <w:r>
              <w:t xml:space="preserve">Για δύο εβδομάδες </w:t>
            </w:r>
            <w:r>
              <w:lastRenderedPageBreak/>
              <w:t>επειδή έχουμε 10 εργάσιμες μέρες η VaR</w:t>
            </w:r>
            <w:r w:rsidRPr="00900D56">
              <w:t xml:space="preserve"> </w:t>
            </w:r>
            <w:r>
              <w:t xml:space="preserve">θα είναι: </w:t>
            </w:r>
          </w:p>
          <w:p w:rsidR="005E0896" w:rsidRDefault="005E0896" w:rsidP="005E0896">
            <w:pPr>
              <w:autoSpaceDE w:val="0"/>
              <w:autoSpaceDN w:val="0"/>
              <w:adjustRightInd w:val="0"/>
              <w:spacing w:line="360" w:lineRule="auto"/>
              <w:jc w:val="both"/>
            </w:pPr>
            <m:oMath>
              <m:r>
                <w:rPr>
                  <w:rFonts w:ascii="Cambria Math" w:hAnsi="Cambria Math"/>
                  <w:lang w:val="en-US"/>
                </w:rPr>
                <m:t>VaR</m:t>
              </m:r>
              <m:r>
                <w:rPr>
                  <w:rFonts w:ascii="Cambria Math" w:hAnsi="Cambria Math"/>
                </w:rPr>
                <m:t>=1,65×</m:t>
              </m:r>
              <m:rad>
                <m:radPr>
                  <m:degHide m:val="on"/>
                  <m:ctrlPr>
                    <w:rPr>
                      <w:rFonts w:ascii="Cambria Math" w:hAnsi="Cambria Math"/>
                      <w:i/>
                    </w:rPr>
                  </m:ctrlPr>
                </m:radPr>
                <m:deg/>
                <m:e>
                  <m:r>
                    <w:rPr>
                      <w:rFonts w:ascii="Cambria Math" w:hAnsi="Cambria Math"/>
                    </w:rPr>
                    <m:t>10</m:t>
                  </m:r>
                </m:e>
              </m:rad>
              <m:r>
                <w:rPr>
                  <w:rFonts w:ascii="Cambria Math" w:hAnsi="Cambria Math"/>
                </w:rPr>
                <m:t>×0,0132×</m:t>
              </m:r>
              <m:d>
                <m:dPr>
                  <m:ctrlPr>
                    <w:rPr>
                      <w:rFonts w:ascii="Cambria Math" w:hAnsi="Cambria Math"/>
                      <w:i/>
                    </w:rPr>
                  </m:ctrlPr>
                </m:dPr>
                <m:e>
                  <m:r>
                    <w:rPr>
                      <w:rFonts w:ascii="Cambria Math" w:hAnsi="Cambria Math"/>
                    </w:rPr>
                    <m:t>100×113</m:t>
                  </m:r>
                </m:e>
              </m:d>
              <m:r>
                <w:rPr>
                  <w:rFonts w:ascii="Cambria Math" w:hAnsi="Cambria Math"/>
                </w:rPr>
                <m:t>=783,</m:t>
              </m:r>
              <m:r>
                <w:rPr>
                  <w:rFonts w:ascii="Cambria Math" w:hAnsi="Cambria Math"/>
                </w:rPr>
                <m:t>116</m:t>
              </m:r>
            </m:oMath>
            <w:r>
              <w:t>€</w:t>
            </w:r>
            <w:r w:rsidRPr="00900D56">
              <w:t>.</w:t>
            </w:r>
          </w:p>
          <w:p w:rsidR="005E0896" w:rsidRDefault="005E0896" w:rsidP="005E0896">
            <w:pPr>
              <w:autoSpaceDE w:val="0"/>
              <w:autoSpaceDN w:val="0"/>
              <w:adjustRightInd w:val="0"/>
              <w:spacing w:line="360" w:lineRule="auto"/>
              <w:jc w:val="both"/>
            </w:pPr>
          </w:p>
          <w:p w:rsidR="005E0896" w:rsidRDefault="005E0896" w:rsidP="005E0896">
            <w:pPr>
              <w:autoSpaceDE w:val="0"/>
              <w:autoSpaceDN w:val="0"/>
              <w:adjustRightInd w:val="0"/>
              <w:spacing w:line="360" w:lineRule="auto"/>
              <w:jc w:val="both"/>
            </w:pPr>
            <w:r>
              <w:t>Β) Να υπολογιστεί η 95% VaR χαρτοφυλακίου των μετοχών των εταιρειών Ζ και Ψ με την μέθοδο διακύμανσης/συνδιακύμανσης καθώς και ο διαφοροποιημένος κίνδυνος όταν δίνονται τα παρακάτω δεδομένα.</w:t>
            </w:r>
          </w:p>
          <w:p w:rsidR="005E0896" w:rsidRDefault="005E0896" w:rsidP="005E0896">
            <w:pPr>
              <w:autoSpaceDE w:val="0"/>
              <w:autoSpaceDN w:val="0"/>
              <w:adjustRightInd w:val="0"/>
              <w:spacing w:line="360" w:lineRule="auto"/>
              <w:jc w:val="both"/>
            </w:pPr>
            <w:r>
              <w:t>Εταιρεία Ζ: Αριθμός μετοχών 100, τιμή/μετοχή=35,61€ και ενός χρόνου μεταβλητικότητα=18%. Εταιρεία Ψ: Αριθμός μετοχών 50, τιμή/μετοχή =71,15€ και ενός χρόνου μεταβλητικότητα=16%. Ο συντελεστής συσχέτισης τους είναι 40%. Υποθέστε ότι το έτος έχει 250 ημέρες και η τιμή α για την 95% VaR είναι 1,65.</w:t>
            </w:r>
          </w:p>
          <w:p w:rsidR="005E0896" w:rsidRDefault="005E0896" w:rsidP="005E0896">
            <w:pPr>
              <w:autoSpaceDE w:val="0"/>
              <w:autoSpaceDN w:val="0"/>
              <w:adjustRightInd w:val="0"/>
              <w:spacing w:line="360" w:lineRule="auto"/>
              <w:jc w:val="both"/>
            </w:pPr>
            <w:r>
              <w:t>Εξηγείστε το αποτέλεσμα της διαφοροποίησης.</w:t>
            </w:r>
          </w:p>
          <w:p w:rsidR="005E0896" w:rsidRPr="00900D56" w:rsidRDefault="005E0896" w:rsidP="005E0896">
            <w:pPr>
              <w:autoSpaceDE w:val="0"/>
              <w:autoSpaceDN w:val="0"/>
              <w:adjustRightInd w:val="0"/>
              <w:spacing w:line="360" w:lineRule="auto"/>
              <w:jc w:val="both"/>
              <w:rPr>
                <w:i/>
                <w:u w:val="single"/>
              </w:rPr>
            </w:pPr>
            <w:r>
              <w:rPr>
                <w:i/>
                <w:u w:val="single"/>
              </w:rPr>
              <w:t>Λύση</w:t>
            </w:r>
          </w:p>
          <w:p w:rsidR="005E0896" w:rsidRPr="005C2C50" w:rsidRDefault="00177F7A" w:rsidP="005E0896">
            <w:pPr>
              <w:autoSpaceDE w:val="0"/>
              <w:autoSpaceDN w:val="0"/>
              <w:adjustRightInd w:val="0"/>
              <w:spacing w:line="360" w:lineRule="auto"/>
              <w:jc w:val="both"/>
            </w:pPr>
            <m:oMath>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z</m:t>
                  </m:r>
                </m:sub>
              </m:sSub>
              <m:r>
                <w:rPr>
                  <w:rFonts w:ascii="Cambria Math" w:hAnsi="Cambria Math"/>
                </w:rPr>
                <m:t>=100×35,61×0,18×1,65=640,98×1,65=1057,617</m:t>
              </m:r>
            </m:oMath>
            <w:r w:rsidR="005E0896">
              <w:t>€</w:t>
            </w:r>
          </w:p>
          <w:p w:rsidR="005E0896" w:rsidRPr="005C2C50" w:rsidRDefault="00177F7A" w:rsidP="005E0896">
            <w:pPr>
              <w:autoSpaceDE w:val="0"/>
              <w:autoSpaceDN w:val="0"/>
              <w:adjustRightInd w:val="0"/>
              <w:spacing w:line="360" w:lineRule="auto"/>
              <w:jc w:val="both"/>
            </w:pPr>
            <m:oMath>
              <m:sSub>
                <m:sSubPr>
                  <m:ctrlPr>
                    <w:rPr>
                      <w:rFonts w:ascii="Cambria Math" w:hAnsi="Cambria Math"/>
                      <w:i/>
                      <w:lang w:val="en-US"/>
                    </w:rPr>
                  </m:ctrlPr>
                </m:sSubPr>
                <m:e>
                  <m:r>
                    <w:rPr>
                      <w:rFonts w:ascii="Cambria Math" w:hAnsi="Cambria Math"/>
                      <w:lang w:val="en-US"/>
                    </w:rPr>
                    <m:t>VaR</m:t>
                  </m:r>
                </m:e>
                <m:sub>
                  <m:r>
                    <w:rPr>
                      <w:rFonts w:ascii="Cambria Math" w:hAnsi="Cambria Math"/>
                    </w:rPr>
                    <m:t>Ψ</m:t>
                  </m:r>
                </m:sub>
              </m:sSub>
              <m:r>
                <w:rPr>
                  <w:rFonts w:ascii="Cambria Math" w:hAnsi="Cambria Math"/>
                </w:rPr>
                <m:t>=50×71,15×0,16×1,65=569,2×1,65=939,18</m:t>
              </m:r>
            </m:oMath>
            <w:r w:rsidR="005E0896">
              <w:t>€</w:t>
            </w:r>
          </w:p>
          <w:p w:rsidR="005E0896" w:rsidRPr="005C2C50" w:rsidRDefault="00177F7A" w:rsidP="005E0896">
            <w:pPr>
              <w:autoSpaceDE w:val="0"/>
              <w:autoSpaceDN w:val="0"/>
              <w:adjustRightInd w:val="0"/>
              <w:spacing w:line="360" w:lineRule="auto"/>
              <w:jc w:val="both"/>
            </w:pPr>
            <m:oMath>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Χαρτ</m:t>
                  </m:r>
                </m:sub>
              </m:sSub>
              <m:r>
                <w:rPr>
                  <w:rFonts w:ascii="Cambria Math" w:hAnsi="Cambria Math"/>
                </w:rPr>
                <m:t>=</m:t>
              </m:r>
              <m:rad>
                <m:radPr>
                  <m:degHide m:val="on"/>
                  <m:ctrlPr>
                    <w:rPr>
                      <w:rFonts w:ascii="Cambria Math" w:hAnsi="Cambria Math"/>
                      <w:i/>
                    </w:rPr>
                  </m:ctrlPr>
                </m:radPr>
                <m:deg/>
                <m:e>
                  <m:r>
                    <w:rPr>
                      <w:rFonts w:ascii="Cambria Math" w:hAnsi="Cambria Math"/>
                    </w:rPr>
                    <m:t>(</m:t>
                  </m:r>
                  <m:sSubSup>
                    <m:sSubSupPr>
                      <m:ctrlPr>
                        <w:rPr>
                          <w:rFonts w:ascii="Cambria Math" w:hAnsi="Cambria Math"/>
                          <w:i/>
                          <w:lang w:val="en-US"/>
                        </w:rPr>
                      </m:ctrlPr>
                    </m:sSubSupPr>
                    <m:e>
                      <m:r>
                        <w:rPr>
                          <w:rFonts w:ascii="Cambria Math" w:hAnsi="Cambria Math"/>
                          <w:lang w:val="en-US"/>
                        </w:rPr>
                        <m:t>VaR</m:t>
                      </m:r>
                    </m:e>
                    <m:sub>
                      <m:r>
                        <w:rPr>
                          <w:rFonts w:ascii="Cambria Math" w:hAnsi="Cambria Math"/>
                          <w:lang w:val="en-US"/>
                        </w:rPr>
                        <m:t>z</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VaR</m:t>
                      </m:r>
                    </m:e>
                    <m:sub>
                      <m:r>
                        <w:rPr>
                          <w:rFonts w:ascii="Cambria Math" w:hAnsi="Cambria Math"/>
                        </w:rPr>
                        <m:t>Ψ</m:t>
                      </m:r>
                    </m:sub>
                    <m:sup>
                      <m:r>
                        <w:rPr>
                          <w:rFonts w:ascii="Cambria Math" w:hAnsi="Cambria Math"/>
                        </w:rPr>
                        <m:t>2</m:t>
                      </m:r>
                    </m:sup>
                  </m:sSubSup>
                  <m:r>
                    <w:rPr>
                      <w:rFonts w:ascii="Cambria Math" w:hAnsi="Cambria Math"/>
                    </w:rPr>
                    <m:t>+2×ρ×</m:t>
                  </m:r>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z</m:t>
                      </m:r>
                    </m:sub>
                  </m:sSub>
                  <m:r>
                    <w:rPr>
                      <w:rFonts w:ascii="Cambria Math" w:hAnsi="Cambria Math"/>
                    </w:rPr>
                    <m:t>×</m:t>
                  </m:r>
                  <m:sSub>
                    <m:sSubPr>
                      <m:ctrlPr>
                        <w:rPr>
                          <w:rFonts w:ascii="Cambria Math" w:hAnsi="Cambria Math"/>
                          <w:i/>
                          <w:lang w:val="en-US"/>
                        </w:rPr>
                      </m:ctrlPr>
                    </m:sSubPr>
                    <m:e>
                      <m:r>
                        <w:rPr>
                          <w:rFonts w:ascii="Cambria Math" w:hAnsi="Cambria Math"/>
                          <w:lang w:val="en-US"/>
                        </w:rPr>
                        <m:t>VaR</m:t>
                      </m:r>
                    </m:e>
                    <m:sub>
                      <m:r>
                        <w:rPr>
                          <w:rFonts w:ascii="Cambria Math" w:hAnsi="Cambria Math"/>
                        </w:rPr>
                        <m:t>Ψ</m:t>
                      </m:r>
                    </m:sub>
                  </m:sSub>
                  <m:r>
                    <w:rPr>
                      <w:rFonts w:ascii="Cambria Math" w:hAnsi="Cambria Math"/>
                    </w:rPr>
                    <m:t>)</m:t>
                  </m:r>
                </m:e>
              </m:rad>
              <m:r>
                <w:rPr>
                  <w:rFonts w:ascii="Cambria Math" w:hAnsi="Cambria Math"/>
                </w:rPr>
                <m:t>=1671,89</m:t>
              </m:r>
            </m:oMath>
            <w:r w:rsidR="005E0896">
              <w:t>€</w:t>
            </w:r>
          </w:p>
          <w:p w:rsidR="005E0896" w:rsidRPr="008F74D1" w:rsidRDefault="005E0896" w:rsidP="005E0896">
            <w:pPr>
              <w:autoSpaceDE w:val="0"/>
              <w:autoSpaceDN w:val="0"/>
              <w:adjustRightInd w:val="0"/>
              <w:spacing w:line="360" w:lineRule="auto"/>
              <w:jc w:val="both"/>
            </w:pPr>
            <w:r>
              <w:t xml:space="preserve">Το απλό άθροισμα των μεμονωμένων VaR είναι 1057,617€+939,18€ =1996,797€ Οπότε το κέρδος της διαφοροποίησης είναι 1996,797€-1671,899€= 324,898€ </w:t>
            </w:r>
          </w:p>
          <w:p w:rsidR="005E0896" w:rsidRPr="008F74D1" w:rsidRDefault="00177F7A" w:rsidP="005E0896">
            <w:pPr>
              <w:autoSpaceDE w:val="0"/>
              <w:autoSpaceDN w:val="0"/>
              <w:adjustRightInd w:val="0"/>
              <w:spacing w:line="360" w:lineRule="auto"/>
              <w:jc w:val="both"/>
              <w:rPr>
                <w:lang w:val="en-US"/>
              </w:rPr>
            </w:pPr>
            <m:oMathPara>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Χαρτ</m:t>
                    </m:r>
                  </m:sub>
                </m:sSub>
                <m:r>
                  <w:rPr>
                    <w:rFonts w:ascii="Cambria Math" w:hAnsi="Cambria Math"/>
                    <w:lang w:val="en-US"/>
                  </w:rPr>
                  <m:t>=</m:t>
                </m:r>
                <m:rad>
                  <m:radPr>
                    <m:degHide m:val="on"/>
                    <m:ctrlPr>
                      <w:rPr>
                        <w:rFonts w:ascii="Cambria Math" w:hAnsi="Cambria Math"/>
                        <w:i/>
                      </w:rPr>
                    </m:ctrlPr>
                  </m:radPr>
                  <m:deg/>
                  <m:e>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z</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rPr>
                          <m:t>σ</m:t>
                        </m:r>
                      </m:e>
                      <m:sub>
                        <m:r>
                          <w:rPr>
                            <w:rFonts w:ascii="Cambria Math" w:hAnsi="Cambria Math"/>
                            <w:lang w:val="en-US"/>
                          </w:rPr>
                          <m:t>z</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Ψ</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rPr>
                          <m:t>σ</m:t>
                        </m:r>
                      </m:e>
                      <m:sub>
                        <m:r>
                          <w:rPr>
                            <w:rFonts w:ascii="Cambria Math" w:hAnsi="Cambria Math"/>
                            <w:lang w:val="en-US"/>
                          </w:rPr>
                          <m:t>Ψ</m:t>
                        </m:r>
                      </m:sub>
                      <m:sup>
                        <m:r>
                          <w:rPr>
                            <w:rFonts w:ascii="Cambria Math" w:hAnsi="Cambria Math"/>
                            <w:lang w:val="en-US"/>
                          </w:rPr>
                          <m:t>2</m:t>
                        </m:r>
                      </m:sup>
                    </m:sSubSup>
                    <m:r>
                      <w:rPr>
                        <w:rFonts w:ascii="Cambria Math" w:hAnsi="Cambria Math"/>
                        <w:lang w:val="en-US"/>
                      </w:rPr>
                      <m:t>+2×</m:t>
                    </m:r>
                    <m:r>
                      <w:rPr>
                        <w:rFonts w:ascii="Cambria Math" w:hAnsi="Cambria Math"/>
                      </w:rPr>
                      <m:t>ρ</m:t>
                    </m:r>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Ψ</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rPr>
                          <m:t>Ψ</m:t>
                        </m:r>
                      </m:sub>
                    </m:sSub>
                    <m:r>
                      <w:rPr>
                        <w:rFonts w:ascii="Cambria Math" w:hAnsi="Cambria Math"/>
                        <w:lang w:val="en-US"/>
                      </w:rPr>
                      <m:t>)</m:t>
                    </m:r>
                  </m:e>
                </m:rad>
                <m:r>
                  <w:rPr>
                    <w:rFonts w:ascii="Cambria Math" w:hAnsi="Cambria Math"/>
                    <w:lang w:val="en-US"/>
                  </w:rPr>
                  <m:t>=0,1864</m:t>
                </m:r>
              </m:oMath>
            </m:oMathPara>
          </w:p>
          <w:p w:rsidR="005E0896" w:rsidRDefault="005E0896" w:rsidP="005E0896">
            <w:pPr>
              <w:autoSpaceDE w:val="0"/>
              <w:autoSpaceDN w:val="0"/>
              <w:adjustRightInd w:val="0"/>
              <w:spacing w:line="360" w:lineRule="auto"/>
              <w:jc w:val="both"/>
            </w:pPr>
            <w:r>
              <w:t>Το απλό άθροισμα των κινδύνων είναι συνολικό=0,18+0,16=0,34 Άρα το αποτέλεσμα της διαφοροποίησης φαίνεται και από τον υπολογισμό του διαφοροποιημένου κινδύνου.</w:t>
            </w:r>
          </w:p>
          <w:p w:rsidR="005E0896" w:rsidRDefault="005E0896" w:rsidP="005E0896">
            <w:pPr>
              <w:autoSpaceDE w:val="0"/>
              <w:autoSpaceDN w:val="0"/>
              <w:adjustRightInd w:val="0"/>
              <w:spacing w:line="360" w:lineRule="auto"/>
              <w:jc w:val="both"/>
            </w:pPr>
          </w:p>
          <w:p w:rsidR="005E0896" w:rsidRDefault="005E0896" w:rsidP="005E0896">
            <w:pPr>
              <w:autoSpaceDE w:val="0"/>
              <w:autoSpaceDN w:val="0"/>
              <w:adjustRightInd w:val="0"/>
              <w:spacing w:line="360" w:lineRule="auto"/>
              <w:jc w:val="both"/>
            </w:pPr>
          </w:p>
          <w:p w:rsidR="005E0896" w:rsidRDefault="005E0896" w:rsidP="005E0896">
            <w:pPr>
              <w:autoSpaceDE w:val="0"/>
              <w:autoSpaceDN w:val="0"/>
              <w:adjustRightInd w:val="0"/>
              <w:spacing w:line="360" w:lineRule="auto"/>
              <w:jc w:val="both"/>
            </w:pPr>
            <w:r>
              <w:t>Γ) Στη συνέχεια χρησιμοποιόντας τα δεδομένα της προηγούμενης άσκησης να επαναληφθεί ο ίδιος έλεγχος για την περίπτωση της 95 % VaR μιας ημέρας. Και σε αυτή την περίπτωση υποθέστε ότι το έτος έχει 250 ημέρες και η τιμή α για την 95% VaR είναι 1,65.</w:t>
            </w:r>
          </w:p>
          <w:p w:rsidR="005E0896" w:rsidRDefault="005E0896" w:rsidP="005E0896">
            <w:pPr>
              <w:autoSpaceDE w:val="0"/>
              <w:autoSpaceDN w:val="0"/>
              <w:adjustRightInd w:val="0"/>
              <w:spacing w:line="360" w:lineRule="auto"/>
              <w:jc w:val="both"/>
            </w:pPr>
          </w:p>
          <w:p w:rsidR="005E0896" w:rsidRPr="00900D56" w:rsidRDefault="005E0896" w:rsidP="005E0896">
            <w:pPr>
              <w:autoSpaceDE w:val="0"/>
              <w:autoSpaceDN w:val="0"/>
              <w:adjustRightInd w:val="0"/>
              <w:spacing w:line="360" w:lineRule="auto"/>
              <w:jc w:val="both"/>
              <w:rPr>
                <w:i/>
                <w:u w:val="single"/>
              </w:rPr>
            </w:pPr>
            <w:r>
              <w:rPr>
                <w:i/>
                <w:u w:val="single"/>
              </w:rPr>
              <w:t>Λύση</w:t>
            </w:r>
          </w:p>
          <w:p w:rsidR="005E0896" w:rsidRDefault="005E0896" w:rsidP="005E0896">
            <w:pPr>
              <w:autoSpaceDE w:val="0"/>
              <w:autoSpaceDN w:val="0"/>
              <w:adjustRightInd w:val="0"/>
              <w:spacing w:line="360" w:lineRule="auto"/>
              <w:jc w:val="both"/>
            </w:pPr>
            <w:r>
              <w:t>Για την VaR της μιας μέρας έχουμε</w:t>
            </w:r>
          </w:p>
          <w:p w:rsidR="005E0896" w:rsidRPr="005C2C50" w:rsidRDefault="00177F7A" w:rsidP="005E0896">
            <w:pPr>
              <w:autoSpaceDE w:val="0"/>
              <w:autoSpaceDN w:val="0"/>
              <w:adjustRightInd w:val="0"/>
              <w:spacing w:line="360" w:lineRule="auto"/>
              <w:jc w:val="both"/>
            </w:pPr>
            <m:oMath>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z</m:t>
                  </m:r>
                </m:sub>
              </m:sSub>
              <m:r>
                <w:rPr>
                  <w:rFonts w:ascii="Cambria Math" w:hAnsi="Cambria Math"/>
                </w:rPr>
                <m:t>=100×35,61×0,18×(</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250</m:t>
                      </m:r>
                    </m:e>
                  </m:rad>
                </m:den>
              </m:f>
              <m:r>
                <w:rPr>
                  <w:rFonts w:ascii="Cambria Math" w:hAnsi="Cambria Math"/>
                </w:rPr>
                <m:t>)×1,65=40,5391×1,65=66,889</m:t>
              </m:r>
            </m:oMath>
            <w:r w:rsidR="005E0896">
              <w:t>€</w:t>
            </w:r>
          </w:p>
          <w:p w:rsidR="005E0896" w:rsidRPr="005C2C50" w:rsidRDefault="00177F7A" w:rsidP="005E0896">
            <w:pPr>
              <w:autoSpaceDE w:val="0"/>
              <w:autoSpaceDN w:val="0"/>
              <w:adjustRightInd w:val="0"/>
              <w:spacing w:line="360" w:lineRule="auto"/>
              <w:jc w:val="both"/>
            </w:pPr>
            <m:oMath>
              <m:sSub>
                <m:sSubPr>
                  <m:ctrlPr>
                    <w:rPr>
                      <w:rFonts w:ascii="Cambria Math" w:hAnsi="Cambria Math"/>
                      <w:i/>
                      <w:lang w:val="en-US"/>
                    </w:rPr>
                  </m:ctrlPr>
                </m:sSubPr>
                <m:e>
                  <m:r>
                    <w:rPr>
                      <w:rFonts w:ascii="Cambria Math" w:hAnsi="Cambria Math"/>
                      <w:lang w:val="en-US"/>
                    </w:rPr>
                    <m:t>VaR</m:t>
                  </m:r>
                </m:e>
                <m:sub>
                  <m:r>
                    <w:rPr>
                      <w:rFonts w:ascii="Cambria Math" w:hAnsi="Cambria Math"/>
                    </w:rPr>
                    <m:t>Ψ</m:t>
                  </m:r>
                </m:sub>
              </m:sSub>
              <m:r>
                <w:rPr>
                  <w:rFonts w:ascii="Cambria Math" w:hAnsi="Cambria Math"/>
                </w:rPr>
                <m:t>=50×71,15×0,16×(</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250</m:t>
                      </m:r>
                    </m:e>
                  </m:rad>
                </m:den>
              </m:f>
              <m:r>
                <w:rPr>
                  <w:rFonts w:ascii="Cambria Math" w:hAnsi="Cambria Math"/>
                </w:rPr>
                <m:t>)×1,65=35,994×1,65=59,398</m:t>
              </m:r>
            </m:oMath>
            <w:r w:rsidR="005E0896">
              <w:t>€</w:t>
            </w:r>
          </w:p>
          <w:p w:rsidR="005E0896" w:rsidRPr="005C2C50" w:rsidRDefault="00177F7A" w:rsidP="005E0896">
            <w:pPr>
              <w:autoSpaceDE w:val="0"/>
              <w:autoSpaceDN w:val="0"/>
              <w:adjustRightInd w:val="0"/>
              <w:spacing w:line="360" w:lineRule="auto"/>
              <w:jc w:val="both"/>
            </w:pPr>
            <m:oMath>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Χαρτ</m:t>
                  </m:r>
                </m:sub>
              </m:sSub>
              <m:r>
                <w:rPr>
                  <w:rFonts w:ascii="Cambria Math" w:hAnsi="Cambria Math"/>
                </w:rPr>
                <m:t>=</m:t>
              </m:r>
              <m:rad>
                <m:radPr>
                  <m:degHide m:val="on"/>
                  <m:ctrlPr>
                    <w:rPr>
                      <w:rFonts w:ascii="Cambria Math" w:hAnsi="Cambria Math"/>
                      <w:i/>
                    </w:rPr>
                  </m:ctrlPr>
                </m:radPr>
                <m:deg/>
                <m:e>
                  <m:r>
                    <w:rPr>
                      <w:rFonts w:ascii="Cambria Math" w:hAnsi="Cambria Math"/>
                    </w:rPr>
                    <m:t>(</m:t>
                  </m:r>
                  <m:sSubSup>
                    <m:sSubSupPr>
                      <m:ctrlPr>
                        <w:rPr>
                          <w:rFonts w:ascii="Cambria Math" w:hAnsi="Cambria Math"/>
                          <w:i/>
                          <w:lang w:val="en-US"/>
                        </w:rPr>
                      </m:ctrlPr>
                    </m:sSubSupPr>
                    <m:e>
                      <m:r>
                        <w:rPr>
                          <w:rFonts w:ascii="Cambria Math" w:hAnsi="Cambria Math"/>
                          <w:lang w:val="en-US"/>
                        </w:rPr>
                        <m:t>VaR</m:t>
                      </m:r>
                    </m:e>
                    <m:sub>
                      <m:r>
                        <w:rPr>
                          <w:rFonts w:ascii="Cambria Math" w:hAnsi="Cambria Math"/>
                          <w:lang w:val="en-US"/>
                        </w:rPr>
                        <m:t>z</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VaR</m:t>
                      </m:r>
                    </m:e>
                    <m:sub>
                      <m:r>
                        <w:rPr>
                          <w:rFonts w:ascii="Cambria Math" w:hAnsi="Cambria Math"/>
                        </w:rPr>
                        <m:t>Ψ</m:t>
                      </m:r>
                    </m:sub>
                    <m:sup>
                      <m:r>
                        <w:rPr>
                          <w:rFonts w:ascii="Cambria Math" w:hAnsi="Cambria Math"/>
                        </w:rPr>
                        <m:t>2</m:t>
                      </m:r>
                    </m:sup>
                  </m:sSubSup>
                  <m:r>
                    <w:rPr>
                      <w:rFonts w:ascii="Cambria Math" w:hAnsi="Cambria Math"/>
                    </w:rPr>
                    <m:t>+2×ρ×</m:t>
                  </m:r>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z</m:t>
                      </m:r>
                    </m:sub>
                  </m:sSub>
                  <m:r>
                    <w:rPr>
                      <w:rFonts w:ascii="Cambria Math" w:hAnsi="Cambria Math"/>
                    </w:rPr>
                    <m:t>×</m:t>
                  </m:r>
                  <m:sSub>
                    <m:sSubPr>
                      <m:ctrlPr>
                        <w:rPr>
                          <w:rFonts w:ascii="Cambria Math" w:hAnsi="Cambria Math"/>
                          <w:i/>
                          <w:lang w:val="en-US"/>
                        </w:rPr>
                      </m:ctrlPr>
                    </m:sSubPr>
                    <m:e>
                      <m:r>
                        <w:rPr>
                          <w:rFonts w:ascii="Cambria Math" w:hAnsi="Cambria Math"/>
                          <w:lang w:val="en-US"/>
                        </w:rPr>
                        <m:t>VaR</m:t>
                      </m:r>
                    </m:e>
                    <m:sub>
                      <m:r>
                        <w:rPr>
                          <w:rFonts w:ascii="Cambria Math" w:hAnsi="Cambria Math"/>
                        </w:rPr>
                        <m:t>Ψ</m:t>
                      </m:r>
                    </m:sub>
                  </m:sSub>
                  <m:r>
                    <w:rPr>
                      <w:rFonts w:ascii="Cambria Math" w:hAnsi="Cambria Math"/>
                    </w:rPr>
                    <m:t>)</m:t>
                  </m:r>
                </m:e>
              </m:rad>
              <m:r>
                <w:rPr>
                  <w:rFonts w:ascii="Cambria Math" w:hAnsi="Cambria Math"/>
                </w:rPr>
                <m:t>=105,747</m:t>
              </m:r>
            </m:oMath>
            <w:r w:rsidR="005E0896">
              <w:t>€</w:t>
            </w:r>
          </w:p>
          <w:p w:rsidR="005E0896" w:rsidRDefault="005E0896" w:rsidP="005E0896">
            <w:pPr>
              <w:pStyle w:val="afc"/>
            </w:pPr>
          </w:p>
          <w:p w:rsidR="005E0896" w:rsidRDefault="005E0896" w:rsidP="005E0896">
            <w:pPr>
              <w:autoSpaceDE w:val="0"/>
              <w:autoSpaceDN w:val="0"/>
              <w:adjustRightInd w:val="0"/>
              <w:spacing w:line="360" w:lineRule="auto"/>
              <w:jc w:val="both"/>
            </w:pPr>
            <w:r>
              <w:lastRenderedPageBreak/>
              <w:t>Το απλό άθροισμα των μεμονωμένων VaR είναι 66,889€+59,398€=126,587€ Οπότε το κέρδος της διαφοροποίησης είναι 126,587€-105,7475€=20,54€</w:t>
            </w:r>
          </w:p>
          <w:p w:rsidR="005E0896" w:rsidRPr="005E0896" w:rsidRDefault="005E0896" w:rsidP="001029A4">
            <w:pPr>
              <w:jc w:val="both"/>
              <w:rPr>
                <w:b/>
                <w:i/>
                <w:u w:val="single"/>
              </w:rPr>
            </w:pPr>
          </w:p>
        </w:tc>
      </w:tr>
    </w:tbl>
    <w:p w:rsidR="004F12E8" w:rsidRDefault="004F12E8" w:rsidP="004F12E8"/>
    <w:p w:rsidR="005E0896" w:rsidRPr="00F82003" w:rsidRDefault="005E0896" w:rsidP="004F12E8"/>
    <w:p w:rsidR="00861F97" w:rsidRPr="00F82003" w:rsidRDefault="00861F97" w:rsidP="00861F97">
      <w:pPr>
        <w:pStyle w:val="2"/>
        <w:spacing w:before="0" w:after="0" w:line="360" w:lineRule="auto"/>
        <w:jc w:val="both"/>
        <w:rPr>
          <w:rFonts w:ascii="Times New Roman" w:hAnsi="Times New Roman" w:cs="Times New Roman"/>
          <w:i w:val="0"/>
        </w:rPr>
      </w:pPr>
      <w:bookmarkStart w:id="15" w:name="_Toc396034959"/>
      <w:r w:rsidRPr="00390868">
        <w:rPr>
          <w:rFonts w:ascii="Times New Roman" w:hAnsi="Times New Roman" w:cs="Times New Roman"/>
          <w:i w:val="0"/>
        </w:rPr>
        <w:t>Ερωτήσεις</w:t>
      </w:r>
      <w:r w:rsidRPr="00F82003">
        <w:rPr>
          <w:rFonts w:ascii="Times New Roman" w:hAnsi="Times New Roman" w:cs="Times New Roman"/>
          <w:i w:val="0"/>
        </w:rPr>
        <w:t xml:space="preserve"> </w:t>
      </w:r>
      <w:r w:rsidRPr="00390868">
        <w:rPr>
          <w:rFonts w:ascii="Times New Roman" w:hAnsi="Times New Roman" w:cs="Times New Roman"/>
          <w:i w:val="0"/>
        </w:rPr>
        <w:t>Μελέτης</w:t>
      </w:r>
      <w:r w:rsidRPr="00F82003">
        <w:rPr>
          <w:rFonts w:ascii="Times New Roman" w:hAnsi="Times New Roman" w:cs="Times New Roman"/>
          <w:i w:val="0"/>
        </w:rPr>
        <w:t xml:space="preserve"> </w:t>
      </w:r>
      <w:r w:rsidRPr="00390868">
        <w:rPr>
          <w:rFonts w:ascii="Times New Roman" w:hAnsi="Times New Roman" w:cs="Times New Roman"/>
          <w:i w:val="0"/>
        </w:rPr>
        <w:t>Κεφαλαίου</w:t>
      </w:r>
      <w:bookmarkEnd w:id="15"/>
    </w:p>
    <w:p w:rsidR="008B5CDD" w:rsidRDefault="008B5CDD" w:rsidP="00157E15">
      <w:pPr>
        <w:pStyle w:val="ae"/>
        <w:numPr>
          <w:ilvl w:val="0"/>
          <w:numId w:val="70"/>
        </w:numPr>
        <w:autoSpaceDE w:val="0"/>
        <w:autoSpaceDN w:val="0"/>
        <w:adjustRightInd w:val="0"/>
        <w:spacing w:line="360" w:lineRule="auto"/>
        <w:jc w:val="both"/>
      </w:pPr>
      <w:r>
        <w:t>Η ύπαρξη και η λειτουργία ενός μηχανισμού τραπεζικής εποπτείας έχει ορισμένους βασικούς στόχους. Να αναφέρετε μερικούς.</w:t>
      </w:r>
    </w:p>
    <w:p w:rsidR="008B5CDD" w:rsidRDefault="008B5CDD" w:rsidP="00157E15">
      <w:pPr>
        <w:pStyle w:val="ae"/>
        <w:numPr>
          <w:ilvl w:val="0"/>
          <w:numId w:val="70"/>
        </w:numPr>
        <w:autoSpaceDE w:val="0"/>
        <w:autoSpaceDN w:val="0"/>
        <w:adjustRightInd w:val="0"/>
        <w:spacing w:line="360" w:lineRule="auto"/>
        <w:jc w:val="both"/>
      </w:pPr>
      <w:r>
        <w:t>Σε μικροοικονομικό επίπεδο ο έλεγχος αποβλέπει σε κανόνες και ρυθμίσεις που αφορούν μεμονωμένα τραπεζικά ιδρύματα σχετικά με μια σειρά ζητημάτων. Να αναφέρετε μερικά από αυτά</w:t>
      </w:r>
      <w:r w:rsidRPr="00A33898">
        <w:t>.</w:t>
      </w:r>
    </w:p>
    <w:p w:rsidR="008B5CDD" w:rsidRDefault="008B5CDD" w:rsidP="00157E15">
      <w:pPr>
        <w:pStyle w:val="ae"/>
        <w:numPr>
          <w:ilvl w:val="0"/>
          <w:numId w:val="70"/>
        </w:numPr>
        <w:autoSpaceDE w:val="0"/>
        <w:autoSpaceDN w:val="0"/>
        <w:adjustRightInd w:val="0"/>
        <w:spacing w:line="360" w:lineRule="auto"/>
        <w:jc w:val="both"/>
      </w:pPr>
      <w:r>
        <w:t>Να αναφέρετε μερικούς από τους λόγους για τους οποίους ο τραπεζικός κλάδος είναι αυτός που έχει την μεγαλύτερη εποπτεία έναντι όλων των άλλων κλάδων.</w:t>
      </w:r>
    </w:p>
    <w:p w:rsidR="008B5CDD" w:rsidRDefault="008B5CDD" w:rsidP="00157E15">
      <w:pPr>
        <w:pStyle w:val="ae"/>
        <w:numPr>
          <w:ilvl w:val="0"/>
          <w:numId w:val="70"/>
        </w:numPr>
        <w:autoSpaceDE w:val="0"/>
        <w:autoSpaceDN w:val="0"/>
        <w:adjustRightInd w:val="0"/>
        <w:spacing w:line="360" w:lineRule="auto"/>
        <w:jc w:val="both"/>
      </w:pPr>
      <w:r>
        <w:t>Να αναφέρετε μερικούς λόγους κατά της τραπεζικής εποπτείας.</w:t>
      </w:r>
    </w:p>
    <w:p w:rsidR="008B5CDD" w:rsidRDefault="008B5CDD" w:rsidP="00157E15">
      <w:pPr>
        <w:pStyle w:val="ae"/>
        <w:numPr>
          <w:ilvl w:val="0"/>
          <w:numId w:val="70"/>
        </w:numPr>
        <w:autoSpaceDE w:val="0"/>
        <w:autoSpaceDN w:val="0"/>
        <w:adjustRightInd w:val="0"/>
        <w:spacing w:line="360" w:lineRule="auto"/>
        <w:jc w:val="both"/>
      </w:pPr>
      <w:r>
        <w:t>Ποιοι οι τρείς βασικοί πυλώνες της Βασιλείας ΙΙ;</w:t>
      </w:r>
    </w:p>
    <w:p w:rsidR="00045DCB" w:rsidRDefault="00045DCB" w:rsidP="00157E15">
      <w:pPr>
        <w:pStyle w:val="ae"/>
        <w:numPr>
          <w:ilvl w:val="0"/>
          <w:numId w:val="70"/>
        </w:numPr>
        <w:autoSpaceDE w:val="0"/>
        <w:autoSpaceDN w:val="0"/>
        <w:adjustRightInd w:val="0"/>
        <w:spacing w:line="360" w:lineRule="auto"/>
        <w:jc w:val="both"/>
      </w:pPr>
      <w:r>
        <w:t>Έστω μια τράπεζα έχει μα θέση σε μια μετοχή αξίας 100 εκατ. Ευρώ. Η τιμή της μετοχής είναι 100 Ευρώ και η ετήσια μεταβλ΄τοτητας της τιμής της μετοχής είναι 15,81%. Ν</w:t>
      </w:r>
      <w:r w:rsidR="003D44FC">
        <w:t>α</w:t>
      </w:r>
      <w:r>
        <w:t xml:space="preserve"> βρείτε την ημερήσια μεταβλητότητα έχοντας υπόψη ότι οι εργάσιμες ημέρες του χρόνου είναι 250. Στην συνέχεια να υπολογίσετε την αξία σε κίνδυνο σε επίπεδο εμπιστοσύνης 68% και 97,5%. </w:t>
      </w:r>
    </w:p>
    <w:p w:rsidR="00251882" w:rsidRDefault="00251882" w:rsidP="00157E15">
      <w:pPr>
        <w:pStyle w:val="ae"/>
        <w:numPr>
          <w:ilvl w:val="0"/>
          <w:numId w:val="70"/>
        </w:numPr>
        <w:autoSpaceDE w:val="0"/>
        <w:autoSpaceDN w:val="0"/>
        <w:adjustRightInd w:val="0"/>
        <w:spacing w:line="360" w:lineRule="auto"/>
        <w:jc w:val="both"/>
      </w:pPr>
      <w:r>
        <w:t>Ο επόμενος πίνακας δίνει τις εβδομαδιαίες αποδόσεις ενός χαρτοφυλακίου (</w:t>
      </w:r>
      <w:r>
        <w:rPr>
          <w:lang w:val="en-US"/>
        </w:rPr>
        <w:t>n</w:t>
      </w:r>
      <w:r w:rsidRPr="00251882">
        <w:t xml:space="preserve">=150 </w:t>
      </w:r>
      <w:r>
        <w:t>παρατηρήσεις</w:t>
      </w:r>
      <w:r w:rsidRPr="00251882">
        <w:t>)</w:t>
      </w:r>
      <w:r>
        <w:t xml:space="preserve">. Η αξία του χαρτοφυλακίου 250 εκατ. Ευρώ. </w:t>
      </w:r>
      <w:bookmarkStart w:id="16" w:name="_GoBack"/>
      <w:bookmarkEnd w:id="16"/>
      <w:r>
        <w:t xml:space="preserve">Χρησιμοποιώντας την μέθοθος της ιστορικής προσομοίωσης της </w:t>
      </w:r>
      <w:r>
        <w:rPr>
          <w:lang w:val="en-US"/>
        </w:rPr>
        <w:t>VaR</w:t>
      </w:r>
      <w:r>
        <w:t xml:space="preserve"> να ερμηνεύσετε το στοιχείο της τρίτης γραμμής έκτης στήλης 5,33 όπως και το στοιχείο της τέταρτης γραμμής τέταρτης στήλης 5,33.</w:t>
      </w:r>
    </w:p>
    <w:p w:rsidR="00CD0DF8" w:rsidRDefault="00251882" w:rsidP="00251882">
      <w:pPr>
        <w:pStyle w:val="ae"/>
        <w:autoSpaceDE w:val="0"/>
        <w:autoSpaceDN w:val="0"/>
        <w:adjustRightInd w:val="0"/>
        <w:spacing w:line="360" w:lineRule="auto"/>
        <w:ind w:left="360"/>
        <w:jc w:val="both"/>
      </w:pPr>
      <w:r>
        <w:object w:dxaOrig="10853" w:dyaOrig="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pt;height:40.05pt" o:ole="" o:allowoverlap="f">
            <v:imagedata r:id="rId14" o:title=""/>
          </v:shape>
          <o:OLEObject Type="Embed" ProgID="Excel.Sheet.12" ShapeID="_x0000_i1025" DrawAspect="Content" ObjectID="_1474459891" r:id="rId15"/>
        </w:object>
      </w:r>
    </w:p>
    <w:p w:rsidR="003D44FC" w:rsidRDefault="003D44FC" w:rsidP="00157E15">
      <w:pPr>
        <w:pStyle w:val="ae"/>
        <w:numPr>
          <w:ilvl w:val="0"/>
          <w:numId w:val="70"/>
        </w:numPr>
        <w:autoSpaceDE w:val="0"/>
        <w:autoSpaceDN w:val="0"/>
        <w:adjustRightInd w:val="0"/>
        <w:spacing w:line="360" w:lineRule="auto"/>
        <w:jc w:val="both"/>
      </w:pPr>
      <w:r>
        <w:t>Η ημερήσια τυπική απόκλιση των αποδόσεων της μετοχής ΑΑΑ είναι 3,5% και μέση απόδοση είναι κοντά στο μηδέν. Υποθέτοντας κεφάλαιο επένδυσης 100.000 ευρώ και κανονική κατανομή των αποδόσεων</w:t>
      </w:r>
      <w:r w:rsidRPr="003D44FC">
        <w:t xml:space="preserve"> </w:t>
      </w:r>
      <w:r>
        <w:t xml:space="preserve">να υπολογίσετε την απόλυτη και την σχετική </w:t>
      </w:r>
      <w:r>
        <w:rPr>
          <w:lang w:val="en-US"/>
        </w:rPr>
        <w:t>VaR</w:t>
      </w:r>
      <w:r>
        <w:t xml:space="preserve"> σε επίπεδο εμπιστοσύνης 95% σε ημερήσια και μηνιαία βάση.</w:t>
      </w:r>
    </w:p>
    <w:p w:rsidR="00045DCB" w:rsidRDefault="00045DCB" w:rsidP="00157E15">
      <w:pPr>
        <w:pStyle w:val="ae"/>
        <w:numPr>
          <w:ilvl w:val="0"/>
          <w:numId w:val="70"/>
        </w:numPr>
        <w:autoSpaceDE w:val="0"/>
        <w:autoSpaceDN w:val="0"/>
        <w:adjustRightInd w:val="0"/>
        <w:spacing w:line="360" w:lineRule="auto"/>
        <w:jc w:val="both"/>
      </w:pPr>
      <w:r>
        <w:t>Αν μια τράπεζα έχει έκθεση σε κίνδυνο 600 εκατ. Ευρώ (α), και μέσο ετήσιο ποσοστό αθέτησης 3% (</w:t>
      </w:r>
      <w:r w:rsidRPr="00045DCB">
        <w:rPr>
          <w:lang w:val="en-US"/>
        </w:rPr>
        <w:t>b</w:t>
      </w:r>
      <w:r>
        <w:t xml:space="preserve">), και μέγιστη απόκλιση από το μέσο ποσοστό αθέτησης </w:t>
      </w:r>
      <w:r>
        <w:lastRenderedPageBreak/>
        <w:t>6% (</w:t>
      </w:r>
      <w:r w:rsidRPr="00045DCB">
        <w:rPr>
          <w:lang w:val="en-US"/>
        </w:rPr>
        <w:t>c</w:t>
      </w:r>
      <w:r w:rsidRPr="00FF56BB">
        <w:t>=</w:t>
      </w:r>
      <w:r w:rsidRPr="00045DCB">
        <w:rPr>
          <w:lang w:val="en-US"/>
        </w:rPr>
        <w:t>Dmax</w:t>
      </w:r>
      <w:r w:rsidRPr="00FF56BB">
        <w:t>-</w:t>
      </w:r>
      <w:r w:rsidRPr="00045DCB">
        <w:rPr>
          <w:lang w:val="en-US"/>
        </w:rPr>
        <w:t>Davg</w:t>
      </w:r>
      <w:r w:rsidRPr="00FF56BB">
        <w:t xml:space="preserve"> )</w:t>
      </w:r>
      <w:r>
        <w:t>, να υπολογίσετε την αναμενόμενη και την μη αναμενόμενη ζημία.</w:t>
      </w:r>
    </w:p>
    <w:p w:rsidR="008B5CDD" w:rsidRDefault="008B5CDD" w:rsidP="000D79D8">
      <w:pPr>
        <w:pStyle w:val="2"/>
        <w:spacing w:before="0" w:after="0" w:line="360" w:lineRule="auto"/>
        <w:jc w:val="both"/>
        <w:rPr>
          <w:rFonts w:ascii="Times New Roman" w:hAnsi="Times New Roman" w:cs="Times New Roman"/>
          <w:i w:val="0"/>
        </w:rPr>
      </w:pPr>
    </w:p>
    <w:p w:rsidR="001672EE" w:rsidRPr="00F82003" w:rsidRDefault="00964312" w:rsidP="000D79D8">
      <w:pPr>
        <w:pStyle w:val="2"/>
        <w:spacing w:before="0" w:after="0" w:line="360" w:lineRule="auto"/>
        <w:jc w:val="both"/>
        <w:rPr>
          <w:rFonts w:ascii="Times New Roman" w:hAnsi="Times New Roman" w:cs="Times New Roman"/>
          <w:i w:val="0"/>
        </w:rPr>
      </w:pPr>
      <w:bookmarkStart w:id="17" w:name="_Toc396034960"/>
      <w:r>
        <w:rPr>
          <w:rFonts w:ascii="Times New Roman" w:hAnsi="Times New Roman" w:cs="Times New Roman"/>
          <w:i w:val="0"/>
        </w:rPr>
        <w:t>Βιβλιογραφία</w:t>
      </w:r>
      <w:r w:rsidR="00567FAF" w:rsidRPr="00F82003">
        <w:rPr>
          <w:rFonts w:ascii="Times New Roman" w:hAnsi="Times New Roman" w:cs="Times New Roman"/>
          <w:i w:val="0"/>
        </w:rPr>
        <w:t xml:space="preserve"> </w:t>
      </w:r>
      <w:r w:rsidR="00567FAF" w:rsidRPr="000D79D8">
        <w:rPr>
          <w:rFonts w:ascii="Times New Roman" w:hAnsi="Times New Roman" w:cs="Times New Roman"/>
          <w:i w:val="0"/>
        </w:rPr>
        <w:t>Κεφαλαίου</w:t>
      </w:r>
      <w:bookmarkEnd w:id="17"/>
    </w:p>
    <w:p w:rsidR="008B5CDD" w:rsidRPr="008B5CDD" w:rsidRDefault="008B5CDD" w:rsidP="00F82003">
      <w:pPr>
        <w:spacing w:before="120" w:line="360" w:lineRule="auto"/>
        <w:jc w:val="both"/>
        <w:rPr>
          <w:rFonts w:eastAsia="Batang"/>
          <w:b/>
        </w:rPr>
      </w:pPr>
      <w:r w:rsidRPr="008B5CDD">
        <w:rPr>
          <w:rFonts w:eastAsia="Batang"/>
          <w:b/>
        </w:rPr>
        <w:t>Ελληνική Βιβλιογραφία</w:t>
      </w:r>
    </w:p>
    <w:p w:rsidR="008B5CDD" w:rsidRDefault="008B5CDD" w:rsidP="008B5CDD">
      <w:pPr>
        <w:autoSpaceDE w:val="0"/>
        <w:autoSpaceDN w:val="0"/>
        <w:adjustRightInd w:val="0"/>
        <w:spacing w:line="360" w:lineRule="auto"/>
        <w:jc w:val="both"/>
      </w:pPr>
      <w:r>
        <w:t>Αγγελόπουλος Π., (Αθήνα, 2008), «Τράπεζες και Χρηματοπιστωτικό Σύστημα», Εκδόσεις Σταμούλη</w:t>
      </w:r>
    </w:p>
    <w:p w:rsidR="008B5CDD" w:rsidRPr="00D32520" w:rsidRDefault="008B5CDD" w:rsidP="008B5CDD">
      <w:pPr>
        <w:spacing w:before="120" w:line="360" w:lineRule="auto"/>
        <w:jc w:val="both"/>
        <w:rPr>
          <w:rFonts w:eastAsia="Batang"/>
        </w:rPr>
      </w:pPr>
      <w:r>
        <w:rPr>
          <w:rFonts w:eastAsia="Batang"/>
        </w:rPr>
        <w:t>Γκόρτσος,</w:t>
      </w:r>
      <w:r w:rsidRPr="008B5CDD">
        <w:rPr>
          <w:rFonts w:eastAsia="Batang"/>
        </w:rPr>
        <w:t xml:space="preserve"> </w:t>
      </w:r>
      <w:r>
        <w:rPr>
          <w:rFonts w:eastAsia="Batang"/>
        </w:rPr>
        <w:t>Χ</w:t>
      </w:r>
      <w:r w:rsidRPr="008B5CDD">
        <w:rPr>
          <w:rFonts w:eastAsia="Batang"/>
        </w:rPr>
        <w:t xml:space="preserve">. (2006). </w:t>
      </w:r>
      <w:r w:rsidRPr="007C74F3">
        <w:rPr>
          <w:rFonts w:eastAsia="Batang"/>
          <w:i/>
        </w:rPr>
        <w:t>Το δίκαιο της κεφαλαιακής επάρκειας των πιστωτικών ιδρυμάτων</w:t>
      </w:r>
      <w:r>
        <w:rPr>
          <w:rFonts w:eastAsia="Batang"/>
        </w:rPr>
        <w:t xml:space="preserve">. Εκδόσεις: </w:t>
      </w:r>
      <w:r w:rsidRPr="007C74F3">
        <w:rPr>
          <w:rFonts w:eastAsia="Batang"/>
        </w:rPr>
        <w:t>Ελληνική Ένωση Τραπεζών,</w:t>
      </w:r>
      <w:r>
        <w:rPr>
          <w:rFonts w:eastAsia="Batang"/>
        </w:rPr>
        <w:t xml:space="preserve"> </w:t>
      </w:r>
      <w:r w:rsidRPr="007C74F3">
        <w:rPr>
          <w:rFonts w:eastAsia="Batang"/>
        </w:rPr>
        <w:t>Ελληνικό Τραπεζικό Ινστιτούτο</w:t>
      </w:r>
      <w:r>
        <w:rPr>
          <w:rFonts w:eastAsia="Batang"/>
        </w:rPr>
        <w:t>.</w:t>
      </w:r>
    </w:p>
    <w:p w:rsidR="008B5CDD" w:rsidRPr="008B5CDD" w:rsidRDefault="008B5CDD" w:rsidP="008B5CDD">
      <w:pPr>
        <w:spacing w:before="120" w:line="360" w:lineRule="auto"/>
        <w:jc w:val="both"/>
      </w:pPr>
      <w:r>
        <w:t>Γκόρτσος, Χ. (2011), Βασιλεία ΙΙΙ</w:t>
      </w:r>
      <w:r w:rsidRPr="00394524">
        <w:t>:</w:t>
      </w:r>
      <w:r w:rsidRPr="008B5CDD">
        <w:t xml:space="preserve"> </w:t>
      </w:r>
      <w:r w:rsidRPr="00394524">
        <w:t>H αναθεώρηση του ισχύοντος κανονιστικού πλαισίου της Επιτροπής της Βασιλείας για την Τραπεζική Εποπτεία με στόχο την ενδυνάμωση της σταθερότητας του</w:t>
      </w:r>
      <w:r>
        <w:t xml:space="preserve"> διεθνούς τραπεζικού συστήματος</w:t>
      </w:r>
      <w:r w:rsidRPr="008B5CDD">
        <w:t>.</w:t>
      </w:r>
      <w:r w:rsidRPr="008B5CDD">
        <w:rPr>
          <w:rStyle w:val="3Char"/>
          <w:rFonts w:eastAsia="Calibri"/>
          <w:lang w:val="el-GR"/>
        </w:rPr>
        <w:t xml:space="preserve"> </w:t>
      </w:r>
      <w:r w:rsidRPr="008B5CDD">
        <w:rPr>
          <w:rStyle w:val="a8"/>
          <w:b w:val="0"/>
        </w:rPr>
        <w:t>Συλλογικός Τόμος της Ελληνικής Ένωσης Τραπεζών με θέμα: "Η διεθνής κρίση, η κρίση στην ευρωζώνη και το ελληνικό χρηματοπιστωτικό σύστημα, Κεφάλαιο Z. Ρυθµιστική παρέµβαση και εποπτεία του χρηµατοπιστωτικού τοµέα</w:t>
      </w:r>
      <w:r w:rsidRPr="00394524">
        <w:rPr>
          <w:rStyle w:val="a8"/>
        </w:rPr>
        <w:t xml:space="preserve">, </w:t>
      </w:r>
      <w:hyperlink r:id="rId16" w:history="1">
        <w:r w:rsidRPr="00394524">
          <w:t>Ελληνική Ένωση Τραπεζών</w:t>
        </w:r>
      </w:hyperlink>
      <w:r w:rsidRPr="00394524">
        <w:t>, Αθήνα, σελ. 519-540.</w:t>
      </w:r>
    </w:p>
    <w:p w:rsidR="008B5CDD" w:rsidRDefault="008B5CDD" w:rsidP="008B5CDD">
      <w:pPr>
        <w:spacing w:before="120" w:line="360" w:lineRule="auto"/>
        <w:jc w:val="both"/>
      </w:pPr>
      <w:r w:rsidRPr="00472501">
        <w:t>Κα</w:t>
      </w:r>
      <w:r>
        <w:t>ινούργιος,  Δ.</w:t>
      </w:r>
      <w:r w:rsidRPr="00472501">
        <w:t xml:space="preserve"> </w:t>
      </w:r>
      <w:r>
        <w:t>(</w:t>
      </w:r>
      <w:r w:rsidRPr="00472501">
        <w:t>2002</w:t>
      </w:r>
      <w:r>
        <w:t>)</w:t>
      </w:r>
      <w:r w:rsidRPr="00472501">
        <w:t xml:space="preserve">. </w:t>
      </w:r>
      <w:r w:rsidRPr="004968D8">
        <w:rPr>
          <w:lang w:val="en-US"/>
        </w:rPr>
        <w:t>Value</w:t>
      </w:r>
      <w:r w:rsidRPr="004968D8">
        <w:t xml:space="preserve"> </w:t>
      </w:r>
      <w:r w:rsidRPr="004968D8">
        <w:rPr>
          <w:lang w:val="en-US"/>
        </w:rPr>
        <w:t>at</w:t>
      </w:r>
      <w:r w:rsidRPr="004968D8">
        <w:t xml:space="preserve"> </w:t>
      </w:r>
      <w:r w:rsidRPr="004968D8">
        <w:rPr>
          <w:lang w:val="en-US"/>
        </w:rPr>
        <w:t>Risk</w:t>
      </w:r>
      <w:r>
        <w:t xml:space="preserve"> </w:t>
      </w:r>
      <w:r w:rsidRPr="004968D8">
        <w:t>(</w:t>
      </w:r>
      <w:r w:rsidRPr="004968D8">
        <w:rPr>
          <w:lang w:val="en-US"/>
        </w:rPr>
        <w:t>VAR</w:t>
      </w:r>
      <w:r w:rsidRPr="004968D8">
        <w:t xml:space="preserve">) </w:t>
      </w:r>
      <w:r>
        <w:t>Μεθοδολογία</w:t>
      </w:r>
      <w:r w:rsidRPr="004968D8">
        <w:t xml:space="preserve"> </w:t>
      </w:r>
      <w:r>
        <w:t>εκτίμησης</w:t>
      </w:r>
      <w:r w:rsidRPr="004968D8">
        <w:t xml:space="preserve"> </w:t>
      </w:r>
      <w:r>
        <w:t>του</w:t>
      </w:r>
      <w:r w:rsidRPr="004968D8">
        <w:t xml:space="preserve"> </w:t>
      </w:r>
      <w:r>
        <w:t>κινδύνου</w:t>
      </w:r>
      <w:r w:rsidRPr="004968D8">
        <w:t xml:space="preserve"> </w:t>
      </w:r>
      <w:r>
        <w:t>αγοράς</w:t>
      </w:r>
      <w:r w:rsidRPr="004968D8">
        <w:t xml:space="preserve"> </w:t>
      </w:r>
      <w:r>
        <w:t>και</w:t>
      </w:r>
      <w:r w:rsidRPr="004968D8">
        <w:t xml:space="preserve"> (</w:t>
      </w:r>
      <w:r>
        <w:rPr>
          <w:lang w:val="en-US"/>
        </w:rPr>
        <w:t>Va</w:t>
      </w:r>
      <w:r w:rsidRPr="004968D8">
        <w:rPr>
          <w:lang w:val="en-US"/>
        </w:rPr>
        <w:t>R</w:t>
      </w:r>
      <w:r w:rsidRPr="004968D8">
        <w:t>) πα</w:t>
      </w:r>
      <w:r>
        <w:t xml:space="preserve">ράγωγα εργαλεία, </w:t>
      </w:r>
      <w:r w:rsidRPr="008B5CDD">
        <w:rPr>
          <w:i/>
        </w:rPr>
        <w:t>Δελτίον Ένωσης Ελληνικών Τραπεζών</w:t>
      </w:r>
      <w:r>
        <w:t>, 4</w:t>
      </w:r>
      <w:r w:rsidRPr="004968D8">
        <w:rPr>
          <w:vertAlign w:val="superscript"/>
        </w:rPr>
        <w:t>ο</w:t>
      </w:r>
      <w:r>
        <w:t xml:space="preserve"> τρίμηνο,  77-86</w:t>
      </w:r>
      <w:r w:rsidRPr="00D32520">
        <w:t>.</w:t>
      </w:r>
    </w:p>
    <w:p w:rsidR="008B5CDD" w:rsidRPr="008B5CDD" w:rsidRDefault="008B5CDD" w:rsidP="008B5CDD">
      <w:pPr>
        <w:autoSpaceDE w:val="0"/>
        <w:autoSpaceDN w:val="0"/>
        <w:adjustRightInd w:val="0"/>
        <w:spacing w:line="360" w:lineRule="auto"/>
        <w:jc w:val="both"/>
      </w:pPr>
      <w:r>
        <w:t xml:space="preserve">Καρράς Κ., (2003). Διερεύνηση των Συνεπειών του νέου Συμφώνου της Βασιλείας στη Συμπεριφορά των Τραπεζών, </w:t>
      </w:r>
      <w:r w:rsidRPr="008B5CDD">
        <w:rPr>
          <w:i/>
        </w:rPr>
        <w:t>Δελτίο Ένωσης Ελληνικών Τραπεζών</w:t>
      </w:r>
      <w:r>
        <w:t xml:space="preserve">, 35, Οκτώβριος-Νοέμβριος-Δεκέμβριος. </w:t>
      </w:r>
    </w:p>
    <w:p w:rsidR="008B5CDD" w:rsidRPr="008B5CDD" w:rsidRDefault="008B5CDD" w:rsidP="008B5CDD">
      <w:pPr>
        <w:spacing w:before="120" w:line="360" w:lineRule="auto"/>
        <w:jc w:val="both"/>
        <w:rPr>
          <w:rFonts w:eastAsia="Batang"/>
        </w:rPr>
      </w:pPr>
      <w:r w:rsidRPr="00EF4334">
        <w:rPr>
          <w:rFonts w:eastAsia="Batang"/>
        </w:rPr>
        <w:t xml:space="preserve">Προβόπουλος, Γ., Γκόρτσος, Χρ., (2004). </w:t>
      </w:r>
      <w:r w:rsidRPr="00EF4334">
        <w:rPr>
          <w:rFonts w:eastAsia="Batang"/>
          <w:i/>
        </w:rPr>
        <w:t>Το νέο ευρωπαϊκό χρηματοοικονομικό περιβάλλον</w:t>
      </w:r>
      <w:r w:rsidRPr="00EF4334">
        <w:rPr>
          <w:rFonts w:eastAsia="Batang"/>
        </w:rPr>
        <w:t>. Ένωση</w:t>
      </w:r>
      <w:r w:rsidRPr="008B5CDD">
        <w:rPr>
          <w:rFonts w:eastAsia="Batang"/>
        </w:rPr>
        <w:t xml:space="preserve"> </w:t>
      </w:r>
      <w:r w:rsidRPr="00EF4334">
        <w:rPr>
          <w:rFonts w:eastAsia="Batang"/>
        </w:rPr>
        <w:t>Ελληνικών</w:t>
      </w:r>
      <w:r w:rsidRPr="008B5CDD">
        <w:rPr>
          <w:rFonts w:eastAsia="Batang"/>
        </w:rPr>
        <w:t xml:space="preserve"> </w:t>
      </w:r>
      <w:r w:rsidRPr="00EF4334">
        <w:rPr>
          <w:rFonts w:eastAsia="Batang"/>
        </w:rPr>
        <w:t>Τραπεζών</w:t>
      </w:r>
      <w:r w:rsidRPr="008B5CDD">
        <w:rPr>
          <w:rFonts w:eastAsia="Batang"/>
        </w:rPr>
        <w:t xml:space="preserve">, </w:t>
      </w:r>
      <w:r w:rsidRPr="00EF4334">
        <w:rPr>
          <w:rFonts w:eastAsia="Batang"/>
        </w:rPr>
        <w:t>Εκδόσεις</w:t>
      </w:r>
      <w:r w:rsidRPr="008B5CDD">
        <w:rPr>
          <w:rFonts w:eastAsia="Batang"/>
        </w:rPr>
        <w:t xml:space="preserve"> </w:t>
      </w:r>
      <w:r w:rsidRPr="00EF4334">
        <w:rPr>
          <w:rFonts w:eastAsia="Batang"/>
        </w:rPr>
        <w:t>Σάκκουλα</w:t>
      </w:r>
      <w:r w:rsidRPr="008B5CDD">
        <w:rPr>
          <w:rFonts w:eastAsia="Batang"/>
        </w:rPr>
        <w:t xml:space="preserve">, </w:t>
      </w:r>
      <w:r w:rsidRPr="00EF4334">
        <w:rPr>
          <w:rFonts w:eastAsia="Batang"/>
        </w:rPr>
        <w:t>Αθήνα</w:t>
      </w:r>
    </w:p>
    <w:p w:rsidR="00091575" w:rsidRDefault="008B5CDD" w:rsidP="00091575">
      <w:pPr>
        <w:spacing w:before="120" w:line="360" w:lineRule="auto"/>
        <w:jc w:val="both"/>
      </w:pPr>
      <w:r w:rsidRPr="00DE2FC1">
        <w:t>Συριόπουλος</w:t>
      </w:r>
      <w:r>
        <w:t>,</w:t>
      </w:r>
      <w:r w:rsidRPr="00DE2FC1">
        <w:t xml:space="preserve"> Κ. (1999). </w:t>
      </w:r>
      <w:r w:rsidRPr="00DE2FC1">
        <w:rPr>
          <w:i/>
        </w:rPr>
        <w:t xml:space="preserve">Διεθνείς Κεφαλαιαγορές Τόμος Ι Θεωρία και Ανάλυση, </w:t>
      </w:r>
      <w:r>
        <w:t>Εκδόσεις: Ανικούλα.</w:t>
      </w:r>
    </w:p>
    <w:p w:rsidR="00091575" w:rsidRPr="007252A1" w:rsidRDefault="00091575" w:rsidP="00091575">
      <w:pPr>
        <w:spacing w:before="120" w:line="360" w:lineRule="auto"/>
        <w:jc w:val="both"/>
      </w:pPr>
      <w:r>
        <w:t xml:space="preserve">Συριόπουλος Κ. (2008). </w:t>
      </w:r>
      <w:r w:rsidRPr="007252A1">
        <w:rPr>
          <w:i/>
        </w:rPr>
        <w:t>Διαχείριση Τραπεζικού Κινδύνου</w:t>
      </w:r>
      <w:r w:rsidRPr="007252A1">
        <w:t>, Ελληνικό Ανοιχτό Πανεπιστήμιο.</w:t>
      </w:r>
    </w:p>
    <w:p w:rsidR="008B5CDD" w:rsidRPr="007C74F3" w:rsidRDefault="008B5CDD" w:rsidP="008B5CDD">
      <w:pPr>
        <w:spacing w:before="120" w:line="360" w:lineRule="auto"/>
        <w:jc w:val="both"/>
        <w:rPr>
          <w:rFonts w:eastAsia="Batang"/>
        </w:rPr>
      </w:pPr>
      <w:r>
        <w:t>Τριαντόπουλος</w:t>
      </w:r>
      <w:r w:rsidRPr="00EA4FC3">
        <w:t>,</w:t>
      </w:r>
      <w:r>
        <w:t xml:space="preserve"> Χ</w:t>
      </w:r>
      <w:r w:rsidRPr="00EA4FC3">
        <w:t>.</w:t>
      </w:r>
      <w:r>
        <w:t xml:space="preserve"> (2008)</w:t>
      </w:r>
      <w:r w:rsidRPr="00CC7518">
        <w:t>.</w:t>
      </w:r>
      <w:r>
        <w:t xml:space="preserve"> </w:t>
      </w:r>
      <w:r w:rsidRPr="00CC7518">
        <w:rPr>
          <w:i/>
        </w:rPr>
        <w:t>Εποπτεία Τραπεζικού Συστήματος, η Ευρωπαϊκή Εμπειρία και το Νέο Κανονιστικό Πλαίσιο</w:t>
      </w:r>
      <w:r w:rsidRPr="002F7261">
        <w:t>.</w:t>
      </w:r>
      <w:r>
        <w:t xml:space="preserve"> Εκδόσεις Παπαζήση</w:t>
      </w:r>
      <w:r w:rsidRPr="00CC7518">
        <w:t xml:space="preserve"> </w:t>
      </w:r>
      <w:r>
        <w:t>Αθήνα</w:t>
      </w:r>
      <w:r w:rsidRPr="007C74F3">
        <w:t>.</w:t>
      </w:r>
    </w:p>
    <w:p w:rsidR="008B5CDD" w:rsidRPr="00EF4334" w:rsidRDefault="008B5CDD" w:rsidP="008B5CDD">
      <w:pPr>
        <w:spacing w:before="120" w:line="360" w:lineRule="auto"/>
        <w:jc w:val="both"/>
        <w:rPr>
          <w:rFonts w:eastAsia="Batang"/>
        </w:rPr>
      </w:pPr>
      <w:r w:rsidRPr="00EF4334">
        <w:rPr>
          <w:rFonts w:eastAsia="Batang"/>
        </w:rPr>
        <w:lastRenderedPageBreak/>
        <w:t xml:space="preserve">Τριαντόπουλος, Χ. (2008). </w:t>
      </w:r>
      <w:r w:rsidRPr="00EF4334">
        <w:rPr>
          <w:rFonts w:eastAsia="Batang"/>
          <w:i/>
        </w:rPr>
        <w:t>Εποπτεία Τραπεζικού Συστήματος, η Ευρωπαϊκή Εμπειρία και το Νέο Κανονιστικό Πλαίσιο</w:t>
      </w:r>
      <w:r w:rsidRPr="00EF4334">
        <w:rPr>
          <w:rFonts w:eastAsia="Batang"/>
        </w:rPr>
        <w:t>. Εκδόσεις Παπαζήση</w:t>
      </w:r>
      <w:r w:rsidRPr="007C74F3">
        <w:rPr>
          <w:rFonts w:eastAsia="Batang"/>
        </w:rPr>
        <w:t>,</w:t>
      </w:r>
      <w:r w:rsidRPr="00EF4334">
        <w:rPr>
          <w:rFonts w:eastAsia="Batang"/>
        </w:rPr>
        <w:t xml:space="preserve"> Αθήνα</w:t>
      </w:r>
      <w:r w:rsidRPr="007C74F3">
        <w:rPr>
          <w:rFonts w:eastAsia="Batang"/>
        </w:rPr>
        <w:t>.</w:t>
      </w:r>
    </w:p>
    <w:p w:rsidR="008B5CDD" w:rsidRPr="00A078A8" w:rsidRDefault="008B5CDD" w:rsidP="008B5CDD">
      <w:pPr>
        <w:spacing w:before="120" w:line="360" w:lineRule="auto"/>
        <w:jc w:val="both"/>
        <w:rPr>
          <w:rFonts w:eastAsia="Batang"/>
          <w:lang w:val="en-US"/>
        </w:rPr>
      </w:pPr>
      <w:r w:rsidRPr="00EF4334">
        <w:rPr>
          <w:rFonts w:eastAsia="Batang"/>
        </w:rPr>
        <w:t xml:space="preserve">Ψυχομάνης, Δ. Σπ. (2006). </w:t>
      </w:r>
      <w:r w:rsidRPr="00EF4334">
        <w:rPr>
          <w:rFonts w:eastAsia="Batang"/>
          <w:i/>
        </w:rPr>
        <w:t>Οι τράπεζες και η εποπτεία τους- Δίκαιο του τραπεζικού συστήματος.</w:t>
      </w:r>
      <w:r w:rsidRPr="00EF4334">
        <w:rPr>
          <w:rFonts w:eastAsia="Batang"/>
        </w:rPr>
        <w:t xml:space="preserve"> Εκδόσεις</w:t>
      </w:r>
      <w:r w:rsidRPr="00A078A8">
        <w:rPr>
          <w:rFonts w:eastAsia="Batang"/>
          <w:lang w:val="en-US"/>
        </w:rPr>
        <w:t xml:space="preserve"> </w:t>
      </w:r>
      <w:r w:rsidRPr="00EF4334">
        <w:rPr>
          <w:rFonts w:eastAsia="Batang"/>
        </w:rPr>
        <w:t>Σάκκουλα</w:t>
      </w:r>
      <w:r w:rsidRPr="00A078A8">
        <w:rPr>
          <w:rFonts w:eastAsia="Batang"/>
          <w:lang w:val="en-US"/>
        </w:rPr>
        <w:t xml:space="preserve">, </w:t>
      </w:r>
      <w:r w:rsidRPr="00EF4334">
        <w:rPr>
          <w:rFonts w:eastAsia="Batang"/>
        </w:rPr>
        <w:t>Αθήνα</w:t>
      </w:r>
      <w:r w:rsidRPr="00A078A8">
        <w:rPr>
          <w:rFonts w:eastAsia="Batang"/>
          <w:lang w:val="en-US"/>
        </w:rPr>
        <w:t>.</w:t>
      </w:r>
    </w:p>
    <w:p w:rsidR="008B5CDD" w:rsidRPr="00A078A8" w:rsidRDefault="008B5CDD" w:rsidP="00F82003">
      <w:pPr>
        <w:spacing w:before="120" w:line="360" w:lineRule="auto"/>
        <w:jc w:val="both"/>
        <w:rPr>
          <w:rFonts w:eastAsia="Batang"/>
          <w:b/>
          <w:lang w:val="en-US"/>
        </w:rPr>
      </w:pPr>
    </w:p>
    <w:p w:rsidR="008B5CDD" w:rsidRPr="00A078A8" w:rsidRDefault="008B5CDD" w:rsidP="00F82003">
      <w:pPr>
        <w:spacing w:before="120" w:line="360" w:lineRule="auto"/>
        <w:jc w:val="both"/>
        <w:rPr>
          <w:rFonts w:eastAsia="Batang"/>
          <w:b/>
          <w:lang w:val="en-US"/>
        </w:rPr>
      </w:pPr>
      <w:r w:rsidRPr="008B5CDD">
        <w:rPr>
          <w:rFonts w:eastAsia="Batang"/>
          <w:b/>
        </w:rPr>
        <w:t>Ξένη</w:t>
      </w:r>
      <w:r w:rsidRPr="00A078A8">
        <w:rPr>
          <w:rFonts w:eastAsia="Batang"/>
          <w:b/>
          <w:lang w:val="en-US"/>
        </w:rPr>
        <w:t xml:space="preserve"> </w:t>
      </w:r>
      <w:r w:rsidRPr="008B5CDD">
        <w:rPr>
          <w:rFonts w:eastAsia="Batang"/>
          <w:b/>
        </w:rPr>
        <w:t>Βιβλιογραφία</w:t>
      </w:r>
    </w:p>
    <w:p w:rsidR="008B5CDD" w:rsidRPr="00F82003" w:rsidRDefault="008B5CDD" w:rsidP="00F82003">
      <w:pPr>
        <w:spacing w:before="120" w:line="360" w:lineRule="auto"/>
        <w:jc w:val="both"/>
        <w:rPr>
          <w:rFonts w:eastAsia="Batang"/>
          <w:lang w:val="en-US"/>
        </w:rPr>
      </w:pPr>
      <w:r w:rsidRPr="00EA4FC3">
        <w:rPr>
          <w:rFonts w:eastAsia="Batang"/>
          <w:lang w:val="en-US"/>
        </w:rPr>
        <w:t xml:space="preserve">Alexander, K. (2000). </w:t>
      </w:r>
      <w:r w:rsidRPr="00EA4FC3">
        <w:rPr>
          <w:rFonts w:eastAsia="Batang"/>
          <w:i/>
          <w:iCs/>
          <w:lang w:val="en-US"/>
        </w:rPr>
        <w:t>The role of the basle standards in international banking supervision</w:t>
      </w:r>
      <w:r w:rsidRPr="00EA4FC3">
        <w:rPr>
          <w:rFonts w:eastAsia="Batang"/>
          <w:lang w:val="en-US"/>
        </w:rPr>
        <w:t xml:space="preserve"> (No. wp153). </w:t>
      </w:r>
      <w:r w:rsidRPr="00F82003">
        <w:rPr>
          <w:rFonts w:eastAsia="Batang"/>
          <w:lang w:val="en-US"/>
        </w:rPr>
        <w:t>ESRC Centre for Business Research.</w:t>
      </w:r>
    </w:p>
    <w:p w:rsidR="008B5CDD" w:rsidRPr="008B5CDD" w:rsidRDefault="008B5CDD" w:rsidP="008B5CDD">
      <w:pPr>
        <w:spacing w:before="120" w:line="360" w:lineRule="auto"/>
        <w:jc w:val="both"/>
        <w:rPr>
          <w:rFonts w:eastAsiaTheme="minorHAnsi" w:cstheme="minorBidi"/>
          <w:iCs/>
          <w:lang w:val="en-US"/>
        </w:rPr>
      </w:pPr>
      <w:r w:rsidRPr="008B5CDD">
        <w:rPr>
          <w:lang w:val="en-US"/>
        </w:rPr>
        <w:t xml:space="preserve">Bank for International Settlements (2006) </w:t>
      </w:r>
      <w:r w:rsidRPr="008B5CDD">
        <w:rPr>
          <w:i/>
          <w:lang w:val="en-US"/>
        </w:rPr>
        <w:t>Report No 15 Report on International Developments in Banking Supervision</w:t>
      </w:r>
      <w:r w:rsidRPr="008B5CDD">
        <w:rPr>
          <w:lang w:val="en-US"/>
        </w:rPr>
        <w:t>, Basel Committee on Banking Supervision.</w:t>
      </w:r>
    </w:p>
    <w:p w:rsidR="008B5CDD" w:rsidRPr="008B5CDD" w:rsidRDefault="008B5CDD" w:rsidP="008B5CDD">
      <w:pPr>
        <w:spacing w:before="120" w:line="360" w:lineRule="auto"/>
        <w:jc w:val="both"/>
        <w:rPr>
          <w:lang w:val="en-US"/>
        </w:rPr>
      </w:pPr>
      <w:r w:rsidRPr="008B5CDD">
        <w:rPr>
          <w:lang w:val="en-US"/>
        </w:rPr>
        <w:t xml:space="preserve">Bank for International Settlements (2013) </w:t>
      </w:r>
      <w:r w:rsidRPr="008B5CDD">
        <w:rPr>
          <w:i/>
          <w:lang w:val="en-US"/>
        </w:rPr>
        <w:t>A brief history of the Basel Committee</w:t>
      </w:r>
      <w:r w:rsidRPr="008B5CDD">
        <w:rPr>
          <w:lang w:val="en-US"/>
        </w:rPr>
        <w:t>, Basel Committee on Banking Supervision.</w:t>
      </w:r>
    </w:p>
    <w:p w:rsidR="008B5CDD" w:rsidRDefault="008B5CDD" w:rsidP="00F82003">
      <w:pPr>
        <w:spacing w:before="120" w:line="360" w:lineRule="auto"/>
        <w:jc w:val="both"/>
        <w:rPr>
          <w:rFonts w:eastAsia="Batang"/>
          <w:lang w:val="en-US"/>
        </w:rPr>
      </w:pPr>
      <w:r>
        <w:rPr>
          <w:rFonts w:eastAsia="Batang"/>
          <w:lang w:val="en-US"/>
        </w:rPr>
        <w:t xml:space="preserve">Beck, T., Demirguc-Kunt, A., </w:t>
      </w:r>
      <w:r w:rsidRPr="00DA7767">
        <w:rPr>
          <w:rFonts w:eastAsia="Batang"/>
          <w:lang w:val="en-US"/>
        </w:rPr>
        <w:t>Levine, R. (2003). </w:t>
      </w:r>
      <w:r w:rsidRPr="00DA7767">
        <w:rPr>
          <w:rFonts w:eastAsia="Batang"/>
          <w:i/>
          <w:iCs/>
          <w:lang w:val="en-US"/>
        </w:rPr>
        <w:t>Bank supervision and corporate finance</w:t>
      </w:r>
      <w:r w:rsidRPr="00DA7767">
        <w:rPr>
          <w:rFonts w:eastAsia="Batang"/>
          <w:lang w:val="en-US"/>
        </w:rPr>
        <w:t xml:space="preserve"> (No. w9620). </w:t>
      </w:r>
      <w:r w:rsidRPr="00F82003">
        <w:rPr>
          <w:rFonts w:eastAsia="Batang"/>
          <w:lang w:val="en-US"/>
        </w:rPr>
        <w:t>National Bureau of Economic Research.</w:t>
      </w:r>
    </w:p>
    <w:p w:rsidR="008B5CDD" w:rsidRPr="007C74F3" w:rsidRDefault="008B5CDD" w:rsidP="00F82003">
      <w:pPr>
        <w:spacing w:before="120" w:line="360" w:lineRule="auto"/>
        <w:jc w:val="both"/>
        <w:rPr>
          <w:rFonts w:eastAsia="Batang"/>
          <w:lang w:val="en-US"/>
        </w:rPr>
      </w:pPr>
      <w:r w:rsidRPr="000913FA">
        <w:rPr>
          <w:rFonts w:eastAsia="Batang"/>
          <w:lang w:val="en-US"/>
        </w:rPr>
        <w:t>Best, P. (2000). </w:t>
      </w:r>
      <w:r w:rsidRPr="000913FA">
        <w:rPr>
          <w:rFonts w:eastAsia="Batang"/>
          <w:i/>
          <w:iCs/>
          <w:lang w:val="en-US"/>
        </w:rPr>
        <w:t>Implementing value at risk</w:t>
      </w:r>
      <w:r w:rsidRPr="000913FA">
        <w:rPr>
          <w:rFonts w:eastAsia="Batang"/>
          <w:lang w:val="en-US"/>
        </w:rPr>
        <w:t>. John Wiley &amp; Sons.</w:t>
      </w:r>
    </w:p>
    <w:p w:rsidR="008B5CDD" w:rsidRPr="00A078A8" w:rsidRDefault="008B5CDD" w:rsidP="00F82003">
      <w:pPr>
        <w:spacing w:before="120" w:line="360" w:lineRule="auto"/>
        <w:jc w:val="both"/>
        <w:rPr>
          <w:rFonts w:eastAsia="Batang"/>
          <w:lang w:val="en-US"/>
        </w:rPr>
      </w:pPr>
      <w:r>
        <w:rPr>
          <w:rFonts w:eastAsia="Batang"/>
          <w:lang w:val="en-US"/>
        </w:rPr>
        <w:t>Blundell-Wignall, A.,</w:t>
      </w:r>
      <w:r w:rsidRPr="00B47019">
        <w:rPr>
          <w:rFonts w:eastAsia="Batang"/>
          <w:lang w:val="en-US"/>
        </w:rPr>
        <w:t xml:space="preserve"> Atkinson, P. (2010). Thinking beyond Basel III: Necessary solutions for capital and liquidity. </w:t>
      </w:r>
      <w:r w:rsidRPr="00D32520">
        <w:rPr>
          <w:rFonts w:eastAsia="Batang"/>
          <w:i/>
          <w:iCs/>
          <w:lang w:val="en-US"/>
        </w:rPr>
        <w:t>OECD Journal: Financial Market Trends</w:t>
      </w:r>
      <w:r>
        <w:rPr>
          <w:rFonts w:eastAsia="Batang"/>
          <w:lang w:val="en-US"/>
        </w:rPr>
        <w:t>.</w:t>
      </w:r>
      <w:r w:rsidRPr="00D32520">
        <w:rPr>
          <w:rFonts w:eastAsia="Batang"/>
          <w:lang w:val="en-US"/>
        </w:rPr>
        <w:t> 1, 1-23.</w:t>
      </w:r>
    </w:p>
    <w:p w:rsidR="008B5CDD" w:rsidRPr="00A078A8" w:rsidRDefault="008B5CDD" w:rsidP="008B5CDD">
      <w:pPr>
        <w:spacing w:before="120" w:line="360" w:lineRule="auto"/>
        <w:jc w:val="both"/>
        <w:rPr>
          <w:lang w:val="en-US"/>
        </w:rPr>
      </w:pPr>
      <w:r w:rsidRPr="000C2CB2">
        <w:rPr>
          <w:lang w:val="en-US"/>
        </w:rPr>
        <w:t xml:space="preserve">Chortareas, G. E., Girardone, C., Ventouri, A. (2012). Bank supervision,regulation, and efficiency: Evidence from the European Union. </w:t>
      </w:r>
      <w:r w:rsidRPr="00A078A8">
        <w:rPr>
          <w:i/>
          <w:iCs/>
          <w:lang w:val="en-US"/>
        </w:rPr>
        <w:t>Journal of Financial Stability</w:t>
      </w:r>
      <w:r w:rsidRPr="00A078A8">
        <w:rPr>
          <w:lang w:val="en-US"/>
        </w:rPr>
        <w:t xml:space="preserve">, </w:t>
      </w:r>
      <w:r w:rsidRPr="00A078A8">
        <w:rPr>
          <w:i/>
          <w:iCs/>
          <w:lang w:val="en-US"/>
        </w:rPr>
        <w:t>8</w:t>
      </w:r>
      <w:r w:rsidRPr="00A078A8">
        <w:rPr>
          <w:lang w:val="en-US"/>
        </w:rPr>
        <w:t>(4), 292-302.</w:t>
      </w:r>
    </w:p>
    <w:p w:rsidR="008B5CDD" w:rsidRPr="00A078A8" w:rsidRDefault="008B5CDD" w:rsidP="008B5CDD">
      <w:pPr>
        <w:spacing w:before="120" w:line="360" w:lineRule="auto"/>
        <w:jc w:val="both"/>
        <w:rPr>
          <w:bCs/>
          <w:lang w:val="en-US"/>
        </w:rPr>
      </w:pPr>
      <w:r w:rsidRPr="000C2CB2">
        <w:rPr>
          <w:bCs/>
          <w:lang w:val="en-US"/>
        </w:rPr>
        <w:t xml:space="preserve">Elliott, D.J. (2010). </w:t>
      </w:r>
      <w:r w:rsidRPr="000C2CB2">
        <w:rPr>
          <w:bCs/>
          <w:i/>
          <w:lang w:val="en-US"/>
        </w:rPr>
        <w:t>Basel III, the Banks, and the Economy</w:t>
      </w:r>
      <w:r w:rsidRPr="000C2CB2">
        <w:rPr>
          <w:bCs/>
          <w:lang w:val="en-US"/>
        </w:rPr>
        <w:t>. Brookings Institutions.</w:t>
      </w:r>
    </w:p>
    <w:p w:rsidR="008B5CDD" w:rsidRPr="00A078A8" w:rsidRDefault="008B5CDD" w:rsidP="008B5CDD">
      <w:pPr>
        <w:spacing w:before="120" w:line="360" w:lineRule="auto"/>
        <w:jc w:val="both"/>
        <w:rPr>
          <w:rFonts w:eastAsiaTheme="minorHAnsi" w:cstheme="minorBidi"/>
          <w:lang w:val="en-US"/>
        </w:rPr>
      </w:pPr>
      <w:r w:rsidRPr="000A08A4">
        <w:rPr>
          <w:rFonts w:eastAsiaTheme="minorHAnsi" w:cstheme="minorBidi"/>
          <w:lang w:val="en-US"/>
        </w:rPr>
        <w:t xml:space="preserve">Goodhart, C. (2011). </w:t>
      </w:r>
      <w:r w:rsidRPr="000A08A4">
        <w:rPr>
          <w:rFonts w:eastAsiaTheme="minorHAnsi" w:cstheme="minorBidi"/>
          <w:i/>
          <w:lang w:val="en-US"/>
        </w:rPr>
        <w:t>The Basel Committee on Banking Supervision: A History of the Early Years 1974-1997</w:t>
      </w:r>
      <w:r w:rsidRPr="000A08A4">
        <w:rPr>
          <w:rFonts w:eastAsiaTheme="minorHAnsi" w:cstheme="minorBidi"/>
          <w:lang w:val="en-US"/>
        </w:rPr>
        <w:t>. Cambridge University Press</w:t>
      </w:r>
      <w:r w:rsidRPr="00A078A8">
        <w:rPr>
          <w:rFonts w:eastAsiaTheme="minorHAnsi" w:cstheme="minorBidi"/>
          <w:lang w:val="en-US"/>
        </w:rPr>
        <w:t>.</w:t>
      </w:r>
    </w:p>
    <w:p w:rsidR="008B5CDD" w:rsidRPr="008B5CDD" w:rsidRDefault="008B5CDD" w:rsidP="00F82003">
      <w:pPr>
        <w:spacing w:before="120" w:line="360" w:lineRule="auto"/>
        <w:jc w:val="both"/>
        <w:rPr>
          <w:rFonts w:eastAsia="Batang"/>
          <w:lang w:val="en-US"/>
        </w:rPr>
      </w:pPr>
      <w:r w:rsidRPr="006202D2">
        <w:rPr>
          <w:rFonts w:eastAsia="Batang"/>
          <w:lang w:val="en-US"/>
        </w:rPr>
        <w:t>Goodhart, C. A. (1996). Some Regulatory Concerns; and An Incentive Structure for Financial Regulation. </w:t>
      </w:r>
      <w:r w:rsidRPr="00F82003">
        <w:rPr>
          <w:rFonts w:eastAsia="Batang"/>
          <w:i/>
          <w:iCs/>
          <w:lang w:val="en-US"/>
        </w:rPr>
        <w:t>Swiss Journal of Economics and Statistics (SJES)</w:t>
      </w:r>
      <w:r w:rsidRPr="00F82003">
        <w:rPr>
          <w:rFonts w:eastAsia="Batang"/>
          <w:lang w:val="en-US"/>
        </w:rPr>
        <w:t>,</w:t>
      </w:r>
      <w:r w:rsidRPr="008B5CDD">
        <w:rPr>
          <w:rFonts w:eastAsia="Batang"/>
          <w:lang w:val="en-US"/>
        </w:rPr>
        <w:t xml:space="preserve"> </w:t>
      </w:r>
      <w:r w:rsidRPr="008B5CDD">
        <w:rPr>
          <w:rFonts w:eastAsia="Batang"/>
          <w:iCs/>
          <w:lang w:val="en-US"/>
        </w:rPr>
        <w:t>132</w:t>
      </w:r>
      <w:r w:rsidRPr="008B5CDD">
        <w:rPr>
          <w:rFonts w:eastAsia="Batang"/>
          <w:lang w:val="en-US"/>
        </w:rPr>
        <w:t>(IV),</w:t>
      </w:r>
      <w:r w:rsidRPr="00F82003">
        <w:rPr>
          <w:rFonts w:eastAsia="Batang"/>
          <w:lang w:val="en-US"/>
        </w:rPr>
        <w:t xml:space="preserve"> 649-650</w:t>
      </w:r>
      <w:r w:rsidRPr="008B5CDD">
        <w:rPr>
          <w:rFonts w:eastAsia="Batang"/>
          <w:lang w:val="en-US"/>
        </w:rPr>
        <w:t>.</w:t>
      </w:r>
    </w:p>
    <w:p w:rsidR="008B5CDD" w:rsidRPr="008B5CDD" w:rsidRDefault="008B5CDD" w:rsidP="00F82003">
      <w:pPr>
        <w:spacing w:before="120" w:line="360" w:lineRule="auto"/>
        <w:jc w:val="both"/>
        <w:rPr>
          <w:rFonts w:eastAsia="Batang"/>
          <w:lang w:val="en-US"/>
        </w:rPr>
      </w:pPr>
      <w:r w:rsidRPr="000913FA">
        <w:rPr>
          <w:rFonts w:eastAsia="Batang"/>
          <w:lang w:val="en-US"/>
        </w:rPr>
        <w:t>J</w:t>
      </w:r>
      <w:r>
        <w:rPr>
          <w:rFonts w:eastAsia="Batang"/>
          <w:lang w:val="en-US"/>
        </w:rPr>
        <w:t>orion, P.</w:t>
      </w:r>
      <w:r w:rsidRPr="000913FA">
        <w:rPr>
          <w:rFonts w:eastAsia="Batang"/>
          <w:lang w:val="en-US"/>
        </w:rPr>
        <w:t xml:space="preserve"> (1996). Value at risk: the new benchmark for controlling market risk.</w:t>
      </w:r>
      <w:r w:rsidRPr="000913FA">
        <w:rPr>
          <w:rFonts w:eastAsia="Batang"/>
          <w:i/>
          <w:iCs/>
          <w:lang w:val="en-US"/>
        </w:rPr>
        <w:t>Chicago: Irwin Professional</w:t>
      </w:r>
      <w:r w:rsidRPr="000913FA">
        <w:rPr>
          <w:rFonts w:eastAsia="Batang"/>
          <w:lang w:val="en-US"/>
        </w:rPr>
        <w:t>.</w:t>
      </w:r>
    </w:p>
    <w:p w:rsidR="008B5CDD" w:rsidRPr="008B5CDD" w:rsidRDefault="008B5CDD" w:rsidP="00F82003">
      <w:pPr>
        <w:spacing w:before="120" w:line="360" w:lineRule="auto"/>
        <w:jc w:val="both"/>
        <w:rPr>
          <w:rFonts w:eastAsia="Batang"/>
          <w:lang w:val="en-US"/>
        </w:rPr>
      </w:pPr>
      <w:r w:rsidRPr="006202D2">
        <w:rPr>
          <w:rFonts w:eastAsia="Batang"/>
          <w:lang w:val="en-US"/>
        </w:rPr>
        <w:lastRenderedPageBreak/>
        <w:t>Keeler, T. E. (1984). Theories of regulation and the deregulation movement.</w:t>
      </w:r>
      <w:r w:rsidRPr="006202D2">
        <w:rPr>
          <w:rFonts w:eastAsia="Batang"/>
          <w:i/>
          <w:iCs/>
          <w:lang w:val="en-US"/>
        </w:rPr>
        <w:t>Public Choice</w:t>
      </w:r>
      <w:r w:rsidRPr="006202D2">
        <w:rPr>
          <w:rFonts w:eastAsia="Batang"/>
          <w:lang w:val="en-US"/>
        </w:rPr>
        <w:t>, </w:t>
      </w:r>
      <w:r w:rsidRPr="006202D2">
        <w:rPr>
          <w:rFonts w:eastAsia="Batang"/>
          <w:i/>
          <w:iCs/>
          <w:lang w:val="en-US"/>
        </w:rPr>
        <w:t>44</w:t>
      </w:r>
      <w:r w:rsidRPr="006202D2">
        <w:rPr>
          <w:rFonts w:eastAsia="Batang"/>
          <w:lang w:val="en-US"/>
        </w:rPr>
        <w:t>(1), 103-145.</w:t>
      </w:r>
    </w:p>
    <w:p w:rsidR="008B5CDD" w:rsidRPr="00A078A8" w:rsidRDefault="008B5CDD" w:rsidP="008B5CDD">
      <w:pPr>
        <w:spacing w:before="120" w:line="360" w:lineRule="auto"/>
        <w:jc w:val="both"/>
        <w:rPr>
          <w:lang w:val="en-US"/>
        </w:rPr>
      </w:pPr>
      <w:r w:rsidRPr="008E1A02">
        <w:rPr>
          <w:lang w:val="en-US"/>
        </w:rPr>
        <w:t>Manganelli</w:t>
      </w:r>
      <w:r w:rsidRPr="00F82003">
        <w:rPr>
          <w:lang w:val="en-US"/>
        </w:rPr>
        <w:t xml:space="preserve"> </w:t>
      </w:r>
      <w:r>
        <w:rPr>
          <w:lang w:val="en-US"/>
        </w:rPr>
        <w:t>S</w:t>
      </w:r>
      <w:r w:rsidRPr="00F82003">
        <w:rPr>
          <w:lang w:val="en-US"/>
        </w:rPr>
        <w:t xml:space="preserve">., </w:t>
      </w:r>
      <w:r w:rsidRPr="008E1A02">
        <w:rPr>
          <w:lang w:val="en-US"/>
        </w:rPr>
        <w:t>Engle</w:t>
      </w:r>
      <w:r w:rsidRPr="00F82003">
        <w:rPr>
          <w:lang w:val="en-US"/>
        </w:rPr>
        <w:t xml:space="preserve">, </w:t>
      </w:r>
      <w:r>
        <w:rPr>
          <w:lang w:val="en-US"/>
        </w:rPr>
        <w:t>R</w:t>
      </w:r>
      <w:r w:rsidRPr="00F82003">
        <w:rPr>
          <w:lang w:val="en-US"/>
        </w:rPr>
        <w:t>.</w:t>
      </w:r>
      <w:r>
        <w:rPr>
          <w:lang w:val="en-US"/>
        </w:rPr>
        <w:t>F</w:t>
      </w:r>
      <w:r w:rsidRPr="00F82003">
        <w:rPr>
          <w:lang w:val="en-US"/>
        </w:rPr>
        <w:t xml:space="preserve">. (2001), </w:t>
      </w:r>
      <w:r w:rsidRPr="008E1A02">
        <w:rPr>
          <w:lang w:val="en-US"/>
        </w:rPr>
        <w:t>V</w:t>
      </w:r>
      <w:r>
        <w:rPr>
          <w:lang w:val="en-US"/>
        </w:rPr>
        <w:t>alue</w:t>
      </w:r>
      <w:r w:rsidRPr="00F82003">
        <w:rPr>
          <w:lang w:val="en-US"/>
        </w:rPr>
        <w:t xml:space="preserve"> </w:t>
      </w:r>
      <w:r>
        <w:rPr>
          <w:lang w:val="en-US"/>
        </w:rPr>
        <w:t>at</w:t>
      </w:r>
      <w:r w:rsidRPr="00F82003">
        <w:rPr>
          <w:lang w:val="en-US"/>
        </w:rPr>
        <w:t xml:space="preserve"> </w:t>
      </w:r>
      <w:r>
        <w:rPr>
          <w:lang w:val="en-US"/>
        </w:rPr>
        <w:t>risk</w:t>
      </w:r>
      <w:r w:rsidRPr="00F82003">
        <w:rPr>
          <w:lang w:val="en-US"/>
        </w:rPr>
        <w:t xml:space="preserve"> </w:t>
      </w:r>
      <w:r>
        <w:rPr>
          <w:lang w:val="en-US"/>
        </w:rPr>
        <w:t>models</w:t>
      </w:r>
      <w:r w:rsidRPr="00F82003">
        <w:rPr>
          <w:lang w:val="en-US"/>
        </w:rPr>
        <w:t xml:space="preserve"> </w:t>
      </w:r>
      <w:r>
        <w:rPr>
          <w:lang w:val="en-US"/>
        </w:rPr>
        <w:t>in</w:t>
      </w:r>
      <w:r w:rsidRPr="00F82003">
        <w:rPr>
          <w:lang w:val="en-US"/>
        </w:rPr>
        <w:t xml:space="preserve"> </w:t>
      </w:r>
      <w:r>
        <w:rPr>
          <w:lang w:val="en-US"/>
        </w:rPr>
        <w:t>finance</w:t>
      </w:r>
      <w:r w:rsidRPr="00F82003">
        <w:rPr>
          <w:lang w:val="en-US"/>
        </w:rPr>
        <w:t xml:space="preserve">. </w:t>
      </w:r>
      <w:r w:rsidRPr="008E1A02">
        <w:rPr>
          <w:lang w:val="en-US"/>
        </w:rPr>
        <w:t>Working</w:t>
      </w:r>
      <w:r w:rsidRPr="00D32520">
        <w:rPr>
          <w:lang w:val="en-US"/>
        </w:rPr>
        <w:t xml:space="preserve"> </w:t>
      </w:r>
      <w:r w:rsidRPr="008E1A02">
        <w:rPr>
          <w:lang w:val="en-US"/>
        </w:rPr>
        <w:t>Paper</w:t>
      </w:r>
      <w:r w:rsidRPr="00D32520">
        <w:rPr>
          <w:lang w:val="en-US"/>
        </w:rPr>
        <w:t xml:space="preserve"> </w:t>
      </w:r>
      <w:r w:rsidRPr="008E1A02">
        <w:rPr>
          <w:lang w:val="en-US"/>
        </w:rPr>
        <w:t>Series</w:t>
      </w:r>
      <w:r w:rsidRPr="00D32520">
        <w:rPr>
          <w:lang w:val="en-US"/>
        </w:rPr>
        <w:t xml:space="preserve"> 075, </w:t>
      </w:r>
      <w:r w:rsidRPr="008E1A02">
        <w:rPr>
          <w:lang w:val="en-US"/>
        </w:rPr>
        <w:t>European</w:t>
      </w:r>
      <w:r w:rsidRPr="00D32520">
        <w:rPr>
          <w:lang w:val="en-US"/>
        </w:rPr>
        <w:t xml:space="preserve"> </w:t>
      </w:r>
      <w:r w:rsidRPr="008E1A02">
        <w:rPr>
          <w:lang w:val="en-US"/>
        </w:rPr>
        <w:t>Central</w:t>
      </w:r>
      <w:r w:rsidRPr="00D32520">
        <w:rPr>
          <w:lang w:val="en-US"/>
        </w:rPr>
        <w:t xml:space="preserve"> </w:t>
      </w:r>
      <w:r w:rsidRPr="008E1A02">
        <w:rPr>
          <w:lang w:val="en-US"/>
        </w:rPr>
        <w:t>Bank</w:t>
      </w:r>
      <w:r>
        <w:rPr>
          <w:lang w:val="en-US"/>
        </w:rPr>
        <w:t>.</w:t>
      </w:r>
    </w:p>
    <w:p w:rsidR="008B5CDD" w:rsidRPr="00A078A8" w:rsidRDefault="008B5CDD" w:rsidP="008B5CDD">
      <w:pPr>
        <w:spacing w:before="120" w:line="360" w:lineRule="auto"/>
        <w:jc w:val="both"/>
        <w:rPr>
          <w:rFonts w:eastAsia="Batang"/>
          <w:lang w:val="en-US"/>
        </w:rPr>
      </w:pPr>
      <w:r w:rsidRPr="00EA4FC3">
        <w:rPr>
          <w:rFonts w:eastAsia="Batang"/>
          <w:lang w:val="en-US"/>
        </w:rPr>
        <w:t xml:space="preserve">Mishkin, F. (2007). </w:t>
      </w:r>
      <w:r w:rsidRPr="00EA4FC3">
        <w:rPr>
          <w:rFonts w:eastAsia="Batang"/>
          <w:i/>
          <w:iCs/>
          <w:lang w:val="en-US"/>
        </w:rPr>
        <w:t>The economics of money, banking, and financial markets</w:t>
      </w:r>
      <w:r w:rsidRPr="00EA4FC3">
        <w:rPr>
          <w:rFonts w:eastAsia="Batang"/>
          <w:lang w:val="en-US"/>
        </w:rPr>
        <w:t xml:space="preserve">. </w:t>
      </w:r>
      <w:r w:rsidRPr="00B47019">
        <w:rPr>
          <w:rFonts w:eastAsia="Batang"/>
          <w:lang w:val="en-US"/>
        </w:rPr>
        <w:t>Pearson education.</w:t>
      </w:r>
    </w:p>
    <w:p w:rsidR="008B5CDD" w:rsidRPr="00A078A8" w:rsidRDefault="008B5CDD" w:rsidP="008B5CDD">
      <w:pPr>
        <w:spacing w:before="120" w:line="360" w:lineRule="auto"/>
        <w:jc w:val="both"/>
        <w:rPr>
          <w:rFonts w:eastAsiaTheme="minorHAnsi" w:cstheme="minorBidi"/>
          <w:lang w:val="en-US"/>
        </w:rPr>
      </w:pPr>
      <w:r w:rsidRPr="00CE6A4E">
        <w:rPr>
          <w:rFonts w:eastAsiaTheme="minorHAnsi" w:cstheme="minorBidi"/>
          <w:lang w:val="en-US"/>
        </w:rPr>
        <w:t>Philippas, D. T., Siriopoulos, C. (2009). Influence of financial innovation to the validation of operational risk. </w:t>
      </w:r>
      <w:r w:rsidRPr="00F82003">
        <w:rPr>
          <w:rFonts w:eastAsiaTheme="minorHAnsi" w:cstheme="minorBidi"/>
          <w:i/>
          <w:iCs/>
          <w:lang w:val="en-US"/>
        </w:rPr>
        <w:t>Managerial Finance</w:t>
      </w:r>
      <w:r w:rsidRPr="00F82003">
        <w:rPr>
          <w:rFonts w:eastAsiaTheme="minorHAnsi" w:cstheme="minorBidi"/>
          <w:lang w:val="en-US"/>
        </w:rPr>
        <w:t>, </w:t>
      </w:r>
      <w:r w:rsidRPr="00F82003">
        <w:rPr>
          <w:rFonts w:eastAsiaTheme="minorHAnsi" w:cstheme="minorBidi"/>
          <w:i/>
          <w:iCs/>
          <w:lang w:val="en-US"/>
        </w:rPr>
        <w:t>35</w:t>
      </w:r>
      <w:r w:rsidRPr="00F82003">
        <w:rPr>
          <w:rFonts w:eastAsiaTheme="minorHAnsi" w:cstheme="minorBidi"/>
          <w:lang w:val="en-US"/>
        </w:rPr>
        <w:t>(11), 940-947.</w:t>
      </w:r>
    </w:p>
    <w:p w:rsidR="008B5CDD" w:rsidRPr="008B5CDD" w:rsidRDefault="008B5CDD" w:rsidP="008B5CDD">
      <w:pPr>
        <w:spacing w:before="120" w:line="360" w:lineRule="auto"/>
        <w:jc w:val="both"/>
        <w:rPr>
          <w:rFonts w:eastAsiaTheme="minorHAnsi" w:cstheme="minorBidi"/>
          <w:iCs/>
          <w:lang w:val="en-US"/>
        </w:rPr>
      </w:pPr>
      <w:r w:rsidRPr="00CE6A4E">
        <w:rPr>
          <w:rFonts w:eastAsiaTheme="minorHAnsi" w:cstheme="minorBidi"/>
          <w:lang w:val="en-US"/>
        </w:rPr>
        <w:t>Philip</w:t>
      </w:r>
      <w:r>
        <w:rPr>
          <w:rFonts w:eastAsiaTheme="minorHAnsi" w:cstheme="minorBidi"/>
          <w:lang w:val="en-US"/>
        </w:rPr>
        <w:t>pas, D., Siriopoulos, C. (2012</w:t>
      </w:r>
      <w:r w:rsidRPr="00CE6A4E">
        <w:rPr>
          <w:rFonts w:eastAsiaTheme="minorHAnsi" w:cstheme="minorBidi"/>
          <w:lang w:val="en-US"/>
        </w:rPr>
        <w:t>). Is the Progress of Financial Innovation a Continuous Spiral Process?. </w:t>
      </w:r>
      <w:r w:rsidRPr="00F82003">
        <w:rPr>
          <w:rFonts w:eastAsiaTheme="minorHAnsi" w:cstheme="minorBidi"/>
          <w:i/>
          <w:iCs/>
          <w:lang w:val="en-US"/>
        </w:rPr>
        <w:t>Investment Management and Financial Innovations,</w:t>
      </w:r>
      <w:r w:rsidRPr="00CE6A4E">
        <w:rPr>
          <w:rFonts w:eastAsiaTheme="minorHAnsi" w:cstheme="minorBidi"/>
          <w:iCs/>
          <w:lang w:val="en-US"/>
        </w:rPr>
        <w:t>9(1),</w:t>
      </w:r>
      <w:r>
        <w:rPr>
          <w:rFonts w:eastAsiaTheme="minorHAnsi" w:cstheme="minorBidi"/>
          <w:i/>
          <w:iCs/>
          <w:lang w:val="en-US"/>
        </w:rPr>
        <w:t xml:space="preserve"> </w:t>
      </w:r>
      <w:r w:rsidRPr="00CE6A4E">
        <w:rPr>
          <w:rFonts w:eastAsiaTheme="minorHAnsi" w:cstheme="minorBidi"/>
          <w:iCs/>
          <w:lang w:val="en-US"/>
        </w:rPr>
        <w:t>20</w:t>
      </w:r>
      <w:r>
        <w:rPr>
          <w:rFonts w:eastAsiaTheme="minorHAnsi" w:cstheme="minorBidi"/>
          <w:iCs/>
          <w:lang w:val="en-US"/>
        </w:rPr>
        <w:t>-31</w:t>
      </w:r>
    </w:p>
    <w:p w:rsidR="004F2675" w:rsidRPr="00022B4A" w:rsidRDefault="004F2675" w:rsidP="004F2675">
      <w:pPr>
        <w:pStyle w:val="ae"/>
        <w:ind w:left="360" w:hanging="360"/>
        <w:jc w:val="both"/>
        <w:rPr>
          <w:lang w:val="en-US"/>
        </w:rPr>
      </w:pPr>
    </w:p>
    <w:bookmarkEnd w:id="4"/>
    <w:p w:rsidR="00FE2A62" w:rsidRPr="00953A33" w:rsidRDefault="00FE2A62" w:rsidP="00FE2A62">
      <w:pPr>
        <w:rPr>
          <w:b/>
          <w:bCs/>
          <w:kern w:val="32"/>
          <w:sz w:val="32"/>
          <w:szCs w:val="32"/>
          <w:lang w:val="en-US"/>
        </w:rPr>
      </w:pPr>
    </w:p>
    <w:sectPr w:rsidR="00FE2A62" w:rsidRPr="00953A33" w:rsidSect="00A17D95">
      <w:footerReference w:type="default" r:id="rId17"/>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72" w:rsidRDefault="00AD7772">
      <w:r>
        <w:separator/>
      </w:r>
    </w:p>
  </w:endnote>
  <w:endnote w:type="continuationSeparator" w:id="0">
    <w:p w:rsidR="00AD7772" w:rsidRDefault="00AD7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imesNewRomanPSMT">
    <w:altName w:val="Times New Roman"/>
    <w:charset w:val="00"/>
    <w:family w:val="roman"/>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charset w:val="00"/>
    <w:family w:val="auto"/>
    <w:pitch w:val="variable"/>
    <w:sig w:usb0="00000000" w:usb1="00000000" w:usb2="00000000" w:usb3="00000000" w:csb0="00000000" w:csb1="00000000"/>
  </w:font>
  <w:font w:name="MS Reference Sans Serif">
    <w:panose1 w:val="020B0604030504040204"/>
    <w:charset w:val="A1"/>
    <w:family w:val="swiss"/>
    <w:pitch w:val="variable"/>
    <w:sig w:usb0="20000287" w:usb1="00000000"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B1" w:rsidRDefault="00FB00B1">
    <w:pPr>
      <w:pStyle w:val="a4"/>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sidR="00177F7A" w:rsidRPr="00177F7A">
      <w:rPr>
        <w:rFonts w:asciiTheme="minorHAnsi" w:eastAsiaTheme="minorEastAsia" w:hAnsiTheme="minorHAnsi" w:cstheme="minorBidi"/>
      </w:rPr>
      <w:fldChar w:fldCharType="begin"/>
    </w:r>
    <w:r>
      <w:instrText>PAGE   \* MERGEFORMAT</w:instrText>
    </w:r>
    <w:r w:rsidR="00177F7A" w:rsidRPr="00177F7A">
      <w:rPr>
        <w:rFonts w:asciiTheme="minorHAnsi" w:eastAsiaTheme="minorEastAsia" w:hAnsiTheme="minorHAnsi" w:cstheme="minorBidi"/>
      </w:rPr>
      <w:fldChar w:fldCharType="separate"/>
    </w:r>
    <w:r w:rsidR="006A7994" w:rsidRPr="006A7994">
      <w:rPr>
        <w:rFonts w:asciiTheme="majorHAnsi" w:eastAsiaTheme="majorEastAsia" w:hAnsiTheme="majorHAnsi" w:cstheme="majorBidi"/>
        <w:noProof/>
      </w:rPr>
      <w:t>25</w:t>
    </w:r>
    <w:r w:rsidR="00177F7A">
      <w:rPr>
        <w:rFonts w:asciiTheme="majorHAnsi" w:eastAsiaTheme="majorEastAsia" w:hAnsiTheme="majorHAnsi" w:cstheme="majorBidi"/>
      </w:rPr>
      <w:fldChar w:fldCharType="end"/>
    </w:r>
  </w:p>
  <w:p w:rsidR="00FB00B1" w:rsidRPr="00394D9C" w:rsidRDefault="00FB00B1">
    <w:pPr>
      <w:pStyle w:val="a4"/>
    </w:pPr>
  </w:p>
  <w:p w:rsidR="00FB00B1" w:rsidRDefault="00FB00B1"/>
  <w:p w:rsidR="00FB00B1" w:rsidRDefault="00FB00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72" w:rsidRDefault="00AD7772">
      <w:r>
        <w:separator/>
      </w:r>
    </w:p>
  </w:footnote>
  <w:footnote w:type="continuationSeparator" w:id="0">
    <w:p w:rsidR="00AD7772" w:rsidRDefault="00AD7772">
      <w:r>
        <w:continuationSeparator/>
      </w:r>
    </w:p>
  </w:footnote>
  <w:footnote w:id="1">
    <w:p w:rsidR="00FB00B1" w:rsidRPr="00F93C58" w:rsidRDefault="00FB00B1" w:rsidP="006572C3">
      <w:pPr>
        <w:pStyle w:val="ab"/>
      </w:pPr>
      <w:r>
        <w:rPr>
          <w:rStyle w:val="ac"/>
        </w:rPr>
        <w:footnoteRef/>
      </w:r>
      <w:r w:rsidRPr="00F93C58">
        <w:t xml:space="preserve"> </w:t>
      </w:r>
      <w:hyperlink r:id="rId1" w:history="1">
        <w:r w:rsidRPr="005C1A27">
          <w:rPr>
            <w:rStyle w:val="-"/>
            <w:lang w:val="en-US"/>
          </w:rPr>
          <w:t>http</w:t>
        </w:r>
        <w:r w:rsidRPr="00F93C58">
          <w:rPr>
            <w:rStyle w:val="-"/>
          </w:rPr>
          <w:t>://</w:t>
        </w:r>
        <w:r w:rsidRPr="005C1A27">
          <w:rPr>
            <w:rStyle w:val="-"/>
            <w:lang w:val="en-US"/>
          </w:rPr>
          <w:t>www</w:t>
        </w:r>
        <w:r w:rsidRPr="00F93C58">
          <w:rPr>
            <w:rStyle w:val="-"/>
          </w:rPr>
          <w:t>.</w:t>
        </w:r>
        <w:r w:rsidRPr="005C1A27">
          <w:rPr>
            <w:rStyle w:val="-"/>
            <w:lang w:val="en-US"/>
          </w:rPr>
          <w:t>bis</w:t>
        </w:r>
        <w:r w:rsidRPr="00F93C58">
          <w:rPr>
            <w:rStyle w:val="-"/>
          </w:rPr>
          <w:t>.</w:t>
        </w:r>
        <w:r w:rsidRPr="005C1A27">
          <w:rPr>
            <w:rStyle w:val="-"/>
            <w:lang w:val="en-US"/>
          </w:rPr>
          <w:t>org</w:t>
        </w:r>
        <w:r w:rsidRPr="00F93C58">
          <w:rPr>
            <w:rStyle w:val="-"/>
          </w:rPr>
          <w:t>/</w:t>
        </w:r>
        <w:r w:rsidRPr="005C1A27">
          <w:rPr>
            <w:rStyle w:val="-"/>
            <w:lang w:val="en-US"/>
          </w:rPr>
          <w:t>bcbs</w:t>
        </w:r>
        <w:r w:rsidRPr="00F93C58">
          <w:rPr>
            <w:rStyle w:val="-"/>
          </w:rPr>
          <w:t>/</w:t>
        </w:r>
        <w:r w:rsidRPr="005C1A27">
          <w:rPr>
            <w:rStyle w:val="-"/>
            <w:lang w:val="en-US"/>
          </w:rPr>
          <w:t>history</w:t>
        </w:r>
        <w:r w:rsidRPr="00F93C58">
          <w:rPr>
            <w:rStyle w:val="-"/>
          </w:rPr>
          <w:t>.</w:t>
        </w:r>
        <w:r w:rsidRPr="005C1A27">
          <w:rPr>
            <w:rStyle w:val="-"/>
            <w:lang w:val="en-US"/>
          </w:rPr>
          <w:t>htm</w:t>
        </w:r>
      </w:hyperlink>
    </w:p>
  </w:footnote>
  <w:footnote w:id="2">
    <w:p w:rsidR="00FB00B1" w:rsidRPr="0043687A" w:rsidRDefault="00FB00B1" w:rsidP="006572C3">
      <w:pPr>
        <w:pStyle w:val="ab"/>
      </w:pPr>
      <w:r>
        <w:rPr>
          <w:rStyle w:val="ac"/>
        </w:rPr>
        <w:footnoteRef/>
      </w:r>
      <w:r w:rsidRPr="0043687A">
        <w:t xml:space="preserve"> </w:t>
      </w:r>
      <w:r>
        <w:t>Για μια σε βάθος ανάλυση δείτε Γκόρτσος (2006).</w:t>
      </w:r>
    </w:p>
  </w:footnote>
  <w:footnote w:id="3">
    <w:p w:rsidR="00FB00B1" w:rsidRPr="002E3444" w:rsidRDefault="00FB00B1" w:rsidP="00045DCB">
      <w:pPr>
        <w:pStyle w:val="ab"/>
        <w:jc w:val="both"/>
      </w:pPr>
      <w:r>
        <w:rPr>
          <w:rStyle w:val="ac"/>
        </w:rPr>
        <w:footnoteRef/>
      </w:r>
      <w:r w:rsidRPr="002E3444">
        <w:t xml:space="preserve"> </w:t>
      </w:r>
      <w:r>
        <w:t>Γκόρτσος, Δελτίο Ένωσης Ελληνικών Τραπεζών Β-Γ Τρίμηνο 2001.</w:t>
      </w:r>
    </w:p>
  </w:footnote>
  <w:footnote w:id="4">
    <w:p w:rsidR="00FB00B1" w:rsidRPr="00AE6135" w:rsidRDefault="00FB00B1" w:rsidP="00045DCB">
      <w:pPr>
        <w:pStyle w:val="ab"/>
        <w:jc w:val="both"/>
      </w:pPr>
      <w:r>
        <w:rPr>
          <w:rStyle w:val="ac"/>
        </w:rPr>
        <w:footnoteRef/>
      </w:r>
      <w:r w:rsidRPr="00C64B3C">
        <w:t xml:space="preserve"> </w:t>
      </w:r>
      <w:r>
        <w:t xml:space="preserve">Η αρθρογραφία γύρω από την χρηματοοικονομική καινοτομία αναπτύσσεται με ραγδαίους ρυθμούς ενδεικτικά </w:t>
      </w:r>
      <w:r w:rsidRPr="00AE6135">
        <w:t xml:space="preserve">δείτε </w:t>
      </w:r>
      <w:r w:rsidRPr="00AE6135">
        <w:rPr>
          <w:lang w:val="en-US"/>
        </w:rPr>
        <w:t>Philippas</w:t>
      </w:r>
      <w:r w:rsidRPr="00AE6135">
        <w:t xml:space="preserve"> &amp; </w:t>
      </w:r>
      <w:r w:rsidRPr="00AE6135">
        <w:rPr>
          <w:lang w:val="en-US"/>
        </w:rPr>
        <w:t>Siriopoulos</w:t>
      </w:r>
      <w:r w:rsidRPr="00AE6135">
        <w:t xml:space="preserve"> (2009, 2012).</w:t>
      </w:r>
    </w:p>
  </w:footnote>
  <w:footnote w:id="5">
    <w:p w:rsidR="00FB00B1" w:rsidRPr="00C51572" w:rsidRDefault="00FB00B1" w:rsidP="00045DCB">
      <w:pPr>
        <w:pStyle w:val="ab"/>
        <w:jc w:val="both"/>
        <w:rPr>
          <w:lang w:val="en-US"/>
        </w:rPr>
      </w:pPr>
      <w:r>
        <w:rPr>
          <w:rStyle w:val="ac"/>
        </w:rPr>
        <w:footnoteRef/>
      </w:r>
      <w:r w:rsidRPr="00C51572">
        <w:rPr>
          <w:lang w:val="en-US"/>
        </w:rPr>
        <w:t xml:space="preserve"> Basel III: A global regulatory framework for more resilient banks and banking systems </w:t>
      </w:r>
      <w:r>
        <w:t>και</w:t>
      </w:r>
      <w:r w:rsidRPr="00C51572">
        <w:rPr>
          <w:lang w:val="en-US"/>
        </w:rPr>
        <w:t xml:space="preserve"> Basel III: International framework for liquidity risk measurement, standards and monitoring</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35"/>
        </w:tabs>
      </w:pPr>
    </w:lvl>
  </w:abstractNum>
  <w:abstractNum w:abstractNumId="1">
    <w:nsid w:val="00000003"/>
    <w:multiLevelType w:val="singleLevel"/>
    <w:tmpl w:val="00000003"/>
    <w:name w:val="WW8Num3"/>
    <w:lvl w:ilvl="0">
      <w:start w:val="1"/>
      <w:numFmt w:val="decimal"/>
      <w:lvlText w:val="(%1)"/>
      <w:lvlJc w:val="left"/>
      <w:pPr>
        <w:tabs>
          <w:tab w:val="num" w:pos="720"/>
        </w:tabs>
      </w:pPr>
    </w:lvl>
  </w:abstractNum>
  <w:abstractNum w:abstractNumId="2">
    <w:nsid w:val="00000005"/>
    <w:multiLevelType w:val="singleLevel"/>
    <w:tmpl w:val="00000005"/>
    <w:name w:val="WW8Num5"/>
    <w:lvl w:ilvl="0">
      <w:start w:val="1"/>
      <w:numFmt w:val="decimal"/>
      <w:lvlText w:val="(%1)"/>
      <w:lvlJc w:val="left"/>
      <w:pPr>
        <w:tabs>
          <w:tab w:val="num" w:pos="750"/>
        </w:tabs>
      </w:pPr>
    </w:lvl>
  </w:abstractNum>
  <w:abstractNum w:abstractNumId="3">
    <w:nsid w:val="05AB2FA6"/>
    <w:multiLevelType w:val="hybridMultilevel"/>
    <w:tmpl w:val="484846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7197562"/>
    <w:multiLevelType w:val="singleLevel"/>
    <w:tmpl w:val="0408000F"/>
    <w:lvl w:ilvl="0">
      <w:start w:val="1"/>
      <w:numFmt w:val="decimal"/>
      <w:lvlText w:val="%1."/>
      <w:lvlJc w:val="left"/>
      <w:pPr>
        <w:tabs>
          <w:tab w:val="num" w:pos="360"/>
        </w:tabs>
        <w:ind w:left="360" w:hanging="360"/>
      </w:pPr>
    </w:lvl>
  </w:abstractNum>
  <w:abstractNum w:abstractNumId="5">
    <w:nsid w:val="0A324DE1"/>
    <w:multiLevelType w:val="hybridMultilevel"/>
    <w:tmpl w:val="D2188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B1C5D04"/>
    <w:multiLevelType w:val="hybridMultilevel"/>
    <w:tmpl w:val="69987E16"/>
    <w:lvl w:ilvl="0" w:tplc="32C4088C">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D385063"/>
    <w:multiLevelType w:val="hybridMultilevel"/>
    <w:tmpl w:val="35AEA9CA"/>
    <w:lvl w:ilvl="0" w:tplc="7368016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663654"/>
    <w:multiLevelType w:val="hybridMultilevel"/>
    <w:tmpl w:val="FEA24FE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06D505B"/>
    <w:multiLevelType w:val="hybridMultilevel"/>
    <w:tmpl w:val="E01080F8"/>
    <w:lvl w:ilvl="0" w:tplc="32C4088C">
      <w:start w:val="1"/>
      <w:numFmt w:val="bullet"/>
      <w:lvlText w:val=""/>
      <w:lvlJc w:val="left"/>
      <w:pPr>
        <w:tabs>
          <w:tab w:val="num" w:pos="360"/>
        </w:tabs>
        <w:ind w:left="360" w:hanging="360"/>
      </w:pPr>
      <w:rPr>
        <w:rFonts w:ascii="Wingdings" w:hAnsi="Wingdings" w:hint="default"/>
      </w:rPr>
    </w:lvl>
    <w:lvl w:ilvl="1" w:tplc="393C26B6">
      <w:numFmt w:val="bullet"/>
      <w:lvlText w:val=""/>
      <w:lvlJc w:val="left"/>
      <w:pPr>
        <w:tabs>
          <w:tab w:val="num" w:pos="1080"/>
        </w:tabs>
        <w:ind w:left="1080" w:hanging="360"/>
      </w:pPr>
      <w:rPr>
        <w:rFonts w:ascii="Wingdings" w:hAnsi="Wingdings" w:hint="default"/>
      </w:rPr>
    </w:lvl>
    <w:lvl w:ilvl="2" w:tplc="67CEB944" w:tentative="1">
      <w:start w:val="1"/>
      <w:numFmt w:val="bullet"/>
      <w:lvlText w:val=""/>
      <w:lvlJc w:val="left"/>
      <w:pPr>
        <w:tabs>
          <w:tab w:val="num" w:pos="1800"/>
        </w:tabs>
        <w:ind w:left="1800" w:hanging="360"/>
      </w:pPr>
      <w:rPr>
        <w:rFonts w:ascii="Wingdings" w:hAnsi="Wingdings" w:hint="default"/>
      </w:rPr>
    </w:lvl>
    <w:lvl w:ilvl="3" w:tplc="E6E69752" w:tentative="1">
      <w:start w:val="1"/>
      <w:numFmt w:val="bullet"/>
      <w:lvlText w:val=""/>
      <w:lvlJc w:val="left"/>
      <w:pPr>
        <w:tabs>
          <w:tab w:val="num" w:pos="2520"/>
        </w:tabs>
        <w:ind w:left="2520" w:hanging="360"/>
      </w:pPr>
      <w:rPr>
        <w:rFonts w:ascii="Wingdings" w:hAnsi="Wingdings" w:hint="default"/>
      </w:rPr>
    </w:lvl>
    <w:lvl w:ilvl="4" w:tplc="AA32CAB4" w:tentative="1">
      <w:start w:val="1"/>
      <w:numFmt w:val="bullet"/>
      <w:lvlText w:val=""/>
      <w:lvlJc w:val="left"/>
      <w:pPr>
        <w:tabs>
          <w:tab w:val="num" w:pos="3240"/>
        </w:tabs>
        <w:ind w:left="3240" w:hanging="360"/>
      </w:pPr>
      <w:rPr>
        <w:rFonts w:ascii="Wingdings" w:hAnsi="Wingdings" w:hint="default"/>
      </w:rPr>
    </w:lvl>
    <w:lvl w:ilvl="5" w:tplc="0EEA78A6" w:tentative="1">
      <w:start w:val="1"/>
      <w:numFmt w:val="bullet"/>
      <w:lvlText w:val=""/>
      <w:lvlJc w:val="left"/>
      <w:pPr>
        <w:tabs>
          <w:tab w:val="num" w:pos="3960"/>
        </w:tabs>
        <w:ind w:left="3960" w:hanging="360"/>
      </w:pPr>
      <w:rPr>
        <w:rFonts w:ascii="Wingdings" w:hAnsi="Wingdings" w:hint="default"/>
      </w:rPr>
    </w:lvl>
    <w:lvl w:ilvl="6" w:tplc="03E83272" w:tentative="1">
      <w:start w:val="1"/>
      <w:numFmt w:val="bullet"/>
      <w:lvlText w:val=""/>
      <w:lvlJc w:val="left"/>
      <w:pPr>
        <w:tabs>
          <w:tab w:val="num" w:pos="4680"/>
        </w:tabs>
        <w:ind w:left="4680" w:hanging="360"/>
      </w:pPr>
      <w:rPr>
        <w:rFonts w:ascii="Wingdings" w:hAnsi="Wingdings" w:hint="default"/>
      </w:rPr>
    </w:lvl>
    <w:lvl w:ilvl="7" w:tplc="A1BAD26C" w:tentative="1">
      <w:start w:val="1"/>
      <w:numFmt w:val="bullet"/>
      <w:lvlText w:val=""/>
      <w:lvlJc w:val="left"/>
      <w:pPr>
        <w:tabs>
          <w:tab w:val="num" w:pos="5400"/>
        </w:tabs>
        <w:ind w:left="5400" w:hanging="360"/>
      </w:pPr>
      <w:rPr>
        <w:rFonts w:ascii="Wingdings" w:hAnsi="Wingdings" w:hint="default"/>
      </w:rPr>
    </w:lvl>
    <w:lvl w:ilvl="8" w:tplc="2AEE5916" w:tentative="1">
      <w:start w:val="1"/>
      <w:numFmt w:val="bullet"/>
      <w:lvlText w:val=""/>
      <w:lvlJc w:val="left"/>
      <w:pPr>
        <w:tabs>
          <w:tab w:val="num" w:pos="6120"/>
        </w:tabs>
        <w:ind w:left="6120" w:hanging="360"/>
      </w:pPr>
      <w:rPr>
        <w:rFonts w:ascii="Wingdings" w:hAnsi="Wingdings" w:hint="default"/>
      </w:rPr>
    </w:lvl>
  </w:abstractNum>
  <w:abstractNum w:abstractNumId="10">
    <w:nsid w:val="10F06FD1"/>
    <w:multiLevelType w:val="hybridMultilevel"/>
    <w:tmpl w:val="F072037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117F6C"/>
    <w:multiLevelType w:val="hybridMultilevel"/>
    <w:tmpl w:val="53B2391E"/>
    <w:lvl w:ilvl="0" w:tplc="32C4088C">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6980339"/>
    <w:multiLevelType w:val="hybridMultilevel"/>
    <w:tmpl w:val="96F23124"/>
    <w:lvl w:ilvl="0" w:tplc="04080005">
      <w:start w:val="1"/>
      <w:numFmt w:val="bullet"/>
      <w:lvlText w:val=""/>
      <w:lvlJc w:val="left"/>
      <w:pPr>
        <w:ind w:left="1142" w:hanging="360"/>
      </w:pPr>
      <w:rPr>
        <w:rFonts w:ascii="Wingdings" w:hAnsi="Wingdings" w:hint="default"/>
      </w:rPr>
    </w:lvl>
    <w:lvl w:ilvl="1" w:tplc="04080003" w:tentative="1">
      <w:start w:val="1"/>
      <w:numFmt w:val="bullet"/>
      <w:lvlText w:val="o"/>
      <w:lvlJc w:val="left"/>
      <w:pPr>
        <w:ind w:left="1862" w:hanging="360"/>
      </w:pPr>
      <w:rPr>
        <w:rFonts w:ascii="Courier New" w:hAnsi="Courier New" w:cs="Courier New" w:hint="default"/>
      </w:rPr>
    </w:lvl>
    <w:lvl w:ilvl="2" w:tplc="04080005" w:tentative="1">
      <w:start w:val="1"/>
      <w:numFmt w:val="bullet"/>
      <w:lvlText w:val=""/>
      <w:lvlJc w:val="left"/>
      <w:pPr>
        <w:ind w:left="2582" w:hanging="360"/>
      </w:pPr>
      <w:rPr>
        <w:rFonts w:ascii="Wingdings" w:hAnsi="Wingdings" w:hint="default"/>
      </w:rPr>
    </w:lvl>
    <w:lvl w:ilvl="3" w:tplc="04080001" w:tentative="1">
      <w:start w:val="1"/>
      <w:numFmt w:val="bullet"/>
      <w:lvlText w:val=""/>
      <w:lvlJc w:val="left"/>
      <w:pPr>
        <w:ind w:left="3302" w:hanging="360"/>
      </w:pPr>
      <w:rPr>
        <w:rFonts w:ascii="Symbol" w:hAnsi="Symbol" w:hint="default"/>
      </w:rPr>
    </w:lvl>
    <w:lvl w:ilvl="4" w:tplc="04080003" w:tentative="1">
      <w:start w:val="1"/>
      <w:numFmt w:val="bullet"/>
      <w:lvlText w:val="o"/>
      <w:lvlJc w:val="left"/>
      <w:pPr>
        <w:ind w:left="4022" w:hanging="360"/>
      </w:pPr>
      <w:rPr>
        <w:rFonts w:ascii="Courier New" w:hAnsi="Courier New" w:cs="Courier New" w:hint="default"/>
      </w:rPr>
    </w:lvl>
    <w:lvl w:ilvl="5" w:tplc="04080005" w:tentative="1">
      <w:start w:val="1"/>
      <w:numFmt w:val="bullet"/>
      <w:lvlText w:val=""/>
      <w:lvlJc w:val="left"/>
      <w:pPr>
        <w:ind w:left="4742" w:hanging="360"/>
      </w:pPr>
      <w:rPr>
        <w:rFonts w:ascii="Wingdings" w:hAnsi="Wingdings" w:hint="default"/>
      </w:rPr>
    </w:lvl>
    <w:lvl w:ilvl="6" w:tplc="04080001" w:tentative="1">
      <w:start w:val="1"/>
      <w:numFmt w:val="bullet"/>
      <w:lvlText w:val=""/>
      <w:lvlJc w:val="left"/>
      <w:pPr>
        <w:ind w:left="5462" w:hanging="360"/>
      </w:pPr>
      <w:rPr>
        <w:rFonts w:ascii="Symbol" w:hAnsi="Symbol" w:hint="default"/>
      </w:rPr>
    </w:lvl>
    <w:lvl w:ilvl="7" w:tplc="04080003" w:tentative="1">
      <w:start w:val="1"/>
      <w:numFmt w:val="bullet"/>
      <w:lvlText w:val="o"/>
      <w:lvlJc w:val="left"/>
      <w:pPr>
        <w:ind w:left="6182" w:hanging="360"/>
      </w:pPr>
      <w:rPr>
        <w:rFonts w:ascii="Courier New" w:hAnsi="Courier New" w:cs="Courier New" w:hint="default"/>
      </w:rPr>
    </w:lvl>
    <w:lvl w:ilvl="8" w:tplc="04080005" w:tentative="1">
      <w:start w:val="1"/>
      <w:numFmt w:val="bullet"/>
      <w:lvlText w:val=""/>
      <w:lvlJc w:val="left"/>
      <w:pPr>
        <w:ind w:left="6902" w:hanging="360"/>
      </w:pPr>
      <w:rPr>
        <w:rFonts w:ascii="Wingdings" w:hAnsi="Wingdings" w:hint="default"/>
      </w:rPr>
    </w:lvl>
  </w:abstractNum>
  <w:abstractNum w:abstractNumId="13">
    <w:nsid w:val="178E50C8"/>
    <w:multiLevelType w:val="hybridMultilevel"/>
    <w:tmpl w:val="8CEC9B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8D60CFC"/>
    <w:multiLevelType w:val="hybridMultilevel"/>
    <w:tmpl w:val="8DF80F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9255C79"/>
    <w:multiLevelType w:val="hybridMultilevel"/>
    <w:tmpl w:val="B2364D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19C12416"/>
    <w:multiLevelType w:val="hybridMultilevel"/>
    <w:tmpl w:val="1850FA1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1C8E1E4A"/>
    <w:multiLevelType w:val="hybridMultilevel"/>
    <w:tmpl w:val="9782B9BE"/>
    <w:lvl w:ilvl="0" w:tplc="04080001">
      <w:start w:val="1"/>
      <w:numFmt w:val="bullet"/>
      <w:lvlText w:val=""/>
      <w:lvlJc w:val="left"/>
      <w:pPr>
        <w:ind w:left="360" w:hanging="360"/>
      </w:pPr>
      <w:rPr>
        <w:rFonts w:ascii="Symbol" w:hAnsi="Symbol" w:hint="default"/>
      </w:rPr>
    </w:lvl>
    <w:lvl w:ilvl="1" w:tplc="41A6F0A2">
      <w:start w:val="1"/>
      <w:numFmt w:val="lowerLetter"/>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1D3B1B6F"/>
    <w:multiLevelType w:val="hybridMultilevel"/>
    <w:tmpl w:val="DD884C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1E654E32"/>
    <w:multiLevelType w:val="hybridMultilevel"/>
    <w:tmpl w:val="27D0E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213B13AC"/>
    <w:multiLevelType w:val="multilevel"/>
    <w:tmpl w:val="BC74634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1697DDF"/>
    <w:multiLevelType w:val="hybridMultilevel"/>
    <w:tmpl w:val="5C84C9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273971CE"/>
    <w:multiLevelType w:val="hybridMultilevel"/>
    <w:tmpl w:val="408466D8"/>
    <w:lvl w:ilvl="0" w:tplc="04080005">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27E23F59"/>
    <w:multiLevelType w:val="hybridMultilevel"/>
    <w:tmpl w:val="21D445BC"/>
    <w:lvl w:ilvl="0" w:tplc="D274613E">
      <w:start w:val="1"/>
      <w:numFmt w:val="decimal"/>
      <w:lvlText w:val="%1."/>
      <w:lvlJc w:val="left"/>
      <w:pPr>
        <w:ind w:left="270" w:hanging="360"/>
      </w:pPr>
      <w:rPr>
        <w:rFonts w:hint="default"/>
      </w:rPr>
    </w:lvl>
    <w:lvl w:ilvl="1" w:tplc="04080019" w:tentative="1">
      <w:start w:val="1"/>
      <w:numFmt w:val="lowerLetter"/>
      <w:lvlText w:val="%2."/>
      <w:lvlJc w:val="left"/>
      <w:pPr>
        <w:ind w:left="990" w:hanging="360"/>
      </w:pPr>
    </w:lvl>
    <w:lvl w:ilvl="2" w:tplc="0408001B" w:tentative="1">
      <w:start w:val="1"/>
      <w:numFmt w:val="lowerRoman"/>
      <w:lvlText w:val="%3."/>
      <w:lvlJc w:val="right"/>
      <w:pPr>
        <w:ind w:left="1710" w:hanging="180"/>
      </w:pPr>
    </w:lvl>
    <w:lvl w:ilvl="3" w:tplc="0408000F" w:tentative="1">
      <w:start w:val="1"/>
      <w:numFmt w:val="decimal"/>
      <w:lvlText w:val="%4."/>
      <w:lvlJc w:val="left"/>
      <w:pPr>
        <w:ind w:left="2430" w:hanging="360"/>
      </w:pPr>
    </w:lvl>
    <w:lvl w:ilvl="4" w:tplc="04080019" w:tentative="1">
      <w:start w:val="1"/>
      <w:numFmt w:val="lowerLetter"/>
      <w:lvlText w:val="%5."/>
      <w:lvlJc w:val="left"/>
      <w:pPr>
        <w:ind w:left="3150" w:hanging="360"/>
      </w:pPr>
    </w:lvl>
    <w:lvl w:ilvl="5" w:tplc="0408001B" w:tentative="1">
      <w:start w:val="1"/>
      <w:numFmt w:val="lowerRoman"/>
      <w:lvlText w:val="%6."/>
      <w:lvlJc w:val="right"/>
      <w:pPr>
        <w:ind w:left="3870" w:hanging="180"/>
      </w:pPr>
    </w:lvl>
    <w:lvl w:ilvl="6" w:tplc="0408000F" w:tentative="1">
      <w:start w:val="1"/>
      <w:numFmt w:val="decimal"/>
      <w:lvlText w:val="%7."/>
      <w:lvlJc w:val="left"/>
      <w:pPr>
        <w:ind w:left="4590" w:hanging="360"/>
      </w:pPr>
    </w:lvl>
    <w:lvl w:ilvl="7" w:tplc="04080019" w:tentative="1">
      <w:start w:val="1"/>
      <w:numFmt w:val="lowerLetter"/>
      <w:lvlText w:val="%8."/>
      <w:lvlJc w:val="left"/>
      <w:pPr>
        <w:ind w:left="5310" w:hanging="360"/>
      </w:pPr>
    </w:lvl>
    <w:lvl w:ilvl="8" w:tplc="0408001B" w:tentative="1">
      <w:start w:val="1"/>
      <w:numFmt w:val="lowerRoman"/>
      <w:lvlText w:val="%9."/>
      <w:lvlJc w:val="right"/>
      <w:pPr>
        <w:ind w:left="6030" w:hanging="180"/>
      </w:pPr>
    </w:lvl>
  </w:abstractNum>
  <w:abstractNum w:abstractNumId="24">
    <w:nsid w:val="2B2C76DD"/>
    <w:multiLevelType w:val="hybridMultilevel"/>
    <w:tmpl w:val="AEEE5D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2B3D0BA3"/>
    <w:multiLevelType w:val="hybridMultilevel"/>
    <w:tmpl w:val="1F3ED7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04B689E"/>
    <w:multiLevelType w:val="hybridMultilevel"/>
    <w:tmpl w:val="7D385B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313D305A"/>
    <w:multiLevelType w:val="hybridMultilevel"/>
    <w:tmpl w:val="2D9C0E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31832BC6"/>
    <w:multiLevelType w:val="hybridMultilevel"/>
    <w:tmpl w:val="1D9072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335D31FA"/>
    <w:multiLevelType w:val="hybridMultilevel"/>
    <w:tmpl w:val="E02232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338F3AAD"/>
    <w:multiLevelType w:val="hybridMultilevel"/>
    <w:tmpl w:val="62D0398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3BD1F71"/>
    <w:multiLevelType w:val="hybridMultilevel"/>
    <w:tmpl w:val="BB6A8A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7167F56"/>
    <w:multiLevelType w:val="hybridMultilevel"/>
    <w:tmpl w:val="97FE9A6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nsid w:val="37601241"/>
    <w:multiLevelType w:val="hybridMultilevel"/>
    <w:tmpl w:val="D3EA5B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39E43248"/>
    <w:multiLevelType w:val="hybridMultilevel"/>
    <w:tmpl w:val="3FAADB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3A1276EE"/>
    <w:multiLevelType w:val="hybridMultilevel"/>
    <w:tmpl w:val="B664B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A1F6B15"/>
    <w:multiLevelType w:val="hybridMultilevel"/>
    <w:tmpl w:val="AD4E3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3C135B3E"/>
    <w:multiLevelType w:val="hybridMultilevel"/>
    <w:tmpl w:val="24FC3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F5D10EF"/>
    <w:multiLevelType w:val="hybridMultilevel"/>
    <w:tmpl w:val="9F2AA6CC"/>
    <w:lvl w:ilvl="0" w:tplc="0408000F">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FC4716F"/>
    <w:multiLevelType w:val="multilevel"/>
    <w:tmpl w:val="1FDEE202"/>
    <w:lvl w:ilvl="0">
      <w:start w:val="1"/>
      <w:numFmt w:val="decimal"/>
      <w:lvlText w:val="%1."/>
      <w:lvlJc w:val="left"/>
      <w:pPr>
        <w:ind w:left="360" w:hanging="360"/>
      </w:pPr>
    </w:lvl>
    <w:lvl w:ilvl="1">
      <w:start w:val="6"/>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40D91863"/>
    <w:multiLevelType w:val="multilevel"/>
    <w:tmpl w:val="A1B2936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2CF4570"/>
    <w:multiLevelType w:val="hybridMultilevel"/>
    <w:tmpl w:val="3642E0D6"/>
    <w:lvl w:ilvl="0" w:tplc="32C4088C">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43154D13"/>
    <w:multiLevelType w:val="hybridMultilevel"/>
    <w:tmpl w:val="4AEA71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43512D13"/>
    <w:multiLevelType w:val="hybridMultilevel"/>
    <w:tmpl w:val="DCFAE4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4425029F"/>
    <w:multiLevelType w:val="hybridMultilevel"/>
    <w:tmpl w:val="68D8AE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nsid w:val="47C81693"/>
    <w:multiLevelType w:val="hybridMultilevel"/>
    <w:tmpl w:val="7D522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48DD0F05"/>
    <w:multiLevelType w:val="hybridMultilevel"/>
    <w:tmpl w:val="A4FE28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4CA222DA"/>
    <w:multiLevelType w:val="hybridMultilevel"/>
    <w:tmpl w:val="BB5AEC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4CDC5B45"/>
    <w:multiLevelType w:val="hybridMultilevel"/>
    <w:tmpl w:val="643484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nsid w:val="4E4D3016"/>
    <w:multiLevelType w:val="hybridMultilevel"/>
    <w:tmpl w:val="CF8CDB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51737853"/>
    <w:multiLevelType w:val="hybridMultilevel"/>
    <w:tmpl w:val="B1C6AF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nsid w:val="54F44D1F"/>
    <w:multiLevelType w:val="hybridMultilevel"/>
    <w:tmpl w:val="D6E0FEF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nsid w:val="57081081"/>
    <w:multiLevelType w:val="hybridMultilevel"/>
    <w:tmpl w:val="B8F87976"/>
    <w:lvl w:ilvl="0" w:tplc="32C4088C">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5A483A0D"/>
    <w:multiLevelType w:val="hybridMultilevel"/>
    <w:tmpl w:val="9938A0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5A5A6AC8"/>
    <w:multiLevelType w:val="hybridMultilevel"/>
    <w:tmpl w:val="77EE608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5DF25829"/>
    <w:multiLevelType w:val="hybridMultilevel"/>
    <w:tmpl w:val="E1AAF74E"/>
    <w:lvl w:ilvl="0" w:tplc="DC52D4E4">
      <w:start w:val="1"/>
      <w:numFmt w:val="decimal"/>
      <w:lvlText w:val="%1."/>
      <w:lvlJc w:val="left"/>
      <w:pPr>
        <w:ind w:left="884" w:hanging="60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6">
    <w:nsid w:val="5E71616C"/>
    <w:multiLevelType w:val="hybridMultilevel"/>
    <w:tmpl w:val="7F3829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7">
    <w:nsid w:val="5EE25791"/>
    <w:multiLevelType w:val="hybridMultilevel"/>
    <w:tmpl w:val="2D5215F6"/>
    <w:lvl w:ilvl="0" w:tplc="04080001">
      <w:start w:val="1"/>
      <w:numFmt w:val="bullet"/>
      <w:lvlText w:val=""/>
      <w:lvlJc w:val="left"/>
      <w:pPr>
        <w:ind w:left="856" w:hanging="360"/>
      </w:pPr>
      <w:rPr>
        <w:rFonts w:ascii="Symbol" w:hAnsi="Symbol" w:hint="default"/>
      </w:rPr>
    </w:lvl>
    <w:lvl w:ilvl="1" w:tplc="04080003" w:tentative="1">
      <w:start w:val="1"/>
      <w:numFmt w:val="bullet"/>
      <w:lvlText w:val="o"/>
      <w:lvlJc w:val="left"/>
      <w:pPr>
        <w:ind w:left="1576" w:hanging="360"/>
      </w:pPr>
      <w:rPr>
        <w:rFonts w:ascii="Courier New" w:hAnsi="Courier New" w:cs="Courier New" w:hint="default"/>
      </w:rPr>
    </w:lvl>
    <w:lvl w:ilvl="2" w:tplc="04080005" w:tentative="1">
      <w:start w:val="1"/>
      <w:numFmt w:val="bullet"/>
      <w:lvlText w:val=""/>
      <w:lvlJc w:val="left"/>
      <w:pPr>
        <w:ind w:left="2296" w:hanging="360"/>
      </w:pPr>
      <w:rPr>
        <w:rFonts w:ascii="Wingdings" w:hAnsi="Wingdings" w:hint="default"/>
      </w:rPr>
    </w:lvl>
    <w:lvl w:ilvl="3" w:tplc="04080001" w:tentative="1">
      <w:start w:val="1"/>
      <w:numFmt w:val="bullet"/>
      <w:lvlText w:val=""/>
      <w:lvlJc w:val="left"/>
      <w:pPr>
        <w:ind w:left="3016" w:hanging="360"/>
      </w:pPr>
      <w:rPr>
        <w:rFonts w:ascii="Symbol" w:hAnsi="Symbol" w:hint="default"/>
      </w:rPr>
    </w:lvl>
    <w:lvl w:ilvl="4" w:tplc="04080003" w:tentative="1">
      <w:start w:val="1"/>
      <w:numFmt w:val="bullet"/>
      <w:lvlText w:val="o"/>
      <w:lvlJc w:val="left"/>
      <w:pPr>
        <w:ind w:left="3736" w:hanging="360"/>
      </w:pPr>
      <w:rPr>
        <w:rFonts w:ascii="Courier New" w:hAnsi="Courier New" w:cs="Courier New" w:hint="default"/>
      </w:rPr>
    </w:lvl>
    <w:lvl w:ilvl="5" w:tplc="04080005" w:tentative="1">
      <w:start w:val="1"/>
      <w:numFmt w:val="bullet"/>
      <w:lvlText w:val=""/>
      <w:lvlJc w:val="left"/>
      <w:pPr>
        <w:ind w:left="4456" w:hanging="360"/>
      </w:pPr>
      <w:rPr>
        <w:rFonts w:ascii="Wingdings" w:hAnsi="Wingdings" w:hint="default"/>
      </w:rPr>
    </w:lvl>
    <w:lvl w:ilvl="6" w:tplc="04080001" w:tentative="1">
      <w:start w:val="1"/>
      <w:numFmt w:val="bullet"/>
      <w:lvlText w:val=""/>
      <w:lvlJc w:val="left"/>
      <w:pPr>
        <w:ind w:left="5176" w:hanging="360"/>
      </w:pPr>
      <w:rPr>
        <w:rFonts w:ascii="Symbol" w:hAnsi="Symbol" w:hint="default"/>
      </w:rPr>
    </w:lvl>
    <w:lvl w:ilvl="7" w:tplc="04080003" w:tentative="1">
      <w:start w:val="1"/>
      <w:numFmt w:val="bullet"/>
      <w:lvlText w:val="o"/>
      <w:lvlJc w:val="left"/>
      <w:pPr>
        <w:ind w:left="5896" w:hanging="360"/>
      </w:pPr>
      <w:rPr>
        <w:rFonts w:ascii="Courier New" w:hAnsi="Courier New" w:cs="Courier New" w:hint="default"/>
      </w:rPr>
    </w:lvl>
    <w:lvl w:ilvl="8" w:tplc="04080005" w:tentative="1">
      <w:start w:val="1"/>
      <w:numFmt w:val="bullet"/>
      <w:lvlText w:val=""/>
      <w:lvlJc w:val="left"/>
      <w:pPr>
        <w:ind w:left="6616" w:hanging="360"/>
      </w:pPr>
      <w:rPr>
        <w:rFonts w:ascii="Wingdings" w:hAnsi="Wingdings" w:hint="default"/>
      </w:rPr>
    </w:lvl>
  </w:abstractNum>
  <w:abstractNum w:abstractNumId="58">
    <w:nsid w:val="5EE71BF4"/>
    <w:multiLevelType w:val="hybridMultilevel"/>
    <w:tmpl w:val="2EEA29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5F2D0CC5"/>
    <w:multiLevelType w:val="hybridMultilevel"/>
    <w:tmpl w:val="218E941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0">
    <w:nsid w:val="60613D59"/>
    <w:multiLevelType w:val="hybridMultilevel"/>
    <w:tmpl w:val="E28CB8E0"/>
    <w:lvl w:ilvl="0" w:tplc="7C149628">
      <w:start w:val="1"/>
      <w:numFmt w:val="decimal"/>
      <w:lvlText w:val="(%1)"/>
      <w:lvlJc w:val="left"/>
      <w:pPr>
        <w:ind w:left="450" w:hanging="45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1">
    <w:nsid w:val="617A47B3"/>
    <w:multiLevelType w:val="hybridMultilevel"/>
    <w:tmpl w:val="94843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2">
    <w:nsid w:val="644D2BB3"/>
    <w:multiLevelType w:val="hybridMultilevel"/>
    <w:tmpl w:val="63CCE51A"/>
    <w:lvl w:ilvl="0" w:tplc="7C14962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3">
    <w:nsid w:val="64893113"/>
    <w:multiLevelType w:val="hybridMultilevel"/>
    <w:tmpl w:val="C742D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69693534"/>
    <w:multiLevelType w:val="hybridMultilevel"/>
    <w:tmpl w:val="A4BE982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nsid w:val="6DD67F42"/>
    <w:multiLevelType w:val="hybridMultilevel"/>
    <w:tmpl w:val="A4D62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0CF7DC3"/>
    <w:multiLevelType w:val="hybridMultilevel"/>
    <w:tmpl w:val="D8188D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715D4EA4"/>
    <w:multiLevelType w:val="hybridMultilevel"/>
    <w:tmpl w:val="7A7AF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73E90F9A"/>
    <w:multiLevelType w:val="hybridMultilevel"/>
    <w:tmpl w:val="60FC3C56"/>
    <w:lvl w:ilvl="0" w:tplc="04080001">
      <w:start w:val="1"/>
      <w:numFmt w:val="bullet"/>
      <w:lvlText w:val=""/>
      <w:lvlJc w:val="left"/>
      <w:pPr>
        <w:ind w:left="360" w:hanging="360"/>
      </w:pPr>
      <w:rPr>
        <w:rFonts w:ascii="Symbol" w:hAnsi="Symbol" w:hint="default"/>
      </w:rPr>
    </w:lvl>
    <w:lvl w:ilvl="1" w:tplc="2B90A3BE">
      <w:numFmt w:val="bullet"/>
      <w:lvlText w:val="•"/>
      <w:lvlJc w:val="left"/>
      <w:pPr>
        <w:ind w:left="1440" w:hanging="720"/>
      </w:pPr>
      <w:rPr>
        <w:rFonts w:ascii="Times New Roman" w:eastAsia="Times New Roman" w:hAnsi="Times New Roman"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9">
    <w:nsid w:val="74041503"/>
    <w:multiLevelType w:val="hybridMultilevel"/>
    <w:tmpl w:val="6F9E7D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0">
    <w:nsid w:val="74746992"/>
    <w:multiLevelType w:val="hybridMultilevel"/>
    <w:tmpl w:val="C8087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48F6D00"/>
    <w:multiLevelType w:val="hybridMultilevel"/>
    <w:tmpl w:val="E43A06F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nsid w:val="77210763"/>
    <w:multiLevelType w:val="hybridMultilevel"/>
    <w:tmpl w:val="384051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783020C3"/>
    <w:multiLevelType w:val="hybridMultilevel"/>
    <w:tmpl w:val="E37ED5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9"/>
  </w:num>
  <w:num w:numId="3">
    <w:abstractNumId w:val="66"/>
  </w:num>
  <w:num w:numId="4">
    <w:abstractNumId w:val="73"/>
  </w:num>
  <w:num w:numId="5">
    <w:abstractNumId w:val="50"/>
  </w:num>
  <w:num w:numId="6">
    <w:abstractNumId w:val="54"/>
  </w:num>
  <w:num w:numId="7">
    <w:abstractNumId w:val="51"/>
  </w:num>
  <w:num w:numId="8">
    <w:abstractNumId w:val="9"/>
  </w:num>
  <w:num w:numId="9">
    <w:abstractNumId w:val="6"/>
  </w:num>
  <w:num w:numId="10">
    <w:abstractNumId w:val="52"/>
  </w:num>
  <w:num w:numId="11">
    <w:abstractNumId w:val="11"/>
  </w:num>
  <w:num w:numId="12">
    <w:abstractNumId w:val="41"/>
  </w:num>
  <w:num w:numId="13">
    <w:abstractNumId w:val="15"/>
  </w:num>
  <w:num w:numId="14">
    <w:abstractNumId w:val="68"/>
  </w:num>
  <w:num w:numId="15">
    <w:abstractNumId w:val="19"/>
  </w:num>
  <w:num w:numId="16">
    <w:abstractNumId w:val="26"/>
  </w:num>
  <w:num w:numId="17">
    <w:abstractNumId w:val="3"/>
  </w:num>
  <w:num w:numId="18">
    <w:abstractNumId w:val="71"/>
  </w:num>
  <w:num w:numId="19">
    <w:abstractNumId w:val="20"/>
  </w:num>
  <w:num w:numId="20">
    <w:abstractNumId w:val="5"/>
  </w:num>
  <w:num w:numId="21">
    <w:abstractNumId w:val="37"/>
  </w:num>
  <w:num w:numId="22">
    <w:abstractNumId w:val="33"/>
  </w:num>
  <w:num w:numId="23">
    <w:abstractNumId w:val="60"/>
  </w:num>
  <w:num w:numId="24">
    <w:abstractNumId w:val="14"/>
  </w:num>
  <w:num w:numId="25">
    <w:abstractNumId w:val="36"/>
  </w:num>
  <w:num w:numId="26">
    <w:abstractNumId w:val="29"/>
  </w:num>
  <w:num w:numId="27">
    <w:abstractNumId w:val="65"/>
  </w:num>
  <w:num w:numId="28">
    <w:abstractNumId w:val="28"/>
  </w:num>
  <w:num w:numId="29">
    <w:abstractNumId w:val="61"/>
  </w:num>
  <w:num w:numId="30">
    <w:abstractNumId w:val="16"/>
  </w:num>
  <w:num w:numId="31">
    <w:abstractNumId w:val="18"/>
  </w:num>
  <w:num w:numId="32">
    <w:abstractNumId w:val="53"/>
  </w:num>
  <w:num w:numId="33">
    <w:abstractNumId w:val="69"/>
  </w:num>
  <w:num w:numId="34">
    <w:abstractNumId w:val="25"/>
  </w:num>
  <w:num w:numId="35">
    <w:abstractNumId w:val="67"/>
  </w:num>
  <w:num w:numId="36">
    <w:abstractNumId w:val="70"/>
  </w:num>
  <w:num w:numId="37">
    <w:abstractNumId w:val="44"/>
  </w:num>
  <w:num w:numId="38">
    <w:abstractNumId w:val="40"/>
  </w:num>
  <w:num w:numId="39">
    <w:abstractNumId w:val="40"/>
    <w:lvlOverride w:ilvl="0">
      <w:startOverride w:val="1"/>
    </w:lvlOverride>
  </w:num>
  <w:num w:numId="40">
    <w:abstractNumId w:val="24"/>
  </w:num>
  <w:num w:numId="41">
    <w:abstractNumId w:val="32"/>
  </w:num>
  <w:num w:numId="42">
    <w:abstractNumId w:val="38"/>
  </w:num>
  <w:num w:numId="43">
    <w:abstractNumId w:val="47"/>
  </w:num>
  <w:num w:numId="44">
    <w:abstractNumId w:val="59"/>
  </w:num>
  <w:num w:numId="45">
    <w:abstractNumId w:val="12"/>
  </w:num>
  <w:num w:numId="46">
    <w:abstractNumId w:val="64"/>
  </w:num>
  <w:num w:numId="47">
    <w:abstractNumId w:val="22"/>
  </w:num>
  <w:num w:numId="48">
    <w:abstractNumId w:val="31"/>
  </w:num>
  <w:num w:numId="49">
    <w:abstractNumId w:val="72"/>
  </w:num>
  <w:num w:numId="50">
    <w:abstractNumId w:val="13"/>
  </w:num>
  <w:num w:numId="51">
    <w:abstractNumId w:val="10"/>
  </w:num>
  <w:num w:numId="52">
    <w:abstractNumId w:val="35"/>
  </w:num>
  <w:num w:numId="53">
    <w:abstractNumId w:val="57"/>
  </w:num>
  <w:num w:numId="54">
    <w:abstractNumId w:val="55"/>
  </w:num>
  <w:num w:numId="55">
    <w:abstractNumId w:val="58"/>
  </w:num>
  <w:num w:numId="56">
    <w:abstractNumId w:val="17"/>
  </w:num>
  <w:num w:numId="57">
    <w:abstractNumId w:val="8"/>
  </w:num>
  <w:num w:numId="58">
    <w:abstractNumId w:val="27"/>
  </w:num>
  <w:num w:numId="59">
    <w:abstractNumId w:val="30"/>
  </w:num>
  <w:num w:numId="60">
    <w:abstractNumId w:val="56"/>
  </w:num>
  <w:num w:numId="61">
    <w:abstractNumId w:val="42"/>
  </w:num>
  <w:num w:numId="62">
    <w:abstractNumId w:val="43"/>
  </w:num>
  <w:num w:numId="63">
    <w:abstractNumId w:val="4"/>
  </w:num>
  <w:num w:numId="64">
    <w:abstractNumId w:val="23"/>
  </w:num>
  <w:num w:numId="65">
    <w:abstractNumId w:val="45"/>
  </w:num>
  <w:num w:numId="66">
    <w:abstractNumId w:val="7"/>
  </w:num>
  <w:num w:numId="67">
    <w:abstractNumId w:val="63"/>
  </w:num>
  <w:num w:numId="68">
    <w:abstractNumId w:val="48"/>
  </w:num>
  <w:num w:numId="69">
    <w:abstractNumId w:val="34"/>
  </w:num>
  <w:num w:numId="70">
    <w:abstractNumId w:val="46"/>
  </w:num>
  <w:num w:numId="71">
    <w:abstractNumId w:val="62"/>
  </w:num>
  <w:num w:numId="72">
    <w:abstractNumId w:val="4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1"/>
    <w:footnote w:id="0"/>
  </w:footnotePr>
  <w:endnotePr>
    <w:endnote w:id="-1"/>
    <w:endnote w:id="0"/>
  </w:endnotePr>
  <w:compat/>
  <w:rsids>
    <w:rsidRoot w:val="0070473F"/>
    <w:rsid w:val="0000044C"/>
    <w:rsid w:val="00000FC8"/>
    <w:rsid w:val="000010D8"/>
    <w:rsid w:val="00001734"/>
    <w:rsid w:val="0000237C"/>
    <w:rsid w:val="000044E7"/>
    <w:rsid w:val="00004741"/>
    <w:rsid w:val="000068DD"/>
    <w:rsid w:val="0000705C"/>
    <w:rsid w:val="00007D2D"/>
    <w:rsid w:val="000119DF"/>
    <w:rsid w:val="00012662"/>
    <w:rsid w:val="00013175"/>
    <w:rsid w:val="000151C8"/>
    <w:rsid w:val="00015701"/>
    <w:rsid w:val="00016CFA"/>
    <w:rsid w:val="000176D4"/>
    <w:rsid w:val="00017A48"/>
    <w:rsid w:val="00020023"/>
    <w:rsid w:val="000204AB"/>
    <w:rsid w:val="00022B4A"/>
    <w:rsid w:val="00022D00"/>
    <w:rsid w:val="00024F37"/>
    <w:rsid w:val="00031F38"/>
    <w:rsid w:val="00031FFC"/>
    <w:rsid w:val="000320D5"/>
    <w:rsid w:val="00032837"/>
    <w:rsid w:val="00034FAD"/>
    <w:rsid w:val="00035C56"/>
    <w:rsid w:val="00036B60"/>
    <w:rsid w:val="00037046"/>
    <w:rsid w:val="00037D39"/>
    <w:rsid w:val="00040C39"/>
    <w:rsid w:val="000414F6"/>
    <w:rsid w:val="00042B8B"/>
    <w:rsid w:val="00044E48"/>
    <w:rsid w:val="00044E6A"/>
    <w:rsid w:val="00045DCB"/>
    <w:rsid w:val="00047D68"/>
    <w:rsid w:val="0005019E"/>
    <w:rsid w:val="0005216C"/>
    <w:rsid w:val="00052D35"/>
    <w:rsid w:val="00054D50"/>
    <w:rsid w:val="00065BB8"/>
    <w:rsid w:val="00070827"/>
    <w:rsid w:val="00071A29"/>
    <w:rsid w:val="00074D13"/>
    <w:rsid w:val="00080E16"/>
    <w:rsid w:val="00081BF4"/>
    <w:rsid w:val="00081C58"/>
    <w:rsid w:val="00082198"/>
    <w:rsid w:val="00084082"/>
    <w:rsid w:val="00085889"/>
    <w:rsid w:val="000875EA"/>
    <w:rsid w:val="00090C01"/>
    <w:rsid w:val="00090C6B"/>
    <w:rsid w:val="00091575"/>
    <w:rsid w:val="0009184C"/>
    <w:rsid w:val="0009386C"/>
    <w:rsid w:val="000938E5"/>
    <w:rsid w:val="00094967"/>
    <w:rsid w:val="0009730F"/>
    <w:rsid w:val="000A050B"/>
    <w:rsid w:val="000A076C"/>
    <w:rsid w:val="000A09DE"/>
    <w:rsid w:val="000A0E74"/>
    <w:rsid w:val="000A75EB"/>
    <w:rsid w:val="000A7A4F"/>
    <w:rsid w:val="000B0C97"/>
    <w:rsid w:val="000B15E3"/>
    <w:rsid w:val="000B246B"/>
    <w:rsid w:val="000B2E08"/>
    <w:rsid w:val="000B2FBF"/>
    <w:rsid w:val="000B3097"/>
    <w:rsid w:val="000B30C2"/>
    <w:rsid w:val="000B344E"/>
    <w:rsid w:val="000B38CE"/>
    <w:rsid w:val="000B5ADB"/>
    <w:rsid w:val="000C2027"/>
    <w:rsid w:val="000C4288"/>
    <w:rsid w:val="000C637D"/>
    <w:rsid w:val="000D166E"/>
    <w:rsid w:val="000D2250"/>
    <w:rsid w:val="000D2B7A"/>
    <w:rsid w:val="000D450C"/>
    <w:rsid w:val="000D56AD"/>
    <w:rsid w:val="000D59EA"/>
    <w:rsid w:val="000D5D44"/>
    <w:rsid w:val="000D7586"/>
    <w:rsid w:val="000D79D8"/>
    <w:rsid w:val="000D7C31"/>
    <w:rsid w:val="000E0B1F"/>
    <w:rsid w:val="000E17AF"/>
    <w:rsid w:val="000E19B8"/>
    <w:rsid w:val="000E1DD4"/>
    <w:rsid w:val="000E264D"/>
    <w:rsid w:val="000E2BB6"/>
    <w:rsid w:val="000E4D0E"/>
    <w:rsid w:val="000E5499"/>
    <w:rsid w:val="000E5541"/>
    <w:rsid w:val="000E7EE0"/>
    <w:rsid w:val="000F1361"/>
    <w:rsid w:val="000F319A"/>
    <w:rsid w:val="000F4A37"/>
    <w:rsid w:val="000F59CE"/>
    <w:rsid w:val="000F5BD9"/>
    <w:rsid w:val="000F6FE6"/>
    <w:rsid w:val="00101C16"/>
    <w:rsid w:val="00103DDE"/>
    <w:rsid w:val="00104FFC"/>
    <w:rsid w:val="001055DE"/>
    <w:rsid w:val="0010588C"/>
    <w:rsid w:val="0010615B"/>
    <w:rsid w:val="00106E30"/>
    <w:rsid w:val="00110C43"/>
    <w:rsid w:val="00111AF0"/>
    <w:rsid w:val="00114F71"/>
    <w:rsid w:val="001163F2"/>
    <w:rsid w:val="00117FAD"/>
    <w:rsid w:val="00120698"/>
    <w:rsid w:val="00120D41"/>
    <w:rsid w:val="00121BC7"/>
    <w:rsid w:val="00122054"/>
    <w:rsid w:val="001267A3"/>
    <w:rsid w:val="00126B8E"/>
    <w:rsid w:val="00131999"/>
    <w:rsid w:val="00132050"/>
    <w:rsid w:val="00132EC0"/>
    <w:rsid w:val="00133915"/>
    <w:rsid w:val="001349D0"/>
    <w:rsid w:val="00134D65"/>
    <w:rsid w:val="00134FCD"/>
    <w:rsid w:val="0013562F"/>
    <w:rsid w:val="00135638"/>
    <w:rsid w:val="00136585"/>
    <w:rsid w:val="00137346"/>
    <w:rsid w:val="00137875"/>
    <w:rsid w:val="00142261"/>
    <w:rsid w:val="00142F45"/>
    <w:rsid w:val="0014313C"/>
    <w:rsid w:val="00144546"/>
    <w:rsid w:val="00146153"/>
    <w:rsid w:val="00146554"/>
    <w:rsid w:val="00152BF8"/>
    <w:rsid w:val="00153438"/>
    <w:rsid w:val="00154214"/>
    <w:rsid w:val="00154433"/>
    <w:rsid w:val="00154635"/>
    <w:rsid w:val="00154D17"/>
    <w:rsid w:val="001565A1"/>
    <w:rsid w:val="00157E15"/>
    <w:rsid w:val="00160EDA"/>
    <w:rsid w:val="00161C04"/>
    <w:rsid w:val="00163CE0"/>
    <w:rsid w:val="00164438"/>
    <w:rsid w:val="00166032"/>
    <w:rsid w:val="001667D1"/>
    <w:rsid w:val="001672EE"/>
    <w:rsid w:val="001678F3"/>
    <w:rsid w:val="001704C4"/>
    <w:rsid w:val="00170EA2"/>
    <w:rsid w:val="00171D1E"/>
    <w:rsid w:val="00172802"/>
    <w:rsid w:val="00173215"/>
    <w:rsid w:val="00176677"/>
    <w:rsid w:val="001767E5"/>
    <w:rsid w:val="00177F7A"/>
    <w:rsid w:val="001800FD"/>
    <w:rsid w:val="00181328"/>
    <w:rsid w:val="00181D3E"/>
    <w:rsid w:val="0018589B"/>
    <w:rsid w:val="0018594E"/>
    <w:rsid w:val="00185FDA"/>
    <w:rsid w:val="001876C1"/>
    <w:rsid w:val="00191B14"/>
    <w:rsid w:val="00194C78"/>
    <w:rsid w:val="00194E8E"/>
    <w:rsid w:val="001959FC"/>
    <w:rsid w:val="00196917"/>
    <w:rsid w:val="00197BFD"/>
    <w:rsid w:val="001A0311"/>
    <w:rsid w:val="001A1010"/>
    <w:rsid w:val="001A1197"/>
    <w:rsid w:val="001A14B3"/>
    <w:rsid w:val="001A14CE"/>
    <w:rsid w:val="001A1589"/>
    <w:rsid w:val="001A3164"/>
    <w:rsid w:val="001A489A"/>
    <w:rsid w:val="001A593A"/>
    <w:rsid w:val="001B0FF5"/>
    <w:rsid w:val="001B1DA6"/>
    <w:rsid w:val="001B2314"/>
    <w:rsid w:val="001B3B06"/>
    <w:rsid w:val="001B62A3"/>
    <w:rsid w:val="001B6B15"/>
    <w:rsid w:val="001C0F96"/>
    <w:rsid w:val="001C0FE6"/>
    <w:rsid w:val="001C1754"/>
    <w:rsid w:val="001C284E"/>
    <w:rsid w:val="001C4519"/>
    <w:rsid w:val="001C7397"/>
    <w:rsid w:val="001C7F85"/>
    <w:rsid w:val="001D01F9"/>
    <w:rsid w:val="001D179E"/>
    <w:rsid w:val="001D5700"/>
    <w:rsid w:val="001D5768"/>
    <w:rsid w:val="001D69BD"/>
    <w:rsid w:val="001E1CA7"/>
    <w:rsid w:val="001E2C46"/>
    <w:rsid w:val="001E320A"/>
    <w:rsid w:val="001E4882"/>
    <w:rsid w:val="001E4FF4"/>
    <w:rsid w:val="001E6079"/>
    <w:rsid w:val="001E7AFE"/>
    <w:rsid w:val="001F0CA9"/>
    <w:rsid w:val="001F4145"/>
    <w:rsid w:val="001F4631"/>
    <w:rsid w:val="001F5BBF"/>
    <w:rsid w:val="001F6286"/>
    <w:rsid w:val="002000A3"/>
    <w:rsid w:val="0020033D"/>
    <w:rsid w:val="00200E3D"/>
    <w:rsid w:val="0020372F"/>
    <w:rsid w:val="0020610B"/>
    <w:rsid w:val="00206FF7"/>
    <w:rsid w:val="00210ABB"/>
    <w:rsid w:val="0021531E"/>
    <w:rsid w:val="0022065A"/>
    <w:rsid w:val="00221FC0"/>
    <w:rsid w:val="00224F48"/>
    <w:rsid w:val="0022618C"/>
    <w:rsid w:val="00226855"/>
    <w:rsid w:val="00227300"/>
    <w:rsid w:val="002274D7"/>
    <w:rsid w:val="0023003B"/>
    <w:rsid w:val="00230531"/>
    <w:rsid w:val="002305C9"/>
    <w:rsid w:val="00230A0B"/>
    <w:rsid w:val="0023258F"/>
    <w:rsid w:val="00232DDC"/>
    <w:rsid w:val="002340F3"/>
    <w:rsid w:val="00234881"/>
    <w:rsid w:val="0023719B"/>
    <w:rsid w:val="00237B2F"/>
    <w:rsid w:val="00241856"/>
    <w:rsid w:val="00242F7C"/>
    <w:rsid w:val="00242FFD"/>
    <w:rsid w:val="002433D8"/>
    <w:rsid w:val="00243B2C"/>
    <w:rsid w:val="00245F44"/>
    <w:rsid w:val="002465F6"/>
    <w:rsid w:val="00246BC9"/>
    <w:rsid w:val="00250B0D"/>
    <w:rsid w:val="00250FB1"/>
    <w:rsid w:val="00251882"/>
    <w:rsid w:val="002520FD"/>
    <w:rsid w:val="00252B10"/>
    <w:rsid w:val="00252D5E"/>
    <w:rsid w:val="00254DE0"/>
    <w:rsid w:val="00255518"/>
    <w:rsid w:val="0025680A"/>
    <w:rsid w:val="0025731B"/>
    <w:rsid w:val="00260CAB"/>
    <w:rsid w:val="00260D59"/>
    <w:rsid w:val="00260D71"/>
    <w:rsid w:val="00263894"/>
    <w:rsid w:val="0026433A"/>
    <w:rsid w:val="002650E9"/>
    <w:rsid w:val="00267B3D"/>
    <w:rsid w:val="002727F7"/>
    <w:rsid w:val="0027341A"/>
    <w:rsid w:val="00273D95"/>
    <w:rsid w:val="00274267"/>
    <w:rsid w:val="00274528"/>
    <w:rsid w:val="00276716"/>
    <w:rsid w:val="00276FEC"/>
    <w:rsid w:val="00282184"/>
    <w:rsid w:val="002832BC"/>
    <w:rsid w:val="00284674"/>
    <w:rsid w:val="002864D1"/>
    <w:rsid w:val="00287D4E"/>
    <w:rsid w:val="00290278"/>
    <w:rsid w:val="00291372"/>
    <w:rsid w:val="00292B1F"/>
    <w:rsid w:val="00292B6E"/>
    <w:rsid w:val="002949C9"/>
    <w:rsid w:val="00294F02"/>
    <w:rsid w:val="00296DCE"/>
    <w:rsid w:val="00297768"/>
    <w:rsid w:val="002A0F38"/>
    <w:rsid w:val="002A168F"/>
    <w:rsid w:val="002A2199"/>
    <w:rsid w:val="002A2AEF"/>
    <w:rsid w:val="002A2D12"/>
    <w:rsid w:val="002A386F"/>
    <w:rsid w:val="002A3E98"/>
    <w:rsid w:val="002A443A"/>
    <w:rsid w:val="002A44DB"/>
    <w:rsid w:val="002A518C"/>
    <w:rsid w:val="002A5619"/>
    <w:rsid w:val="002A671E"/>
    <w:rsid w:val="002B0106"/>
    <w:rsid w:val="002B1B46"/>
    <w:rsid w:val="002B1F5D"/>
    <w:rsid w:val="002B44C8"/>
    <w:rsid w:val="002B4539"/>
    <w:rsid w:val="002B4582"/>
    <w:rsid w:val="002B4CA1"/>
    <w:rsid w:val="002B4E00"/>
    <w:rsid w:val="002B66F0"/>
    <w:rsid w:val="002B6E73"/>
    <w:rsid w:val="002B745A"/>
    <w:rsid w:val="002C1C2F"/>
    <w:rsid w:val="002C2629"/>
    <w:rsid w:val="002C38AA"/>
    <w:rsid w:val="002C59A1"/>
    <w:rsid w:val="002C7008"/>
    <w:rsid w:val="002D0752"/>
    <w:rsid w:val="002D2CB0"/>
    <w:rsid w:val="002D5459"/>
    <w:rsid w:val="002D5C1A"/>
    <w:rsid w:val="002D6769"/>
    <w:rsid w:val="002E041E"/>
    <w:rsid w:val="002E0E7B"/>
    <w:rsid w:val="002E157F"/>
    <w:rsid w:val="002E1643"/>
    <w:rsid w:val="002E1B95"/>
    <w:rsid w:val="002E2775"/>
    <w:rsid w:val="002E4513"/>
    <w:rsid w:val="002E6C8F"/>
    <w:rsid w:val="002F0D1B"/>
    <w:rsid w:val="002F18C3"/>
    <w:rsid w:val="002F56AA"/>
    <w:rsid w:val="002F695B"/>
    <w:rsid w:val="002F69CB"/>
    <w:rsid w:val="002F7261"/>
    <w:rsid w:val="00300D52"/>
    <w:rsid w:val="003018E3"/>
    <w:rsid w:val="003021EB"/>
    <w:rsid w:val="003033F2"/>
    <w:rsid w:val="0030455D"/>
    <w:rsid w:val="003062DA"/>
    <w:rsid w:val="00307524"/>
    <w:rsid w:val="00310D31"/>
    <w:rsid w:val="003145D1"/>
    <w:rsid w:val="003150CE"/>
    <w:rsid w:val="0031604F"/>
    <w:rsid w:val="00316783"/>
    <w:rsid w:val="00317233"/>
    <w:rsid w:val="00320D74"/>
    <w:rsid w:val="003214B8"/>
    <w:rsid w:val="00322057"/>
    <w:rsid w:val="003232F4"/>
    <w:rsid w:val="003265CF"/>
    <w:rsid w:val="00326778"/>
    <w:rsid w:val="00330FC6"/>
    <w:rsid w:val="0033118C"/>
    <w:rsid w:val="00331190"/>
    <w:rsid w:val="003357FC"/>
    <w:rsid w:val="003377E5"/>
    <w:rsid w:val="00337C2F"/>
    <w:rsid w:val="003413E8"/>
    <w:rsid w:val="003424DD"/>
    <w:rsid w:val="00342FD7"/>
    <w:rsid w:val="00346669"/>
    <w:rsid w:val="00350248"/>
    <w:rsid w:val="00354340"/>
    <w:rsid w:val="00354760"/>
    <w:rsid w:val="00354C66"/>
    <w:rsid w:val="00356638"/>
    <w:rsid w:val="00356C09"/>
    <w:rsid w:val="003572BE"/>
    <w:rsid w:val="00360119"/>
    <w:rsid w:val="0036150B"/>
    <w:rsid w:val="00361785"/>
    <w:rsid w:val="00361FA0"/>
    <w:rsid w:val="003629A7"/>
    <w:rsid w:val="00362D56"/>
    <w:rsid w:val="003631D5"/>
    <w:rsid w:val="0036385C"/>
    <w:rsid w:val="00364CA7"/>
    <w:rsid w:val="003664BA"/>
    <w:rsid w:val="00366F87"/>
    <w:rsid w:val="00367386"/>
    <w:rsid w:val="0037207E"/>
    <w:rsid w:val="00372C03"/>
    <w:rsid w:val="00372D1B"/>
    <w:rsid w:val="003742F0"/>
    <w:rsid w:val="00374778"/>
    <w:rsid w:val="00376577"/>
    <w:rsid w:val="00377ECB"/>
    <w:rsid w:val="0038262B"/>
    <w:rsid w:val="003829C3"/>
    <w:rsid w:val="00384A38"/>
    <w:rsid w:val="003857DD"/>
    <w:rsid w:val="00386BFE"/>
    <w:rsid w:val="00386E2E"/>
    <w:rsid w:val="003875E3"/>
    <w:rsid w:val="00390868"/>
    <w:rsid w:val="00393FBE"/>
    <w:rsid w:val="00394B04"/>
    <w:rsid w:val="003971F4"/>
    <w:rsid w:val="00397746"/>
    <w:rsid w:val="0039778C"/>
    <w:rsid w:val="003A031F"/>
    <w:rsid w:val="003A2490"/>
    <w:rsid w:val="003A274A"/>
    <w:rsid w:val="003A3838"/>
    <w:rsid w:val="003A466A"/>
    <w:rsid w:val="003A5BAE"/>
    <w:rsid w:val="003B0962"/>
    <w:rsid w:val="003B0BEF"/>
    <w:rsid w:val="003B0D92"/>
    <w:rsid w:val="003B1955"/>
    <w:rsid w:val="003B1CAE"/>
    <w:rsid w:val="003B35E9"/>
    <w:rsid w:val="003B4711"/>
    <w:rsid w:val="003C1734"/>
    <w:rsid w:val="003C278A"/>
    <w:rsid w:val="003C327E"/>
    <w:rsid w:val="003C3E8F"/>
    <w:rsid w:val="003C4052"/>
    <w:rsid w:val="003C40B1"/>
    <w:rsid w:val="003C5697"/>
    <w:rsid w:val="003C5B9D"/>
    <w:rsid w:val="003C5BEB"/>
    <w:rsid w:val="003C6C91"/>
    <w:rsid w:val="003D005C"/>
    <w:rsid w:val="003D0F57"/>
    <w:rsid w:val="003D1587"/>
    <w:rsid w:val="003D16D5"/>
    <w:rsid w:val="003D1DE0"/>
    <w:rsid w:val="003D2BE4"/>
    <w:rsid w:val="003D44FC"/>
    <w:rsid w:val="003D5601"/>
    <w:rsid w:val="003D5BD2"/>
    <w:rsid w:val="003D6963"/>
    <w:rsid w:val="003D7D78"/>
    <w:rsid w:val="003E1E96"/>
    <w:rsid w:val="003E21A5"/>
    <w:rsid w:val="003E4BCB"/>
    <w:rsid w:val="003E4EE5"/>
    <w:rsid w:val="003F171B"/>
    <w:rsid w:val="003F2876"/>
    <w:rsid w:val="003F2B8B"/>
    <w:rsid w:val="003F2C6B"/>
    <w:rsid w:val="003F2CB6"/>
    <w:rsid w:val="003F39C6"/>
    <w:rsid w:val="003F591D"/>
    <w:rsid w:val="003F5A4B"/>
    <w:rsid w:val="003F769E"/>
    <w:rsid w:val="004020C7"/>
    <w:rsid w:val="004024C2"/>
    <w:rsid w:val="00402C02"/>
    <w:rsid w:val="00403398"/>
    <w:rsid w:val="00403560"/>
    <w:rsid w:val="004046B4"/>
    <w:rsid w:val="00404F76"/>
    <w:rsid w:val="00405F47"/>
    <w:rsid w:val="0040797E"/>
    <w:rsid w:val="00416F9C"/>
    <w:rsid w:val="004178C9"/>
    <w:rsid w:val="00420E6E"/>
    <w:rsid w:val="0042124D"/>
    <w:rsid w:val="00424569"/>
    <w:rsid w:val="004266F7"/>
    <w:rsid w:val="00426A2D"/>
    <w:rsid w:val="0042790D"/>
    <w:rsid w:val="00430CD9"/>
    <w:rsid w:val="00434A29"/>
    <w:rsid w:val="00435493"/>
    <w:rsid w:val="00437A2A"/>
    <w:rsid w:val="004403D1"/>
    <w:rsid w:val="00441B65"/>
    <w:rsid w:val="004424F8"/>
    <w:rsid w:val="00442A01"/>
    <w:rsid w:val="00444BC7"/>
    <w:rsid w:val="004457D2"/>
    <w:rsid w:val="00445E49"/>
    <w:rsid w:val="004463AA"/>
    <w:rsid w:val="00446FAB"/>
    <w:rsid w:val="00446FB3"/>
    <w:rsid w:val="00447374"/>
    <w:rsid w:val="004500B0"/>
    <w:rsid w:val="0045057D"/>
    <w:rsid w:val="00450F5A"/>
    <w:rsid w:val="004515D6"/>
    <w:rsid w:val="004516CF"/>
    <w:rsid w:val="004526E6"/>
    <w:rsid w:val="004539E8"/>
    <w:rsid w:val="0045609A"/>
    <w:rsid w:val="004568EE"/>
    <w:rsid w:val="00460D2E"/>
    <w:rsid w:val="00460FE5"/>
    <w:rsid w:val="00462014"/>
    <w:rsid w:val="00462341"/>
    <w:rsid w:val="00462771"/>
    <w:rsid w:val="00462A0A"/>
    <w:rsid w:val="00466C22"/>
    <w:rsid w:val="00470072"/>
    <w:rsid w:val="004703D1"/>
    <w:rsid w:val="00472479"/>
    <w:rsid w:val="00472501"/>
    <w:rsid w:val="00476F05"/>
    <w:rsid w:val="00477461"/>
    <w:rsid w:val="00477EB1"/>
    <w:rsid w:val="00480781"/>
    <w:rsid w:val="00481852"/>
    <w:rsid w:val="00481E3E"/>
    <w:rsid w:val="0048253B"/>
    <w:rsid w:val="00482B4C"/>
    <w:rsid w:val="004833ED"/>
    <w:rsid w:val="004837BA"/>
    <w:rsid w:val="00484690"/>
    <w:rsid w:val="00485028"/>
    <w:rsid w:val="0048512F"/>
    <w:rsid w:val="0048738A"/>
    <w:rsid w:val="00490FDB"/>
    <w:rsid w:val="004914F0"/>
    <w:rsid w:val="004968D8"/>
    <w:rsid w:val="00496EA6"/>
    <w:rsid w:val="00497573"/>
    <w:rsid w:val="004977A3"/>
    <w:rsid w:val="004A5C78"/>
    <w:rsid w:val="004A6779"/>
    <w:rsid w:val="004A6A2A"/>
    <w:rsid w:val="004A7851"/>
    <w:rsid w:val="004B2CF3"/>
    <w:rsid w:val="004B4793"/>
    <w:rsid w:val="004B5AEE"/>
    <w:rsid w:val="004B76EA"/>
    <w:rsid w:val="004B773C"/>
    <w:rsid w:val="004B7861"/>
    <w:rsid w:val="004B7BB6"/>
    <w:rsid w:val="004C1887"/>
    <w:rsid w:val="004C2994"/>
    <w:rsid w:val="004C2E0D"/>
    <w:rsid w:val="004C5C14"/>
    <w:rsid w:val="004C66A0"/>
    <w:rsid w:val="004C7370"/>
    <w:rsid w:val="004D02B0"/>
    <w:rsid w:val="004D05E4"/>
    <w:rsid w:val="004D1CFB"/>
    <w:rsid w:val="004D204C"/>
    <w:rsid w:val="004D2185"/>
    <w:rsid w:val="004D37F6"/>
    <w:rsid w:val="004D4901"/>
    <w:rsid w:val="004D4910"/>
    <w:rsid w:val="004D507F"/>
    <w:rsid w:val="004D6887"/>
    <w:rsid w:val="004D697E"/>
    <w:rsid w:val="004E08F0"/>
    <w:rsid w:val="004E0B69"/>
    <w:rsid w:val="004E14E1"/>
    <w:rsid w:val="004E2D57"/>
    <w:rsid w:val="004E35F5"/>
    <w:rsid w:val="004E4BCD"/>
    <w:rsid w:val="004E4E83"/>
    <w:rsid w:val="004E519F"/>
    <w:rsid w:val="004E52E5"/>
    <w:rsid w:val="004E5DA9"/>
    <w:rsid w:val="004E6322"/>
    <w:rsid w:val="004E6989"/>
    <w:rsid w:val="004E7600"/>
    <w:rsid w:val="004F00DD"/>
    <w:rsid w:val="004F12E8"/>
    <w:rsid w:val="004F13E1"/>
    <w:rsid w:val="004F2675"/>
    <w:rsid w:val="004F2806"/>
    <w:rsid w:val="004F4169"/>
    <w:rsid w:val="004F41E1"/>
    <w:rsid w:val="004F4D7B"/>
    <w:rsid w:val="004F5822"/>
    <w:rsid w:val="004F5D51"/>
    <w:rsid w:val="004F70BC"/>
    <w:rsid w:val="004F739C"/>
    <w:rsid w:val="004F7E1C"/>
    <w:rsid w:val="00500100"/>
    <w:rsid w:val="005005B3"/>
    <w:rsid w:val="0050095F"/>
    <w:rsid w:val="005024D0"/>
    <w:rsid w:val="00502BE7"/>
    <w:rsid w:val="0050346D"/>
    <w:rsid w:val="005044C7"/>
    <w:rsid w:val="00504977"/>
    <w:rsid w:val="00505093"/>
    <w:rsid w:val="005075B2"/>
    <w:rsid w:val="00510A61"/>
    <w:rsid w:val="00511904"/>
    <w:rsid w:val="00512724"/>
    <w:rsid w:val="005144A3"/>
    <w:rsid w:val="00514854"/>
    <w:rsid w:val="00516D2A"/>
    <w:rsid w:val="00521EF7"/>
    <w:rsid w:val="00522DF6"/>
    <w:rsid w:val="00523151"/>
    <w:rsid w:val="00525533"/>
    <w:rsid w:val="005279B4"/>
    <w:rsid w:val="00527BAA"/>
    <w:rsid w:val="00532E93"/>
    <w:rsid w:val="0053486E"/>
    <w:rsid w:val="0053507D"/>
    <w:rsid w:val="00535CC8"/>
    <w:rsid w:val="00536522"/>
    <w:rsid w:val="0054083D"/>
    <w:rsid w:val="00542A94"/>
    <w:rsid w:val="00543960"/>
    <w:rsid w:val="00544400"/>
    <w:rsid w:val="00545A0A"/>
    <w:rsid w:val="00550635"/>
    <w:rsid w:val="00554982"/>
    <w:rsid w:val="00555623"/>
    <w:rsid w:val="005602CF"/>
    <w:rsid w:val="005607C1"/>
    <w:rsid w:val="00561558"/>
    <w:rsid w:val="00561A6E"/>
    <w:rsid w:val="00561CB4"/>
    <w:rsid w:val="00561FEF"/>
    <w:rsid w:val="00562554"/>
    <w:rsid w:val="00563216"/>
    <w:rsid w:val="005636AA"/>
    <w:rsid w:val="005645BA"/>
    <w:rsid w:val="00564AFF"/>
    <w:rsid w:val="00564CAA"/>
    <w:rsid w:val="00565522"/>
    <w:rsid w:val="005655B1"/>
    <w:rsid w:val="0056656D"/>
    <w:rsid w:val="00566A32"/>
    <w:rsid w:val="00566C3B"/>
    <w:rsid w:val="005671B0"/>
    <w:rsid w:val="00567FAF"/>
    <w:rsid w:val="005737E6"/>
    <w:rsid w:val="00573E36"/>
    <w:rsid w:val="0057493E"/>
    <w:rsid w:val="00574CF1"/>
    <w:rsid w:val="00575380"/>
    <w:rsid w:val="005757C3"/>
    <w:rsid w:val="0057795A"/>
    <w:rsid w:val="005800E6"/>
    <w:rsid w:val="00580915"/>
    <w:rsid w:val="00581645"/>
    <w:rsid w:val="00581D42"/>
    <w:rsid w:val="00582A5A"/>
    <w:rsid w:val="00584DDD"/>
    <w:rsid w:val="00586DE4"/>
    <w:rsid w:val="005874C1"/>
    <w:rsid w:val="00587DA8"/>
    <w:rsid w:val="00590865"/>
    <w:rsid w:val="00590905"/>
    <w:rsid w:val="0059287A"/>
    <w:rsid w:val="005933B9"/>
    <w:rsid w:val="00593FDA"/>
    <w:rsid w:val="00594196"/>
    <w:rsid w:val="00596277"/>
    <w:rsid w:val="00597721"/>
    <w:rsid w:val="00597796"/>
    <w:rsid w:val="005A0C7F"/>
    <w:rsid w:val="005A2C5B"/>
    <w:rsid w:val="005A318D"/>
    <w:rsid w:val="005A6611"/>
    <w:rsid w:val="005A7441"/>
    <w:rsid w:val="005A75AA"/>
    <w:rsid w:val="005A77B5"/>
    <w:rsid w:val="005B0509"/>
    <w:rsid w:val="005B0768"/>
    <w:rsid w:val="005B082B"/>
    <w:rsid w:val="005B089D"/>
    <w:rsid w:val="005B0F45"/>
    <w:rsid w:val="005B1618"/>
    <w:rsid w:val="005B21F1"/>
    <w:rsid w:val="005B3C13"/>
    <w:rsid w:val="005B6B87"/>
    <w:rsid w:val="005B7111"/>
    <w:rsid w:val="005C1A27"/>
    <w:rsid w:val="005C2A8D"/>
    <w:rsid w:val="005C2C50"/>
    <w:rsid w:val="005C2E9D"/>
    <w:rsid w:val="005C4C6A"/>
    <w:rsid w:val="005C733F"/>
    <w:rsid w:val="005D2C3C"/>
    <w:rsid w:val="005D4C0B"/>
    <w:rsid w:val="005D5CC5"/>
    <w:rsid w:val="005E07BF"/>
    <w:rsid w:val="005E0896"/>
    <w:rsid w:val="005E317C"/>
    <w:rsid w:val="005E59CD"/>
    <w:rsid w:val="005E64D7"/>
    <w:rsid w:val="005E6DC3"/>
    <w:rsid w:val="005E78E3"/>
    <w:rsid w:val="005F2ED3"/>
    <w:rsid w:val="005F41CF"/>
    <w:rsid w:val="006012F8"/>
    <w:rsid w:val="006017BA"/>
    <w:rsid w:val="00604C24"/>
    <w:rsid w:val="00606459"/>
    <w:rsid w:val="00607196"/>
    <w:rsid w:val="0061043C"/>
    <w:rsid w:val="00610E30"/>
    <w:rsid w:val="006121C1"/>
    <w:rsid w:val="00613E20"/>
    <w:rsid w:val="006152FF"/>
    <w:rsid w:val="00616AD5"/>
    <w:rsid w:val="00617E89"/>
    <w:rsid w:val="00617F7C"/>
    <w:rsid w:val="00621741"/>
    <w:rsid w:val="00625CF7"/>
    <w:rsid w:val="00626FDA"/>
    <w:rsid w:val="00627979"/>
    <w:rsid w:val="00627DC1"/>
    <w:rsid w:val="00630B42"/>
    <w:rsid w:val="00630D0A"/>
    <w:rsid w:val="006321E6"/>
    <w:rsid w:val="006327C2"/>
    <w:rsid w:val="00632EE4"/>
    <w:rsid w:val="00634945"/>
    <w:rsid w:val="00634CA3"/>
    <w:rsid w:val="00635769"/>
    <w:rsid w:val="00640249"/>
    <w:rsid w:val="00641461"/>
    <w:rsid w:val="006414E3"/>
    <w:rsid w:val="00641AD6"/>
    <w:rsid w:val="00641D64"/>
    <w:rsid w:val="0064204B"/>
    <w:rsid w:val="00643549"/>
    <w:rsid w:val="006436E9"/>
    <w:rsid w:val="00644796"/>
    <w:rsid w:val="00644BA1"/>
    <w:rsid w:val="006450D5"/>
    <w:rsid w:val="00651106"/>
    <w:rsid w:val="00652224"/>
    <w:rsid w:val="00653554"/>
    <w:rsid w:val="00654BFB"/>
    <w:rsid w:val="006555C2"/>
    <w:rsid w:val="00655A55"/>
    <w:rsid w:val="00655A9C"/>
    <w:rsid w:val="00655CB7"/>
    <w:rsid w:val="0065605D"/>
    <w:rsid w:val="006572C3"/>
    <w:rsid w:val="00660178"/>
    <w:rsid w:val="006602C9"/>
    <w:rsid w:val="00661612"/>
    <w:rsid w:val="00661AF4"/>
    <w:rsid w:val="00661B12"/>
    <w:rsid w:val="006646E3"/>
    <w:rsid w:val="00664AB2"/>
    <w:rsid w:val="006655DD"/>
    <w:rsid w:val="00666632"/>
    <w:rsid w:val="00667451"/>
    <w:rsid w:val="006702D7"/>
    <w:rsid w:val="00670768"/>
    <w:rsid w:val="00672486"/>
    <w:rsid w:val="00674678"/>
    <w:rsid w:val="0067614A"/>
    <w:rsid w:val="00680A7D"/>
    <w:rsid w:val="00680FEE"/>
    <w:rsid w:val="006819AE"/>
    <w:rsid w:val="0068316D"/>
    <w:rsid w:val="00686983"/>
    <w:rsid w:val="00687027"/>
    <w:rsid w:val="0068732F"/>
    <w:rsid w:val="00691930"/>
    <w:rsid w:val="0069521D"/>
    <w:rsid w:val="0069699C"/>
    <w:rsid w:val="00697DE9"/>
    <w:rsid w:val="006A22BD"/>
    <w:rsid w:val="006A2BD1"/>
    <w:rsid w:val="006A2BF0"/>
    <w:rsid w:val="006A2E27"/>
    <w:rsid w:val="006A395D"/>
    <w:rsid w:val="006A6F05"/>
    <w:rsid w:val="006A7994"/>
    <w:rsid w:val="006B4C82"/>
    <w:rsid w:val="006B61E9"/>
    <w:rsid w:val="006B6241"/>
    <w:rsid w:val="006B67F3"/>
    <w:rsid w:val="006C040B"/>
    <w:rsid w:val="006C056E"/>
    <w:rsid w:val="006C2053"/>
    <w:rsid w:val="006C21B5"/>
    <w:rsid w:val="006C25B7"/>
    <w:rsid w:val="006C2EE5"/>
    <w:rsid w:val="006C3FCF"/>
    <w:rsid w:val="006C549E"/>
    <w:rsid w:val="006C57FD"/>
    <w:rsid w:val="006C59FB"/>
    <w:rsid w:val="006D1658"/>
    <w:rsid w:val="006D2141"/>
    <w:rsid w:val="006D21C6"/>
    <w:rsid w:val="006D4580"/>
    <w:rsid w:val="006D49E5"/>
    <w:rsid w:val="006D5C6D"/>
    <w:rsid w:val="006D7543"/>
    <w:rsid w:val="006E062A"/>
    <w:rsid w:val="006E0937"/>
    <w:rsid w:val="006E19E2"/>
    <w:rsid w:val="006E26DC"/>
    <w:rsid w:val="006E275B"/>
    <w:rsid w:val="006E3985"/>
    <w:rsid w:val="006E5734"/>
    <w:rsid w:val="006E6663"/>
    <w:rsid w:val="006E6B8C"/>
    <w:rsid w:val="006E6C15"/>
    <w:rsid w:val="006E6F36"/>
    <w:rsid w:val="006F0EEB"/>
    <w:rsid w:val="006F114D"/>
    <w:rsid w:val="006F22E4"/>
    <w:rsid w:val="006F2349"/>
    <w:rsid w:val="006F4141"/>
    <w:rsid w:val="006F4D9B"/>
    <w:rsid w:val="006F4F50"/>
    <w:rsid w:val="006F562F"/>
    <w:rsid w:val="0070473F"/>
    <w:rsid w:val="0070540D"/>
    <w:rsid w:val="00705BCA"/>
    <w:rsid w:val="00710BA4"/>
    <w:rsid w:val="007110C6"/>
    <w:rsid w:val="0071122A"/>
    <w:rsid w:val="00712077"/>
    <w:rsid w:val="00714B58"/>
    <w:rsid w:val="007153CA"/>
    <w:rsid w:val="00715C64"/>
    <w:rsid w:val="00721750"/>
    <w:rsid w:val="007217D9"/>
    <w:rsid w:val="007227DA"/>
    <w:rsid w:val="00722D83"/>
    <w:rsid w:val="0072416E"/>
    <w:rsid w:val="00724862"/>
    <w:rsid w:val="007252A1"/>
    <w:rsid w:val="007252DB"/>
    <w:rsid w:val="00725329"/>
    <w:rsid w:val="00725A0F"/>
    <w:rsid w:val="007261E3"/>
    <w:rsid w:val="00730909"/>
    <w:rsid w:val="00730D29"/>
    <w:rsid w:val="0073217C"/>
    <w:rsid w:val="00735DBB"/>
    <w:rsid w:val="0073773A"/>
    <w:rsid w:val="00737D67"/>
    <w:rsid w:val="0074095B"/>
    <w:rsid w:val="00743706"/>
    <w:rsid w:val="00744120"/>
    <w:rsid w:val="007476C1"/>
    <w:rsid w:val="0075153D"/>
    <w:rsid w:val="00751680"/>
    <w:rsid w:val="007517B8"/>
    <w:rsid w:val="007533D5"/>
    <w:rsid w:val="00753650"/>
    <w:rsid w:val="00753FB3"/>
    <w:rsid w:val="00754609"/>
    <w:rsid w:val="00754641"/>
    <w:rsid w:val="00755B44"/>
    <w:rsid w:val="0075701B"/>
    <w:rsid w:val="007577C9"/>
    <w:rsid w:val="007607B9"/>
    <w:rsid w:val="00763FE3"/>
    <w:rsid w:val="0076430B"/>
    <w:rsid w:val="007661C6"/>
    <w:rsid w:val="007663FD"/>
    <w:rsid w:val="007719BD"/>
    <w:rsid w:val="00771E70"/>
    <w:rsid w:val="007721DD"/>
    <w:rsid w:val="007731A8"/>
    <w:rsid w:val="0077336A"/>
    <w:rsid w:val="007735E5"/>
    <w:rsid w:val="00776629"/>
    <w:rsid w:val="00777CCB"/>
    <w:rsid w:val="007807AE"/>
    <w:rsid w:val="00782CE7"/>
    <w:rsid w:val="00784657"/>
    <w:rsid w:val="00784F60"/>
    <w:rsid w:val="0078565E"/>
    <w:rsid w:val="00787DFB"/>
    <w:rsid w:val="0079035E"/>
    <w:rsid w:val="00791E76"/>
    <w:rsid w:val="007929FB"/>
    <w:rsid w:val="00792B83"/>
    <w:rsid w:val="00793ECF"/>
    <w:rsid w:val="00795C0D"/>
    <w:rsid w:val="00797185"/>
    <w:rsid w:val="007A0EEC"/>
    <w:rsid w:val="007A0F10"/>
    <w:rsid w:val="007A1476"/>
    <w:rsid w:val="007A191A"/>
    <w:rsid w:val="007A3E29"/>
    <w:rsid w:val="007A5432"/>
    <w:rsid w:val="007A7B1E"/>
    <w:rsid w:val="007A7DE6"/>
    <w:rsid w:val="007B2351"/>
    <w:rsid w:val="007B386A"/>
    <w:rsid w:val="007B3937"/>
    <w:rsid w:val="007B43E0"/>
    <w:rsid w:val="007B4754"/>
    <w:rsid w:val="007B6485"/>
    <w:rsid w:val="007B6B39"/>
    <w:rsid w:val="007B6E94"/>
    <w:rsid w:val="007C15F6"/>
    <w:rsid w:val="007C1D2D"/>
    <w:rsid w:val="007C67B6"/>
    <w:rsid w:val="007C67D2"/>
    <w:rsid w:val="007C7688"/>
    <w:rsid w:val="007D09F2"/>
    <w:rsid w:val="007D46E3"/>
    <w:rsid w:val="007D6964"/>
    <w:rsid w:val="007D6FC1"/>
    <w:rsid w:val="007E313B"/>
    <w:rsid w:val="007E529B"/>
    <w:rsid w:val="007E547D"/>
    <w:rsid w:val="007E5AEB"/>
    <w:rsid w:val="007E60E7"/>
    <w:rsid w:val="007F0CFC"/>
    <w:rsid w:val="007F0D77"/>
    <w:rsid w:val="007F1D8F"/>
    <w:rsid w:val="007F2515"/>
    <w:rsid w:val="007F2EA2"/>
    <w:rsid w:val="007F61EA"/>
    <w:rsid w:val="007F669C"/>
    <w:rsid w:val="00800888"/>
    <w:rsid w:val="00801643"/>
    <w:rsid w:val="0080195D"/>
    <w:rsid w:val="00801CB2"/>
    <w:rsid w:val="00801E18"/>
    <w:rsid w:val="00802C1C"/>
    <w:rsid w:val="008037C8"/>
    <w:rsid w:val="0080470C"/>
    <w:rsid w:val="0080488D"/>
    <w:rsid w:val="00805907"/>
    <w:rsid w:val="00807A1F"/>
    <w:rsid w:val="008107B5"/>
    <w:rsid w:val="00810A8A"/>
    <w:rsid w:val="00810DAD"/>
    <w:rsid w:val="00812DF6"/>
    <w:rsid w:val="00814DB5"/>
    <w:rsid w:val="00815F4C"/>
    <w:rsid w:val="00816AA7"/>
    <w:rsid w:val="00817C5D"/>
    <w:rsid w:val="0082004F"/>
    <w:rsid w:val="008209D8"/>
    <w:rsid w:val="00820B26"/>
    <w:rsid w:val="00820BD9"/>
    <w:rsid w:val="00821A53"/>
    <w:rsid w:val="00822528"/>
    <w:rsid w:val="008231B4"/>
    <w:rsid w:val="008250BE"/>
    <w:rsid w:val="00826333"/>
    <w:rsid w:val="008269C2"/>
    <w:rsid w:val="008274CC"/>
    <w:rsid w:val="00830277"/>
    <w:rsid w:val="0083111F"/>
    <w:rsid w:val="00833A60"/>
    <w:rsid w:val="0083467A"/>
    <w:rsid w:val="008359FB"/>
    <w:rsid w:val="0083604F"/>
    <w:rsid w:val="008371E4"/>
    <w:rsid w:val="0083780F"/>
    <w:rsid w:val="00840918"/>
    <w:rsid w:val="00840E54"/>
    <w:rsid w:val="00841AFA"/>
    <w:rsid w:val="00842426"/>
    <w:rsid w:val="00842487"/>
    <w:rsid w:val="0084530A"/>
    <w:rsid w:val="00845D93"/>
    <w:rsid w:val="0085261F"/>
    <w:rsid w:val="00854AF2"/>
    <w:rsid w:val="00855798"/>
    <w:rsid w:val="008576F3"/>
    <w:rsid w:val="008579AF"/>
    <w:rsid w:val="00857E70"/>
    <w:rsid w:val="00861F97"/>
    <w:rsid w:val="008634AF"/>
    <w:rsid w:val="00863A48"/>
    <w:rsid w:val="00863E8A"/>
    <w:rsid w:val="008654D7"/>
    <w:rsid w:val="00871C84"/>
    <w:rsid w:val="008737CA"/>
    <w:rsid w:val="0087420C"/>
    <w:rsid w:val="0087443E"/>
    <w:rsid w:val="00874B8E"/>
    <w:rsid w:val="0087512F"/>
    <w:rsid w:val="00876364"/>
    <w:rsid w:val="00876B1F"/>
    <w:rsid w:val="00876F04"/>
    <w:rsid w:val="00877C0E"/>
    <w:rsid w:val="00877D95"/>
    <w:rsid w:val="008810A8"/>
    <w:rsid w:val="00881AD0"/>
    <w:rsid w:val="008860D8"/>
    <w:rsid w:val="00886293"/>
    <w:rsid w:val="008867A8"/>
    <w:rsid w:val="00887D83"/>
    <w:rsid w:val="0089047A"/>
    <w:rsid w:val="008907D6"/>
    <w:rsid w:val="00890AF0"/>
    <w:rsid w:val="00890D95"/>
    <w:rsid w:val="00892090"/>
    <w:rsid w:val="0089341D"/>
    <w:rsid w:val="00894806"/>
    <w:rsid w:val="00894C87"/>
    <w:rsid w:val="00895EE3"/>
    <w:rsid w:val="008A0712"/>
    <w:rsid w:val="008A205F"/>
    <w:rsid w:val="008A433D"/>
    <w:rsid w:val="008A4342"/>
    <w:rsid w:val="008A4732"/>
    <w:rsid w:val="008A4AD6"/>
    <w:rsid w:val="008A5E9E"/>
    <w:rsid w:val="008A63A8"/>
    <w:rsid w:val="008A6779"/>
    <w:rsid w:val="008A7C4F"/>
    <w:rsid w:val="008A7D2C"/>
    <w:rsid w:val="008B0009"/>
    <w:rsid w:val="008B1B39"/>
    <w:rsid w:val="008B3E21"/>
    <w:rsid w:val="008B5CDD"/>
    <w:rsid w:val="008B6B28"/>
    <w:rsid w:val="008B721E"/>
    <w:rsid w:val="008B7623"/>
    <w:rsid w:val="008C052C"/>
    <w:rsid w:val="008C3694"/>
    <w:rsid w:val="008C3D24"/>
    <w:rsid w:val="008C7130"/>
    <w:rsid w:val="008D0E44"/>
    <w:rsid w:val="008D1445"/>
    <w:rsid w:val="008D247F"/>
    <w:rsid w:val="008D353C"/>
    <w:rsid w:val="008D35E7"/>
    <w:rsid w:val="008D42A1"/>
    <w:rsid w:val="008D725A"/>
    <w:rsid w:val="008E02FD"/>
    <w:rsid w:val="008E0396"/>
    <w:rsid w:val="008E0539"/>
    <w:rsid w:val="008E117F"/>
    <w:rsid w:val="008E3887"/>
    <w:rsid w:val="008E3B0D"/>
    <w:rsid w:val="008E4114"/>
    <w:rsid w:val="008E41BE"/>
    <w:rsid w:val="008E5B8E"/>
    <w:rsid w:val="008E7CD9"/>
    <w:rsid w:val="008F35FB"/>
    <w:rsid w:val="008F3E04"/>
    <w:rsid w:val="008F3E09"/>
    <w:rsid w:val="008F4287"/>
    <w:rsid w:val="008F4345"/>
    <w:rsid w:val="008F556F"/>
    <w:rsid w:val="008F654B"/>
    <w:rsid w:val="008F73F8"/>
    <w:rsid w:val="008F74D1"/>
    <w:rsid w:val="00900D56"/>
    <w:rsid w:val="00900E90"/>
    <w:rsid w:val="00902423"/>
    <w:rsid w:val="00902BBC"/>
    <w:rsid w:val="00903025"/>
    <w:rsid w:val="00903081"/>
    <w:rsid w:val="00903A7C"/>
    <w:rsid w:val="0090782E"/>
    <w:rsid w:val="00910A9F"/>
    <w:rsid w:val="009128F9"/>
    <w:rsid w:val="00912911"/>
    <w:rsid w:val="009144F8"/>
    <w:rsid w:val="00914FBE"/>
    <w:rsid w:val="00915D19"/>
    <w:rsid w:val="00915F9F"/>
    <w:rsid w:val="00916803"/>
    <w:rsid w:val="00917086"/>
    <w:rsid w:val="009178C6"/>
    <w:rsid w:val="00921D90"/>
    <w:rsid w:val="00924320"/>
    <w:rsid w:val="00925DB9"/>
    <w:rsid w:val="00926B40"/>
    <w:rsid w:val="00927FFC"/>
    <w:rsid w:val="00934FB4"/>
    <w:rsid w:val="0093517F"/>
    <w:rsid w:val="009353A5"/>
    <w:rsid w:val="00936C09"/>
    <w:rsid w:val="009416B9"/>
    <w:rsid w:val="0094350A"/>
    <w:rsid w:val="00945AAB"/>
    <w:rsid w:val="00945E6E"/>
    <w:rsid w:val="00947C40"/>
    <w:rsid w:val="009514A4"/>
    <w:rsid w:val="00953A33"/>
    <w:rsid w:val="00954824"/>
    <w:rsid w:val="0095691B"/>
    <w:rsid w:val="00957800"/>
    <w:rsid w:val="00960340"/>
    <w:rsid w:val="00960611"/>
    <w:rsid w:val="00964312"/>
    <w:rsid w:val="00964BA4"/>
    <w:rsid w:val="00966BDC"/>
    <w:rsid w:val="00967B0A"/>
    <w:rsid w:val="00967BE4"/>
    <w:rsid w:val="0097036E"/>
    <w:rsid w:val="009709A0"/>
    <w:rsid w:val="00970CDF"/>
    <w:rsid w:val="00972AF1"/>
    <w:rsid w:val="009739A1"/>
    <w:rsid w:val="00975D99"/>
    <w:rsid w:val="00976BC4"/>
    <w:rsid w:val="00976FC6"/>
    <w:rsid w:val="00977343"/>
    <w:rsid w:val="00980217"/>
    <w:rsid w:val="00980A66"/>
    <w:rsid w:val="009839E2"/>
    <w:rsid w:val="00983E21"/>
    <w:rsid w:val="009840F6"/>
    <w:rsid w:val="00985BEE"/>
    <w:rsid w:val="00991DD3"/>
    <w:rsid w:val="009920D0"/>
    <w:rsid w:val="0099247C"/>
    <w:rsid w:val="009926F1"/>
    <w:rsid w:val="0099454D"/>
    <w:rsid w:val="0099648F"/>
    <w:rsid w:val="00996F8C"/>
    <w:rsid w:val="00997D0A"/>
    <w:rsid w:val="009A022B"/>
    <w:rsid w:val="009A12F6"/>
    <w:rsid w:val="009A18E3"/>
    <w:rsid w:val="009A3829"/>
    <w:rsid w:val="009A421C"/>
    <w:rsid w:val="009A445B"/>
    <w:rsid w:val="009A4937"/>
    <w:rsid w:val="009A5A32"/>
    <w:rsid w:val="009A67DB"/>
    <w:rsid w:val="009A7770"/>
    <w:rsid w:val="009B2003"/>
    <w:rsid w:val="009B219E"/>
    <w:rsid w:val="009B2DAF"/>
    <w:rsid w:val="009B2F63"/>
    <w:rsid w:val="009B4592"/>
    <w:rsid w:val="009B7305"/>
    <w:rsid w:val="009B74F0"/>
    <w:rsid w:val="009B7F5C"/>
    <w:rsid w:val="009C1028"/>
    <w:rsid w:val="009C4DB5"/>
    <w:rsid w:val="009C51FC"/>
    <w:rsid w:val="009C5700"/>
    <w:rsid w:val="009C6BF3"/>
    <w:rsid w:val="009C6CD7"/>
    <w:rsid w:val="009C7067"/>
    <w:rsid w:val="009D1860"/>
    <w:rsid w:val="009D1FFC"/>
    <w:rsid w:val="009D2576"/>
    <w:rsid w:val="009D3B27"/>
    <w:rsid w:val="009D569A"/>
    <w:rsid w:val="009D5B24"/>
    <w:rsid w:val="009D67A5"/>
    <w:rsid w:val="009D6FBC"/>
    <w:rsid w:val="009D71E4"/>
    <w:rsid w:val="009D7A87"/>
    <w:rsid w:val="009E0F6A"/>
    <w:rsid w:val="009E6A56"/>
    <w:rsid w:val="009E7E91"/>
    <w:rsid w:val="009F1983"/>
    <w:rsid w:val="009F1AF7"/>
    <w:rsid w:val="009F1D5D"/>
    <w:rsid w:val="009F20A0"/>
    <w:rsid w:val="009F22EE"/>
    <w:rsid w:val="009F517E"/>
    <w:rsid w:val="009F54A4"/>
    <w:rsid w:val="009F6F3B"/>
    <w:rsid w:val="009F7974"/>
    <w:rsid w:val="009F7E1A"/>
    <w:rsid w:val="009F7ED2"/>
    <w:rsid w:val="00A005BD"/>
    <w:rsid w:val="00A01FB3"/>
    <w:rsid w:val="00A0208F"/>
    <w:rsid w:val="00A04EC9"/>
    <w:rsid w:val="00A0732C"/>
    <w:rsid w:val="00A073E8"/>
    <w:rsid w:val="00A0743F"/>
    <w:rsid w:val="00A078A8"/>
    <w:rsid w:val="00A07EFC"/>
    <w:rsid w:val="00A1032A"/>
    <w:rsid w:val="00A10C0C"/>
    <w:rsid w:val="00A11DF2"/>
    <w:rsid w:val="00A129BE"/>
    <w:rsid w:val="00A168E5"/>
    <w:rsid w:val="00A17D95"/>
    <w:rsid w:val="00A22849"/>
    <w:rsid w:val="00A23535"/>
    <w:rsid w:val="00A30819"/>
    <w:rsid w:val="00A308E4"/>
    <w:rsid w:val="00A348D1"/>
    <w:rsid w:val="00A34FB5"/>
    <w:rsid w:val="00A36583"/>
    <w:rsid w:val="00A372F5"/>
    <w:rsid w:val="00A374D4"/>
    <w:rsid w:val="00A3794E"/>
    <w:rsid w:val="00A4011C"/>
    <w:rsid w:val="00A405EC"/>
    <w:rsid w:val="00A43038"/>
    <w:rsid w:val="00A43D2D"/>
    <w:rsid w:val="00A51140"/>
    <w:rsid w:val="00A5176B"/>
    <w:rsid w:val="00A517D3"/>
    <w:rsid w:val="00A536F9"/>
    <w:rsid w:val="00A53DD4"/>
    <w:rsid w:val="00A54016"/>
    <w:rsid w:val="00A550AD"/>
    <w:rsid w:val="00A56C61"/>
    <w:rsid w:val="00A57AE7"/>
    <w:rsid w:val="00A6167D"/>
    <w:rsid w:val="00A6202F"/>
    <w:rsid w:val="00A63AE8"/>
    <w:rsid w:val="00A65E0E"/>
    <w:rsid w:val="00A66386"/>
    <w:rsid w:val="00A6658B"/>
    <w:rsid w:val="00A70A71"/>
    <w:rsid w:val="00A73626"/>
    <w:rsid w:val="00A73CE2"/>
    <w:rsid w:val="00A77339"/>
    <w:rsid w:val="00A8254E"/>
    <w:rsid w:val="00A82855"/>
    <w:rsid w:val="00A82ED1"/>
    <w:rsid w:val="00A85CE9"/>
    <w:rsid w:val="00A86A52"/>
    <w:rsid w:val="00A87C8D"/>
    <w:rsid w:val="00A9131B"/>
    <w:rsid w:val="00A92034"/>
    <w:rsid w:val="00A93201"/>
    <w:rsid w:val="00A96E43"/>
    <w:rsid w:val="00AA07EF"/>
    <w:rsid w:val="00AA0C09"/>
    <w:rsid w:val="00AA3832"/>
    <w:rsid w:val="00AA50BB"/>
    <w:rsid w:val="00AA62E0"/>
    <w:rsid w:val="00AA6302"/>
    <w:rsid w:val="00AA78CC"/>
    <w:rsid w:val="00AB15DE"/>
    <w:rsid w:val="00AB185B"/>
    <w:rsid w:val="00AB2FF3"/>
    <w:rsid w:val="00AB3121"/>
    <w:rsid w:val="00AB4000"/>
    <w:rsid w:val="00AB52C7"/>
    <w:rsid w:val="00AB5AB4"/>
    <w:rsid w:val="00AB6059"/>
    <w:rsid w:val="00AB6BC4"/>
    <w:rsid w:val="00AC068A"/>
    <w:rsid w:val="00AC1A75"/>
    <w:rsid w:val="00AC2D85"/>
    <w:rsid w:val="00AC386B"/>
    <w:rsid w:val="00AC40B1"/>
    <w:rsid w:val="00AC5DEE"/>
    <w:rsid w:val="00AC5FBF"/>
    <w:rsid w:val="00AC632A"/>
    <w:rsid w:val="00AC77ED"/>
    <w:rsid w:val="00AD1011"/>
    <w:rsid w:val="00AD385D"/>
    <w:rsid w:val="00AD55AE"/>
    <w:rsid w:val="00AD654C"/>
    <w:rsid w:val="00AD65C0"/>
    <w:rsid w:val="00AD6C6E"/>
    <w:rsid w:val="00AD6CD9"/>
    <w:rsid w:val="00AD70FE"/>
    <w:rsid w:val="00AD7772"/>
    <w:rsid w:val="00AD78FA"/>
    <w:rsid w:val="00AE1506"/>
    <w:rsid w:val="00AE5A3E"/>
    <w:rsid w:val="00AE6135"/>
    <w:rsid w:val="00AE6B72"/>
    <w:rsid w:val="00AF1CE9"/>
    <w:rsid w:val="00AF1DB0"/>
    <w:rsid w:val="00AF214B"/>
    <w:rsid w:val="00AF486B"/>
    <w:rsid w:val="00AF5C90"/>
    <w:rsid w:val="00AF656B"/>
    <w:rsid w:val="00AF7503"/>
    <w:rsid w:val="00B00CC1"/>
    <w:rsid w:val="00B015DC"/>
    <w:rsid w:val="00B04962"/>
    <w:rsid w:val="00B101D4"/>
    <w:rsid w:val="00B12F8A"/>
    <w:rsid w:val="00B16ABB"/>
    <w:rsid w:val="00B1703A"/>
    <w:rsid w:val="00B17285"/>
    <w:rsid w:val="00B21468"/>
    <w:rsid w:val="00B21CBB"/>
    <w:rsid w:val="00B2674C"/>
    <w:rsid w:val="00B26FC1"/>
    <w:rsid w:val="00B27AD3"/>
    <w:rsid w:val="00B3064F"/>
    <w:rsid w:val="00B319CB"/>
    <w:rsid w:val="00B32DE2"/>
    <w:rsid w:val="00B354C4"/>
    <w:rsid w:val="00B35FA6"/>
    <w:rsid w:val="00B375B4"/>
    <w:rsid w:val="00B37D0F"/>
    <w:rsid w:val="00B407C0"/>
    <w:rsid w:val="00B44614"/>
    <w:rsid w:val="00B449A7"/>
    <w:rsid w:val="00B4538B"/>
    <w:rsid w:val="00B4675C"/>
    <w:rsid w:val="00B50D74"/>
    <w:rsid w:val="00B5505B"/>
    <w:rsid w:val="00B55E30"/>
    <w:rsid w:val="00B55F34"/>
    <w:rsid w:val="00B560EC"/>
    <w:rsid w:val="00B56C4F"/>
    <w:rsid w:val="00B60301"/>
    <w:rsid w:val="00B607FD"/>
    <w:rsid w:val="00B61C42"/>
    <w:rsid w:val="00B63E8A"/>
    <w:rsid w:val="00B65429"/>
    <w:rsid w:val="00B65588"/>
    <w:rsid w:val="00B67E94"/>
    <w:rsid w:val="00B75DCE"/>
    <w:rsid w:val="00B76653"/>
    <w:rsid w:val="00B76E0E"/>
    <w:rsid w:val="00B77653"/>
    <w:rsid w:val="00B825BC"/>
    <w:rsid w:val="00B8356A"/>
    <w:rsid w:val="00B842AB"/>
    <w:rsid w:val="00B844E0"/>
    <w:rsid w:val="00B85273"/>
    <w:rsid w:val="00B87D86"/>
    <w:rsid w:val="00B90AA6"/>
    <w:rsid w:val="00B90FD5"/>
    <w:rsid w:val="00B914FF"/>
    <w:rsid w:val="00B91720"/>
    <w:rsid w:val="00B9217A"/>
    <w:rsid w:val="00B95890"/>
    <w:rsid w:val="00B962B5"/>
    <w:rsid w:val="00B97700"/>
    <w:rsid w:val="00B979D1"/>
    <w:rsid w:val="00BA240D"/>
    <w:rsid w:val="00BA39F9"/>
    <w:rsid w:val="00BA6E10"/>
    <w:rsid w:val="00BB03B7"/>
    <w:rsid w:val="00BB130B"/>
    <w:rsid w:val="00BB212E"/>
    <w:rsid w:val="00BB4CE4"/>
    <w:rsid w:val="00BB6F6A"/>
    <w:rsid w:val="00BC1C3D"/>
    <w:rsid w:val="00BC2600"/>
    <w:rsid w:val="00BC3911"/>
    <w:rsid w:val="00BC40DA"/>
    <w:rsid w:val="00BC4CFB"/>
    <w:rsid w:val="00BC5ECC"/>
    <w:rsid w:val="00BC737B"/>
    <w:rsid w:val="00BD032F"/>
    <w:rsid w:val="00BD10E0"/>
    <w:rsid w:val="00BD17D9"/>
    <w:rsid w:val="00BD17DA"/>
    <w:rsid w:val="00BD38DC"/>
    <w:rsid w:val="00BD7211"/>
    <w:rsid w:val="00BE26A1"/>
    <w:rsid w:val="00BE2CB6"/>
    <w:rsid w:val="00BE3F87"/>
    <w:rsid w:val="00BE503C"/>
    <w:rsid w:val="00BE5471"/>
    <w:rsid w:val="00BE5814"/>
    <w:rsid w:val="00BE6CF1"/>
    <w:rsid w:val="00BE7706"/>
    <w:rsid w:val="00BF1D68"/>
    <w:rsid w:val="00BF35F7"/>
    <w:rsid w:val="00BF370A"/>
    <w:rsid w:val="00BF5E88"/>
    <w:rsid w:val="00BF7937"/>
    <w:rsid w:val="00C0187B"/>
    <w:rsid w:val="00C01FD8"/>
    <w:rsid w:val="00C025DD"/>
    <w:rsid w:val="00C03036"/>
    <w:rsid w:val="00C03642"/>
    <w:rsid w:val="00C03A8F"/>
    <w:rsid w:val="00C03FF6"/>
    <w:rsid w:val="00C053BF"/>
    <w:rsid w:val="00C05BF3"/>
    <w:rsid w:val="00C077F7"/>
    <w:rsid w:val="00C10815"/>
    <w:rsid w:val="00C118DE"/>
    <w:rsid w:val="00C11D28"/>
    <w:rsid w:val="00C13557"/>
    <w:rsid w:val="00C14C35"/>
    <w:rsid w:val="00C170ED"/>
    <w:rsid w:val="00C17511"/>
    <w:rsid w:val="00C201E9"/>
    <w:rsid w:val="00C21E9C"/>
    <w:rsid w:val="00C220BC"/>
    <w:rsid w:val="00C22721"/>
    <w:rsid w:val="00C24873"/>
    <w:rsid w:val="00C25F21"/>
    <w:rsid w:val="00C25F69"/>
    <w:rsid w:val="00C26CB1"/>
    <w:rsid w:val="00C27081"/>
    <w:rsid w:val="00C274A1"/>
    <w:rsid w:val="00C2773D"/>
    <w:rsid w:val="00C31822"/>
    <w:rsid w:val="00C31DAB"/>
    <w:rsid w:val="00C3409E"/>
    <w:rsid w:val="00C35F61"/>
    <w:rsid w:val="00C3608F"/>
    <w:rsid w:val="00C360FC"/>
    <w:rsid w:val="00C36499"/>
    <w:rsid w:val="00C40FDD"/>
    <w:rsid w:val="00C424CB"/>
    <w:rsid w:val="00C43D44"/>
    <w:rsid w:val="00C44F2F"/>
    <w:rsid w:val="00C45241"/>
    <w:rsid w:val="00C45C7D"/>
    <w:rsid w:val="00C46E75"/>
    <w:rsid w:val="00C4744A"/>
    <w:rsid w:val="00C47630"/>
    <w:rsid w:val="00C51572"/>
    <w:rsid w:val="00C528D7"/>
    <w:rsid w:val="00C52F06"/>
    <w:rsid w:val="00C53A90"/>
    <w:rsid w:val="00C53DDD"/>
    <w:rsid w:val="00C53E53"/>
    <w:rsid w:val="00C5498C"/>
    <w:rsid w:val="00C5534A"/>
    <w:rsid w:val="00C55A0F"/>
    <w:rsid w:val="00C5725E"/>
    <w:rsid w:val="00C61928"/>
    <w:rsid w:val="00C61A30"/>
    <w:rsid w:val="00C6213D"/>
    <w:rsid w:val="00C62F9D"/>
    <w:rsid w:val="00C64B3C"/>
    <w:rsid w:val="00C65019"/>
    <w:rsid w:val="00C664B9"/>
    <w:rsid w:val="00C666E0"/>
    <w:rsid w:val="00C667E1"/>
    <w:rsid w:val="00C66E22"/>
    <w:rsid w:val="00C703F5"/>
    <w:rsid w:val="00C70B67"/>
    <w:rsid w:val="00C70CC6"/>
    <w:rsid w:val="00C7305A"/>
    <w:rsid w:val="00C734DE"/>
    <w:rsid w:val="00C73D80"/>
    <w:rsid w:val="00C74992"/>
    <w:rsid w:val="00C7640C"/>
    <w:rsid w:val="00C811E6"/>
    <w:rsid w:val="00C81AA0"/>
    <w:rsid w:val="00C82135"/>
    <w:rsid w:val="00C83C34"/>
    <w:rsid w:val="00C8467C"/>
    <w:rsid w:val="00C851ED"/>
    <w:rsid w:val="00C87418"/>
    <w:rsid w:val="00C909C9"/>
    <w:rsid w:val="00C91877"/>
    <w:rsid w:val="00C919FB"/>
    <w:rsid w:val="00C931A5"/>
    <w:rsid w:val="00C93C99"/>
    <w:rsid w:val="00C95A57"/>
    <w:rsid w:val="00C96D37"/>
    <w:rsid w:val="00CA0AB9"/>
    <w:rsid w:val="00CA208E"/>
    <w:rsid w:val="00CA289A"/>
    <w:rsid w:val="00CA28DB"/>
    <w:rsid w:val="00CA2E7D"/>
    <w:rsid w:val="00CA62D4"/>
    <w:rsid w:val="00CA668A"/>
    <w:rsid w:val="00CA6976"/>
    <w:rsid w:val="00CA73A7"/>
    <w:rsid w:val="00CB279C"/>
    <w:rsid w:val="00CB2CB4"/>
    <w:rsid w:val="00CB2D42"/>
    <w:rsid w:val="00CB42B6"/>
    <w:rsid w:val="00CB4AFC"/>
    <w:rsid w:val="00CB675B"/>
    <w:rsid w:val="00CC0245"/>
    <w:rsid w:val="00CC0937"/>
    <w:rsid w:val="00CC277D"/>
    <w:rsid w:val="00CC382C"/>
    <w:rsid w:val="00CC3BA5"/>
    <w:rsid w:val="00CC4933"/>
    <w:rsid w:val="00CC6B79"/>
    <w:rsid w:val="00CC7518"/>
    <w:rsid w:val="00CD0045"/>
    <w:rsid w:val="00CD05FE"/>
    <w:rsid w:val="00CD08B3"/>
    <w:rsid w:val="00CD0DF8"/>
    <w:rsid w:val="00CD199B"/>
    <w:rsid w:val="00CD25EA"/>
    <w:rsid w:val="00CD6BC6"/>
    <w:rsid w:val="00CD7274"/>
    <w:rsid w:val="00CE2235"/>
    <w:rsid w:val="00CE30D5"/>
    <w:rsid w:val="00CE379F"/>
    <w:rsid w:val="00CE5FFE"/>
    <w:rsid w:val="00CE60D1"/>
    <w:rsid w:val="00CE60F9"/>
    <w:rsid w:val="00CE6560"/>
    <w:rsid w:val="00CE6BEE"/>
    <w:rsid w:val="00CE730A"/>
    <w:rsid w:val="00CF1DE8"/>
    <w:rsid w:val="00CF1F00"/>
    <w:rsid w:val="00D00FB7"/>
    <w:rsid w:val="00D0298F"/>
    <w:rsid w:val="00D05EDD"/>
    <w:rsid w:val="00D060CD"/>
    <w:rsid w:val="00D0720A"/>
    <w:rsid w:val="00D10C67"/>
    <w:rsid w:val="00D124F4"/>
    <w:rsid w:val="00D125BB"/>
    <w:rsid w:val="00D12FA3"/>
    <w:rsid w:val="00D1451F"/>
    <w:rsid w:val="00D16633"/>
    <w:rsid w:val="00D17568"/>
    <w:rsid w:val="00D17CCB"/>
    <w:rsid w:val="00D17F66"/>
    <w:rsid w:val="00D22610"/>
    <w:rsid w:val="00D242DD"/>
    <w:rsid w:val="00D2470F"/>
    <w:rsid w:val="00D250C3"/>
    <w:rsid w:val="00D25B5F"/>
    <w:rsid w:val="00D25BCC"/>
    <w:rsid w:val="00D26B42"/>
    <w:rsid w:val="00D3213A"/>
    <w:rsid w:val="00D33424"/>
    <w:rsid w:val="00D35D14"/>
    <w:rsid w:val="00D40104"/>
    <w:rsid w:val="00D42794"/>
    <w:rsid w:val="00D42D56"/>
    <w:rsid w:val="00D43C03"/>
    <w:rsid w:val="00D4417C"/>
    <w:rsid w:val="00D4525A"/>
    <w:rsid w:val="00D45D19"/>
    <w:rsid w:val="00D460D3"/>
    <w:rsid w:val="00D46116"/>
    <w:rsid w:val="00D5021C"/>
    <w:rsid w:val="00D5228B"/>
    <w:rsid w:val="00D53293"/>
    <w:rsid w:val="00D53C29"/>
    <w:rsid w:val="00D57384"/>
    <w:rsid w:val="00D60A11"/>
    <w:rsid w:val="00D61FA3"/>
    <w:rsid w:val="00D62BDC"/>
    <w:rsid w:val="00D65814"/>
    <w:rsid w:val="00D676AD"/>
    <w:rsid w:val="00D6784F"/>
    <w:rsid w:val="00D713FC"/>
    <w:rsid w:val="00D72D18"/>
    <w:rsid w:val="00D735C9"/>
    <w:rsid w:val="00D746B6"/>
    <w:rsid w:val="00D751DF"/>
    <w:rsid w:val="00D7568C"/>
    <w:rsid w:val="00D762CE"/>
    <w:rsid w:val="00D768AA"/>
    <w:rsid w:val="00D768DC"/>
    <w:rsid w:val="00D777D0"/>
    <w:rsid w:val="00D8020C"/>
    <w:rsid w:val="00D8701A"/>
    <w:rsid w:val="00D905FA"/>
    <w:rsid w:val="00D90B9E"/>
    <w:rsid w:val="00D90D01"/>
    <w:rsid w:val="00D90D20"/>
    <w:rsid w:val="00D91884"/>
    <w:rsid w:val="00D92D3D"/>
    <w:rsid w:val="00D96E62"/>
    <w:rsid w:val="00D979AA"/>
    <w:rsid w:val="00DA200B"/>
    <w:rsid w:val="00DA21E7"/>
    <w:rsid w:val="00DA495B"/>
    <w:rsid w:val="00DA4E85"/>
    <w:rsid w:val="00DA70B4"/>
    <w:rsid w:val="00DB06CC"/>
    <w:rsid w:val="00DB1F45"/>
    <w:rsid w:val="00DB2A4B"/>
    <w:rsid w:val="00DB3597"/>
    <w:rsid w:val="00DB5D52"/>
    <w:rsid w:val="00DB70D6"/>
    <w:rsid w:val="00DC055C"/>
    <w:rsid w:val="00DC1A3C"/>
    <w:rsid w:val="00DC2B18"/>
    <w:rsid w:val="00DC3128"/>
    <w:rsid w:val="00DC4ACC"/>
    <w:rsid w:val="00DC4F29"/>
    <w:rsid w:val="00DC5247"/>
    <w:rsid w:val="00DC6059"/>
    <w:rsid w:val="00DC7EB8"/>
    <w:rsid w:val="00DD15A2"/>
    <w:rsid w:val="00DD384D"/>
    <w:rsid w:val="00DD44CF"/>
    <w:rsid w:val="00DD46C6"/>
    <w:rsid w:val="00DD4E5C"/>
    <w:rsid w:val="00DD517A"/>
    <w:rsid w:val="00DD7344"/>
    <w:rsid w:val="00DD7A3D"/>
    <w:rsid w:val="00DE2480"/>
    <w:rsid w:val="00DE2A89"/>
    <w:rsid w:val="00DE2FC1"/>
    <w:rsid w:val="00DE5C06"/>
    <w:rsid w:val="00DE5E06"/>
    <w:rsid w:val="00DE7292"/>
    <w:rsid w:val="00DF1633"/>
    <w:rsid w:val="00DF337D"/>
    <w:rsid w:val="00DF37DE"/>
    <w:rsid w:val="00DF41FB"/>
    <w:rsid w:val="00DF4EDB"/>
    <w:rsid w:val="00DF6565"/>
    <w:rsid w:val="00DF6E8C"/>
    <w:rsid w:val="00DF7C80"/>
    <w:rsid w:val="00E0223F"/>
    <w:rsid w:val="00E05B4E"/>
    <w:rsid w:val="00E068E6"/>
    <w:rsid w:val="00E0788D"/>
    <w:rsid w:val="00E10583"/>
    <w:rsid w:val="00E120D8"/>
    <w:rsid w:val="00E16BF3"/>
    <w:rsid w:val="00E21E8B"/>
    <w:rsid w:val="00E2287F"/>
    <w:rsid w:val="00E22D20"/>
    <w:rsid w:val="00E24453"/>
    <w:rsid w:val="00E30914"/>
    <w:rsid w:val="00E30A5B"/>
    <w:rsid w:val="00E310A3"/>
    <w:rsid w:val="00E321B2"/>
    <w:rsid w:val="00E3296F"/>
    <w:rsid w:val="00E35128"/>
    <w:rsid w:val="00E371E0"/>
    <w:rsid w:val="00E3786F"/>
    <w:rsid w:val="00E37C62"/>
    <w:rsid w:val="00E41303"/>
    <w:rsid w:val="00E41D81"/>
    <w:rsid w:val="00E41FF7"/>
    <w:rsid w:val="00E42602"/>
    <w:rsid w:val="00E44C87"/>
    <w:rsid w:val="00E51126"/>
    <w:rsid w:val="00E51389"/>
    <w:rsid w:val="00E52101"/>
    <w:rsid w:val="00E52379"/>
    <w:rsid w:val="00E52C50"/>
    <w:rsid w:val="00E52E18"/>
    <w:rsid w:val="00E53934"/>
    <w:rsid w:val="00E558FB"/>
    <w:rsid w:val="00E56679"/>
    <w:rsid w:val="00E573C0"/>
    <w:rsid w:val="00E573DC"/>
    <w:rsid w:val="00E5766A"/>
    <w:rsid w:val="00E60193"/>
    <w:rsid w:val="00E60623"/>
    <w:rsid w:val="00E62D29"/>
    <w:rsid w:val="00E63C99"/>
    <w:rsid w:val="00E6531B"/>
    <w:rsid w:val="00E7137E"/>
    <w:rsid w:val="00E7149F"/>
    <w:rsid w:val="00E72C4B"/>
    <w:rsid w:val="00E73322"/>
    <w:rsid w:val="00E74DAA"/>
    <w:rsid w:val="00E7610A"/>
    <w:rsid w:val="00E76380"/>
    <w:rsid w:val="00E763D1"/>
    <w:rsid w:val="00E77C41"/>
    <w:rsid w:val="00E80745"/>
    <w:rsid w:val="00E8186E"/>
    <w:rsid w:val="00E82B4D"/>
    <w:rsid w:val="00E83F45"/>
    <w:rsid w:val="00E85527"/>
    <w:rsid w:val="00E857F4"/>
    <w:rsid w:val="00E86003"/>
    <w:rsid w:val="00E8613C"/>
    <w:rsid w:val="00E8636A"/>
    <w:rsid w:val="00E872FD"/>
    <w:rsid w:val="00E8757A"/>
    <w:rsid w:val="00E87600"/>
    <w:rsid w:val="00E87D73"/>
    <w:rsid w:val="00E90AB3"/>
    <w:rsid w:val="00E91B1D"/>
    <w:rsid w:val="00E9229C"/>
    <w:rsid w:val="00E92BD2"/>
    <w:rsid w:val="00E92C6B"/>
    <w:rsid w:val="00E971F6"/>
    <w:rsid w:val="00E97F29"/>
    <w:rsid w:val="00EA07B6"/>
    <w:rsid w:val="00EA3CC6"/>
    <w:rsid w:val="00EA4614"/>
    <w:rsid w:val="00EA4C1A"/>
    <w:rsid w:val="00EA603D"/>
    <w:rsid w:val="00EA666F"/>
    <w:rsid w:val="00EB25F5"/>
    <w:rsid w:val="00EB314E"/>
    <w:rsid w:val="00EB5001"/>
    <w:rsid w:val="00EC0474"/>
    <w:rsid w:val="00EC082B"/>
    <w:rsid w:val="00EC0BFE"/>
    <w:rsid w:val="00EC1815"/>
    <w:rsid w:val="00EC2279"/>
    <w:rsid w:val="00EC2F7A"/>
    <w:rsid w:val="00EC3D7F"/>
    <w:rsid w:val="00EC3DC9"/>
    <w:rsid w:val="00EC42CB"/>
    <w:rsid w:val="00EC4E03"/>
    <w:rsid w:val="00EC616A"/>
    <w:rsid w:val="00EC6C31"/>
    <w:rsid w:val="00EC743B"/>
    <w:rsid w:val="00ED2276"/>
    <w:rsid w:val="00ED2B02"/>
    <w:rsid w:val="00ED35A2"/>
    <w:rsid w:val="00ED43B9"/>
    <w:rsid w:val="00ED46E1"/>
    <w:rsid w:val="00ED6154"/>
    <w:rsid w:val="00ED7070"/>
    <w:rsid w:val="00ED7EB5"/>
    <w:rsid w:val="00EE26C1"/>
    <w:rsid w:val="00EE36F4"/>
    <w:rsid w:val="00EE3784"/>
    <w:rsid w:val="00EE3D8B"/>
    <w:rsid w:val="00EE410F"/>
    <w:rsid w:val="00EE5307"/>
    <w:rsid w:val="00EE6E12"/>
    <w:rsid w:val="00EE7269"/>
    <w:rsid w:val="00EE745A"/>
    <w:rsid w:val="00EE7FEC"/>
    <w:rsid w:val="00EF0A5A"/>
    <w:rsid w:val="00EF2054"/>
    <w:rsid w:val="00EF3506"/>
    <w:rsid w:val="00EF35A0"/>
    <w:rsid w:val="00EF4093"/>
    <w:rsid w:val="00EF58FD"/>
    <w:rsid w:val="00EF5F8F"/>
    <w:rsid w:val="00EF639B"/>
    <w:rsid w:val="00EF6FB5"/>
    <w:rsid w:val="00F00F93"/>
    <w:rsid w:val="00F01111"/>
    <w:rsid w:val="00F03B52"/>
    <w:rsid w:val="00F0591F"/>
    <w:rsid w:val="00F06396"/>
    <w:rsid w:val="00F07A2C"/>
    <w:rsid w:val="00F10F20"/>
    <w:rsid w:val="00F11B4A"/>
    <w:rsid w:val="00F2028F"/>
    <w:rsid w:val="00F20313"/>
    <w:rsid w:val="00F20394"/>
    <w:rsid w:val="00F20B41"/>
    <w:rsid w:val="00F20C1C"/>
    <w:rsid w:val="00F23C6B"/>
    <w:rsid w:val="00F23CBD"/>
    <w:rsid w:val="00F25489"/>
    <w:rsid w:val="00F25C0E"/>
    <w:rsid w:val="00F3117E"/>
    <w:rsid w:val="00F31FE9"/>
    <w:rsid w:val="00F33A00"/>
    <w:rsid w:val="00F344B5"/>
    <w:rsid w:val="00F365FC"/>
    <w:rsid w:val="00F36998"/>
    <w:rsid w:val="00F37489"/>
    <w:rsid w:val="00F41692"/>
    <w:rsid w:val="00F4216A"/>
    <w:rsid w:val="00F43C96"/>
    <w:rsid w:val="00F43FE8"/>
    <w:rsid w:val="00F453BC"/>
    <w:rsid w:val="00F45440"/>
    <w:rsid w:val="00F475FE"/>
    <w:rsid w:val="00F503E6"/>
    <w:rsid w:val="00F51FEE"/>
    <w:rsid w:val="00F52125"/>
    <w:rsid w:val="00F52DDB"/>
    <w:rsid w:val="00F56A3E"/>
    <w:rsid w:val="00F60515"/>
    <w:rsid w:val="00F611BE"/>
    <w:rsid w:val="00F62C1C"/>
    <w:rsid w:val="00F63707"/>
    <w:rsid w:val="00F639E8"/>
    <w:rsid w:val="00F65192"/>
    <w:rsid w:val="00F65ACC"/>
    <w:rsid w:val="00F70E62"/>
    <w:rsid w:val="00F71104"/>
    <w:rsid w:val="00F72331"/>
    <w:rsid w:val="00F74BC1"/>
    <w:rsid w:val="00F81171"/>
    <w:rsid w:val="00F82003"/>
    <w:rsid w:val="00F8364D"/>
    <w:rsid w:val="00F836D2"/>
    <w:rsid w:val="00F83D84"/>
    <w:rsid w:val="00F83FE3"/>
    <w:rsid w:val="00F861D4"/>
    <w:rsid w:val="00F90676"/>
    <w:rsid w:val="00F91387"/>
    <w:rsid w:val="00F92344"/>
    <w:rsid w:val="00F93090"/>
    <w:rsid w:val="00F93C58"/>
    <w:rsid w:val="00FA23A3"/>
    <w:rsid w:val="00FA25C1"/>
    <w:rsid w:val="00FA463E"/>
    <w:rsid w:val="00FA4FF0"/>
    <w:rsid w:val="00FA55D4"/>
    <w:rsid w:val="00FA5FC6"/>
    <w:rsid w:val="00FB00B1"/>
    <w:rsid w:val="00FB0A2A"/>
    <w:rsid w:val="00FB5CFC"/>
    <w:rsid w:val="00FC040D"/>
    <w:rsid w:val="00FC05AC"/>
    <w:rsid w:val="00FC3149"/>
    <w:rsid w:val="00FC4137"/>
    <w:rsid w:val="00FC44EF"/>
    <w:rsid w:val="00FC52EB"/>
    <w:rsid w:val="00FC5D13"/>
    <w:rsid w:val="00FC6A0B"/>
    <w:rsid w:val="00FC6C91"/>
    <w:rsid w:val="00FD0FDD"/>
    <w:rsid w:val="00FD3902"/>
    <w:rsid w:val="00FD41EC"/>
    <w:rsid w:val="00FD41F5"/>
    <w:rsid w:val="00FD54F9"/>
    <w:rsid w:val="00FD66AA"/>
    <w:rsid w:val="00FD6DC6"/>
    <w:rsid w:val="00FD72A4"/>
    <w:rsid w:val="00FD7C22"/>
    <w:rsid w:val="00FE21F5"/>
    <w:rsid w:val="00FE2219"/>
    <w:rsid w:val="00FE2A62"/>
    <w:rsid w:val="00FE3262"/>
    <w:rsid w:val="00FE7F63"/>
    <w:rsid w:val="00FF1D66"/>
    <w:rsid w:val="00FF2348"/>
    <w:rsid w:val="00FF2379"/>
    <w:rsid w:val="00FF541D"/>
    <w:rsid w:val="00FF56BB"/>
    <w:rsid w:val="00FF62DF"/>
    <w:rsid w:val="00FF7571"/>
    <w:rsid w:val="00FF75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E4513"/>
    <w:rPr>
      <w:sz w:val="24"/>
      <w:szCs w:val="24"/>
    </w:rPr>
  </w:style>
  <w:style w:type="paragraph" w:styleId="1">
    <w:name w:val="heading 1"/>
    <w:basedOn w:val="a"/>
    <w:next w:val="a"/>
    <w:qFormat/>
    <w:rsid w:val="00177F7A"/>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177F7A"/>
    <w:pPr>
      <w:keepNext/>
      <w:spacing w:before="240" w:after="60"/>
      <w:outlineLvl w:val="1"/>
    </w:pPr>
    <w:rPr>
      <w:rFonts w:ascii="Arial" w:hAnsi="Arial" w:cs="Arial"/>
      <w:b/>
      <w:bCs/>
      <w:i/>
      <w:iCs/>
      <w:sz w:val="28"/>
      <w:szCs w:val="28"/>
    </w:rPr>
  </w:style>
  <w:style w:type="paragraph" w:styleId="3">
    <w:name w:val="heading 3"/>
    <w:basedOn w:val="a"/>
    <w:link w:val="3Char"/>
    <w:qFormat/>
    <w:rsid w:val="00177F7A"/>
    <w:pPr>
      <w:spacing w:before="100" w:beforeAutospacing="1" w:after="100" w:afterAutospacing="1"/>
      <w:outlineLvl w:val="2"/>
    </w:pPr>
    <w:rPr>
      <w:b/>
      <w:bCs/>
      <w:sz w:val="27"/>
      <w:szCs w:val="27"/>
      <w:lang w:val="en-GB" w:eastAsia="en-US"/>
    </w:rPr>
  </w:style>
  <w:style w:type="paragraph" w:styleId="4">
    <w:name w:val="heading 4"/>
    <w:basedOn w:val="a"/>
    <w:next w:val="a"/>
    <w:qFormat/>
    <w:rsid w:val="00177F7A"/>
    <w:pPr>
      <w:keepNext/>
      <w:outlineLvl w:val="3"/>
    </w:pPr>
    <w:rPr>
      <w:b/>
      <w:szCs w:val="20"/>
    </w:rPr>
  </w:style>
  <w:style w:type="paragraph" w:styleId="5">
    <w:name w:val="heading 5"/>
    <w:basedOn w:val="a"/>
    <w:next w:val="a"/>
    <w:qFormat/>
    <w:rsid w:val="00177F7A"/>
    <w:pPr>
      <w:keepNext/>
      <w:jc w:val="center"/>
      <w:outlineLvl w:val="4"/>
    </w:pPr>
    <w:rPr>
      <w:b/>
      <w:i/>
      <w:szCs w:val="20"/>
    </w:rPr>
  </w:style>
  <w:style w:type="paragraph" w:styleId="6">
    <w:name w:val="heading 6"/>
    <w:basedOn w:val="a"/>
    <w:next w:val="a"/>
    <w:qFormat/>
    <w:rsid w:val="00177F7A"/>
    <w:pPr>
      <w:keepNext/>
      <w:spacing w:line="360" w:lineRule="auto"/>
      <w:ind w:left="360"/>
      <w:jc w:val="both"/>
      <w:outlineLvl w:val="5"/>
    </w:pPr>
    <w:rPr>
      <w:b/>
      <w:bCs/>
      <w:u w:val="single"/>
    </w:rPr>
  </w:style>
  <w:style w:type="paragraph" w:styleId="7">
    <w:name w:val="heading 7"/>
    <w:basedOn w:val="a"/>
    <w:next w:val="a"/>
    <w:qFormat/>
    <w:rsid w:val="00177F7A"/>
    <w:pPr>
      <w:keepNext/>
      <w:spacing w:line="360" w:lineRule="auto"/>
      <w:jc w:val="both"/>
      <w:outlineLvl w:val="6"/>
    </w:pPr>
    <w:rPr>
      <w:b/>
      <w:bCs/>
    </w:rPr>
  </w:style>
  <w:style w:type="paragraph" w:styleId="9">
    <w:name w:val="heading 9"/>
    <w:basedOn w:val="a"/>
    <w:next w:val="a"/>
    <w:link w:val="9Char"/>
    <w:uiPriority w:val="9"/>
    <w:semiHidden/>
    <w:unhideWhenUsed/>
    <w:qFormat/>
    <w:rsid w:val="009435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065BB8"/>
    <w:rPr>
      <w:rFonts w:ascii="Arial" w:hAnsi="Arial" w:cs="Arial"/>
      <w:b/>
      <w:bCs/>
      <w:i/>
      <w:iCs/>
      <w:sz w:val="28"/>
      <w:szCs w:val="28"/>
    </w:rPr>
  </w:style>
  <w:style w:type="paragraph" w:customStyle="1" w:styleId="Default">
    <w:name w:val="Default"/>
    <w:rsid w:val="00177F7A"/>
    <w:pPr>
      <w:autoSpaceDE w:val="0"/>
      <w:autoSpaceDN w:val="0"/>
      <w:adjustRightInd w:val="0"/>
    </w:pPr>
    <w:rPr>
      <w:color w:val="000000"/>
      <w:sz w:val="24"/>
      <w:szCs w:val="24"/>
    </w:rPr>
  </w:style>
  <w:style w:type="paragraph" w:styleId="a3">
    <w:name w:val="Balloon Text"/>
    <w:basedOn w:val="a"/>
    <w:link w:val="Char"/>
    <w:uiPriority w:val="99"/>
    <w:semiHidden/>
    <w:rsid w:val="00177F7A"/>
    <w:rPr>
      <w:rFonts w:ascii="Tahoma" w:hAnsi="Tahoma" w:cs="Tahoma"/>
      <w:sz w:val="16"/>
      <w:szCs w:val="16"/>
    </w:rPr>
  </w:style>
  <w:style w:type="paragraph" w:styleId="a4">
    <w:name w:val="footer"/>
    <w:basedOn w:val="a"/>
    <w:link w:val="Char0"/>
    <w:uiPriority w:val="99"/>
    <w:rsid w:val="00177F7A"/>
    <w:pPr>
      <w:tabs>
        <w:tab w:val="center" w:pos="4153"/>
        <w:tab w:val="right" w:pos="8306"/>
      </w:tabs>
    </w:pPr>
  </w:style>
  <w:style w:type="character" w:customStyle="1" w:styleId="Char0">
    <w:name w:val="Υποσέλιδο Char"/>
    <w:link w:val="a4"/>
    <w:uiPriority w:val="99"/>
    <w:rsid w:val="005075B2"/>
    <w:rPr>
      <w:sz w:val="24"/>
      <w:szCs w:val="24"/>
    </w:rPr>
  </w:style>
  <w:style w:type="character" w:styleId="a5">
    <w:name w:val="page number"/>
    <w:basedOn w:val="a0"/>
    <w:rsid w:val="00177F7A"/>
  </w:style>
  <w:style w:type="character" w:styleId="-">
    <w:name w:val="Hyperlink"/>
    <w:uiPriority w:val="99"/>
    <w:rsid w:val="00177F7A"/>
    <w:rPr>
      <w:color w:val="0000FF"/>
      <w:u w:val="single"/>
    </w:rPr>
  </w:style>
  <w:style w:type="paragraph" w:styleId="10">
    <w:name w:val="toc 1"/>
    <w:basedOn w:val="a"/>
    <w:next w:val="a"/>
    <w:autoRedefine/>
    <w:uiPriority w:val="39"/>
    <w:qFormat/>
    <w:rsid w:val="00177F7A"/>
    <w:pPr>
      <w:tabs>
        <w:tab w:val="right" w:leader="dot" w:pos="8296"/>
      </w:tabs>
      <w:ind w:left="180"/>
    </w:pPr>
    <w:rPr>
      <w:noProof/>
    </w:rPr>
  </w:style>
  <w:style w:type="paragraph" w:styleId="20">
    <w:name w:val="toc 2"/>
    <w:basedOn w:val="a"/>
    <w:next w:val="a"/>
    <w:autoRedefine/>
    <w:uiPriority w:val="39"/>
    <w:qFormat/>
    <w:rsid w:val="00177F7A"/>
    <w:pPr>
      <w:ind w:left="240"/>
    </w:pPr>
  </w:style>
  <w:style w:type="character" w:customStyle="1" w:styleId="1Char">
    <w:name w:val="Επικεφαλίδα 1 Char"/>
    <w:rsid w:val="00177F7A"/>
    <w:rPr>
      <w:rFonts w:ascii="Arial" w:hAnsi="Arial" w:cs="Arial"/>
      <w:b/>
      <w:bCs/>
      <w:kern w:val="32"/>
      <w:sz w:val="32"/>
      <w:szCs w:val="32"/>
      <w:lang w:val="el-GR" w:eastAsia="el-GR" w:bidi="ar-SA"/>
    </w:rPr>
  </w:style>
  <w:style w:type="paragraph" w:styleId="a6">
    <w:name w:val="caption"/>
    <w:basedOn w:val="a"/>
    <w:next w:val="a"/>
    <w:uiPriority w:val="35"/>
    <w:qFormat/>
    <w:rsid w:val="00177F7A"/>
    <w:pPr>
      <w:ind w:right="-4440"/>
    </w:pPr>
    <w:rPr>
      <w:b/>
      <w:sz w:val="28"/>
      <w:szCs w:val="20"/>
    </w:rPr>
  </w:style>
  <w:style w:type="paragraph" w:styleId="a7">
    <w:name w:val="Body Text"/>
    <w:basedOn w:val="a"/>
    <w:link w:val="Char1"/>
    <w:semiHidden/>
    <w:rsid w:val="00177F7A"/>
    <w:pPr>
      <w:jc w:val="both"/>
    </w:pPr>
    <w:rPr>
      <w:rFonts w:ascii="Arial" w:hAnsi="Arial" w:cs="Arial"/>
      <w:b/>
      <w:bCs/>
      <w:i/>
      <w:sz w:val="32"/>
      <w:szCs w:val="32"/>
    </w:rPr>
  </w:style>
  <w:style w:type="character" w:customStyle="1" w:styleId="Char1">
    <w:name w:val="Σώμα κειμένου Char"/>
    <w:link w:val="a7"/>
    <w:semiHidden/>
    <w:rsid w:val="00154433"/>
    <w:rPr>
      <w:rFonts w:ascii="Arial" w:hAnsi="Arial" w:cs="Arial"/>
      <w:b/>
      <w:bCs/>
      <w:i/>
      <w:sz w:val="32"/>
      <w:szCs w:val="32"/>
    </w:rPr>
  </w:style>
  <w:style w:type="character" w:styleId="a8">
    <w:name w:val="Strong"/>
    <w:uiPriority w:val="22"/>
    <w:qFormat/>
    <w:rsid w:val="00177F7A"/>
    <w:rPr>
      <w:b/>
      <w:bCs/>
    </w:rPr>
  </w:style>
  <w:style w:type="paragraph" w:styleId="Web">
    <w:name w:val="Normal (Web)"/>
    <w:basedOn w:val="a"/>
    <w:uiPriority w:val="99"/>
    <w:semiHidden/>
    <w:rsid w:val="00177F7A"/>
    <w:pPr>
      <w:spacing w:before="100" w:beforeAutospacing="1" w:after="100" w:afterAutospacing="1"/>
    </w:pPr>
    <w:rPr>
      <w:lang w:val="en-GB" w:eastAsia="en-US"/>
    </w:rPr>
  </w:style>
  <w:style w:type="paragraph" w:styleId="30">
    <w:name w:val="toc 3"/>
    <w:basedOn w:val="a"/>
    <w:next w:val="a"/>
    <w:autoRedefine/>
    <w:uiPriority w:val="39"/>
    <w:qFormat/>
    <w:rsid w:val="00177F7A"/>
    <w:pPr>
      <w:ind w:left="480"/>
    </w:pPr>
  </w:style>
  <w:style w:type="paragraph" w:styleId="21">
    <w:name w:val="Body Text 2"/>
    <w:basedOn w:val="a"/>
    <w:semiHidden/>
    <w:rsid w:val="00177F7A"/>
    <w:pPr>
      <w:spacing w:line="360" w:lineRule="auto"/>
      <w:jc w:val="both"/>
    </w:pPr>
  </w:style>
  <w:style w:type="paragraph" w:styleId="a9">
    <w:name w:val="Body Text Indent"/>
    <w:basedOn w:val="a"/>
    <w:semiHidden/>
    <w:rsid w:val="00177F7A"/>
    <w:pPr>
      <w:spacing w:before="100" w:beforeAutospacing="1" w:after="100" w:afterAutospacing="1" w:line="360" w:lineRule="auto"/>
      <w:ind w:left="360"/>
      <w:jc w:val="both"/>
    </w:pPr>
    <w:rPr>
      <w:rFonts w:ascii="Tahoma" w:eastAsia="Batang" w:hAnsi="Tahoma" w:cs="Tahoma"/>
    </w:rPr>
  </w:style>
  <w:style w:type="paragraph" w:styleId="aa">
    <w:name w:val="header"/>
    <w:basedOn w:val="a"/>
    <w:link w:val="Char2"/>
    <w:uiPriority w:val="99"/>
    <w:rsid w:val="00177F7A"/>
    <w:pPr>
      <w:tabs>
        <w:tab w:val="center" w:pos="4153"/>
        <w:tab w:val="right" w:pos="8306"/>
      </w:tabs>
    </w:pPr>
  </w:style>
  <w:style w:type="character" w:customStyle="1" w:styleId="Char2">
    <w:name w:val="Κεφαλίδα Char"/>
    <w:link w:val="aa"/>
    <w:uiPriority w:val="99"/>
    <w:rsid w:val="005075B2"/>
    <w:rPr>
      <w:sz w:val="24"/>
      <w:szCs w:val="24"/>
    </w:rPr>
  </w:style>
  <w:style w:type="character" w:styleId="HTML">
    <w:name w:val="HTML Cite"/>
    <w:semiHidden/>
    <w:unhideWhenUsed/>
    <w:rsid w:val="00177F7A"/>
    <w:rPr>
      <w:i/>
      <w:iCs/>
    </w:rPr>
  </w:style>
  <w:style w:type="paragraph" w:styleId="ab">
    <w:name w:val="footnote text"/>
    <w:aliases w:val=" Char,Char"/>
    <w:basedOn w:val="a"/>
    <w:link w:val="Char3"/>
    <w:semiHidden/>
    <w:rsid w:val="00177F7A"/>
    <w:rPr>
      <w:sz w:val="20"/>
      <w:szCs w:val="20"/>
    </w:rPr>
  </w:style>
  <w:style w:type="character" w:styleId="ac">
    <w:name w:val="footnote reference"/>
    <w:semiHidden/>
    <w:rsid w:val="00177F7A"/>
    <w:rPr>
      <w:vertAlign w:val="superscript"/>
    </w:rPr>
  </w:style>
  <w:style w:type="character" w:styleId="ad">
    <w:name w:val="Emphasis"/>
    <w:qFormat/>
    <w:rsid w:val="00177F7A"/>
    <w:rPr>
      <w:i/>
      <w:iCs/>
    </w:rPr>
  </w:style>
  <w:style w:type="paragraph" w:styleId="ae">
    <w:name w:val="List Paragraph"/>
    <w:basedOn w:val="a"/>
    <w:uiPriority w:val="34"/>
    <w:qFormat/>
    <w:rsid w:val="00177F7A"/>
    <w:pPr>
      <w:ind w:left="720"/>
    </w:pPr>
  </w:style>
  <w:style w:type="character" w:styleId="af">
    <w:name w:val="annotation reference"/>
    <w:uiPriority w:val="99"/>
    <w:semiHidden/>
    <w:rsid w:val="00177F7A"/>
    <w:rPr>
      <w:sz w:val="16"/>
      <w:szCs w:val="16"/>
    </w:rPr>
  </w:style>
  <w:style w:type="paragraph" w:styleId="af0">
    <w:name w:val="annotation text"/>
    <w:basedOn w:val="a"/>
    <w:link w:val="Char4"/>
    <w:uiPriority w:val="99"/>
    <w:semiHidden/>
    <w:rsid w:val="00177F7A"/>
    <w:rPr>
      <w:sz w:val="20"/>
      <w:szCs w:val="20"/>
    </w:rPr>
  </w:style>
  <w:style w:type="paragraph" w:styleId="22">
    <w:name w:val="Body Text Indent 2"/>
    <w:basedOn w:val="a"/>
    <w:semiHidden/>
    <w:rsid w:val="00177F7A"/>
    <w:pPr>
      <w:spacing w:line="360" w:lineRule="auto"/>
      <w:ind w:left="360" w:firstLine="360"/>
      <w:jc w:val="both"/>
    </w:pPr>
  </w:style>
  <w:style w:type="paragraph" w:styleId="31">
    <w:name w:val="Body Text Indent 3"/>
    <w:basedOn w:val="a"/>
    <w:semiHidden/>
    <w:rsid w:val="00177F7A"/>
    <w:pPr>
      <w:spacing w:line="360" w:lineRule="auto"/>
      <w:ind w:firstLine="720"/>
      <w:jc w:val="both"/>
    </w:pPr>
  </w:style>
  <w:style w:type="character" w:styleId="-0">
    <w:name w:val="FollowedHyperlink"/>
    <w:semiHidden/>
    <w:rsid w:val="00177F7A"/>
    <w:rPr>
      <w:color w:val="800080"/>
      <w:u w:val="single"/>
    </w:rPr>
  </w:style>
  <w:style w:type="character" w:customStyle="1" w:styleId="hps">
    <w:name w:val="hps"/>
    <w:basedOn w:val="a0"/>
    <w:rsid w:val="00177F7A"/>
  </w:style>
  <w:style w:type="character" w:customStyle="1" w:styleId="st">
    <w:name w:val="st"/>
    <w:basedOn w:val="a0"/>
    <w:rsid w:val="00177F7A"/>
  </w:style>
  <w:style w:type="paragraph" w:styleId="af1">
    <w:name w:val="TOC Heading"/>
    <w:basedOn w:val="1"/>
    <w:next w:val="a"/>
    <w:qFormat/>
    <w:rsid w:val="00177F7A"/>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hpsatn">
    <w:name w:val="hps atn"/>
    <w:basedOn w:val="a0"/>
    <w:rsid w:val="00177F7A"/>
  </w:style>
  <w:style w:type="character" w:customStyle="1" w:styleId="CharChar2">
    <w:name w:val="Char Char2"/>
    <w:rsid w:val="00177F7A"/>
    <w:rPr>
      <w:b/>
      <w:i/>
      <w:sz w:val="24"/>
      <w:lang w:val="el-GR" w:eastAsia="el-GR" w:bidi="ar-SA"/>
    </w:rPr>
  </w:style>
  <w:style w:type="paragraph" w:styleId="af2">
    <w:name w:val="table of figures"/>
    <w:aliases w:val="Πίνακας Γραφημάτων"/>
    <w:basedOn w:val="a"/>
    <w:next w:val="a"/>
    <w:semiHidden/>
    <w:rsid w:val="00177F7A"/>
  </w:style>
  <w:style w:type="character" w:customStyle="1" w:styleId="CharChar">
    <w:name w:val="Char Char"/>
    <w:basedOn w:val="a0"/>
    <w:semiHidden/>
    <w:rsid w:val="00177F7A"/>
  </w:style>
  <w:style w:type="character" w:customStyle="1" w:styleId="CharChar1">
    <w:name w:val="Char Char1"/>
    <w:rsid w:val="00177F7A"/>
    <w:rPr>
      <w:sz w:val="24"/>
      <w:szCs w:val="24"/>
    </w:rPr>
  </w:style>
  <w:style w:type="character" w:customStyle="1" w:styleId="journalname">
    <w:name w:val="journalname"/>
    <w:basedOn w:val="a0"/>
    <w:rsid w:val="00177F7A"/>
  </w:style>
  <w:style w:type="character" w:customStyle="1" w:styleId="volume">
    <w:name w:val="volume"/>
    <w:basedOn w:val="a0"/>
    <w:rsid w:val="00177F7A"/>
  </w:style>
  <w:style w:type="character" w:customStyle="1" w:styleId="issue">
    <w:name w:val="issue"/>
    <w:basedOn w:val="a0"/>
    <w:rsid w:val="00177F7A"/>
  </w:style>
  <w:style w:type="character" w:customStyle="1" w:styleId="year">
    <w:name w:val="year"/>
    <w:basedOn w:val="a0"/>
    <w:rsid w:val="00177F7A"/>
  </w:style>
  <w:style w:type="table" w:styleId="af3">
    <w:name w:val="Table Grid"/>
    <w:basedOn w:val="a1"/>
    <w:uiPriority w:val="59"/>
    <w:rsid w:val="007248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
    <w:basedOn w:val="a1"/>
    <w:next w:val="af3"/>
    <w:uiPriority w:val="59"/>
    <w:rsid w:val="00065B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3E8A"/>
  </w:style>
  <w:style w:type="paragraph" w:styleId="40">
    <w:name w:val="toc 4"/>
    <w:basedOn w:val="a"/>
    <w:next w:val="a"/>
    <w:autoRedefine/>
    <w:uiPriority w:val="39"/>
    <w:unhideWhenUsed/>
    <w:rsid w:val="00F07A2C"/>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F07A2C"/>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F07A2C"/>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F07A2C"/>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F07A2C"/>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F07A2C"/>
    <w:pPr>
      <w:spacing w:after="100" w:line="276" w:lineRule="auto"/>
      <w:ind w:left="1760"/>
    </w:pPr>
    <w:rPr>
      <w:rFonts w:ascii="Calibri" w:hAnsi="Calibri"/>
      <w:sz w:val="22"/>
      <w:szCs w:val="22"/>
    </w:rPr>
  </w:style>
  <w:style w:type="paragraph" w:styleId="af4">
    <w:name w:val="No Spacing"/>
    <w:uiPriority w:val="1"/>
    <w:qFormat/>
    <w:rsid w:val="00E37C62"/>
    <w:rPr>
      <w:rFonts w:ascii="Calibri" w:hAnsi="Calibri"/>
      <w:sz w:val="22"/>
      <w:szCs w:val="22"/>
    </w:rPr>
  </w:style>
  <w:style w:type="character" w:styleId="af5">
    <w:name w:val="Placeholder Text"/>
    <w:uiPriority w:val="99"/>
    <w:semiHidden/>
    <w:rsid w:val="007719BD"/>
    <w:rPr>
      <w:color w:val="808080"/>
    </w:rPr>
  </w:style>
  <w:style w:type="character" w:customStyle="1" w:styleId="atn">
    <w:name w:val="atn"/>
    <w:basedOn w:val="a0"/>
    <w:rsid w:val="005075B2"/>
  </w:style>
  <w:style w:type="character" w:customStyle="1" w:styleId="longtext">
    <w:name w:val="long_text"/>
    <w:basedOn w:val="a0"/>
    <w:rsid w:val="005075B2"/>
  </w:style>
  <w:style w:type="character" w:customStyle="1" w:styleId="hpsalt-edited">
    <w:name w:val="hps alt-edited"/>
    <w:basedOn w:val="a0"/>
    <w:rsid w:val="005075B2"/>
  </w:style>
  <w:style w:type="paragraph" w:customStyle="1" w:styleId="Style3">
    <w:name w:val="Style3"/>
    <w:basedOn w:val="a"/>
    <w:rsid w:val="005075B2"/>
    <w:pPr>
      <w:widowControl w:val="0"/>
      <w:autoSpaceDE w:val="0"/>
      <w:autoSpaceDN w:val="0"/>
      <w:adjustRightInd w:val="0"/>
      <w:spacing w:line="319" w:lineRule="exact"/>
      <w:jc w:val="both"/>
    </w:pPr>
    <w:rPr>
      <w:rFonts w:ascii="Segoe UI" w:hAnsi="Segoe UI"/>
    </w:rPr>
  </w:style>
  <w:style w:type="character" w:customStyle="1" w:styleId="FontStyle30">
    <w:name w:val="Font Style30"/>
    <w:rsid w:val="005075B2"/>
    <w:rPr>
      <w:rFonts w:ascii="Segoe UI" w:hAnsi="Segoe UI" w:cs="Segoe UI"/>
      <w:sz w:val="18"/>
      <w:szCs w:val="18"/>
    </w:rPr>
  </w:style>
  <w:style w:type="paragraph" w:customStyle="1" w:styleId="Style2">
    <w:name w:val="Style2"/>
    <w:basedOn w:val="a"/>
    <w:rsid w:val="005075B2"/>
    <w:pPr>
      <w:widowControl w:val="0"/>
      <w:autoSpaceDE w:val="0"/>
      <w:autoSpaceDN w:val="0"/>
      <w:adjustRightInd w:val="0"/>
      <w:spacing w:line="158" w:lineRule="exact"/>
      <w:jc w:val="both"/>
    </w:pPr>
    <w:rPr>
      <w:rFonts w:ascii="Segoe UI" w:hAnsi="Segoe UI"/>
    </w:rPr>
  </w:style>
  <w:style w:type="paragraph" w:customStyle="1" w:styleId="Style7">
    <w:name w:val="Style7"/>
    <w:basedOn w:val="a"/>
    <w:rsid w:val="005075B2"/>
    <w:pPr>
      <w:widowControl w:val="0"/>
      <w:autoSpaceDE w:val="0"/>
      <w:autoSpaceDN w:val="0"/>
      <w:adjustRightInd w:val="0"/>
    </w:pPr>
    <w:rPr>
      <w:rFonts w:ascii="Segoe UI" w:hAnsi="Segoe UI"/>
    </w:rPr>
  </w:style>
  <w:style w:type="character" w:customStyle="1" w:styleId="FontStyle17">
    <w:name w:val="Font Style17"/>
    <w:rsid w:val="005075B2"/>
    <w:rPr>
      <w:rFonts w:ascii="Segoe UI" w:hAnsi="Segoe UI" w:cs="Segoe UI"/>
      <w:b/>
      <w:bCs/>
      <w:sz w:val="12"/>
      <w:szCs w:val="12"/>
    </w:rPr>
  </w:style>
  <w:style w:type="character" w:customStyle="1" w:styleId="FontStyle19">
    <w:name w:val="Font Style19"/>
    <w:rsid w:val="005075B2"/>
    <w:rPr>
      <w:rFonts w:ascii="Segoe UI" w:hAnsi="Segoe UI" w:cs="Segoe UI"/>
      <w:b/>
      <w:bCs/>
      <w:sz w:val="16"/>
      <w:szCs w:val="16"/>
    </w:rPr>
  </w:style>
  <w:style w:type="character" w:customStyle="1" w:styleId="FontStyle25">
    <w:name w:val="Font Style25"/>
    <w:rsid w:val="005075B2"/>
    <w:rPr>
      <w:rFonts w:ascii="Segoe UI" w:hAnsi="Segoe UI" w:cs="Segoe UI"/>
      <w:b/>
      <w:bCs/>
      <w:sz w:val="12"/>
      <w:szCs w:val="12"/>
    </w:rPr>
  </w:style>
  <w:style w:type="paragraph" w:customStyle="1" w:styleId="Style6">
    <w:name w:val="Style6"/>
    <w:basedOn w:val="a"/>
    <w:rsid w:val="005075B2"/>
    <w:pPr>
      <w:widowControl w:val="0"/>
      <w:autoSpaceDE w:val="0"/>
      <w:autoSpaceDN w:val="0"/>
      <w:adjustRightInd w:val="0"/>
      <w:spacing w:line="197" w:lineRule="exact"/>
      <w:jc w:val="both"/>
    </w:pPr>
    <w:rPr>
      <w:rFonts w:ascii="Segoe UI" w:hAnsi="Segoe UI"/>
    </w:rPr>
  </w:style>
  <w:style w:type="character" w:customStyle="1" w:styleId="FontStyle27">
    <w:name w:val="Font Style27"/>
    <w:rsid w:val="005075B2"/>
    <w:rPr>
      <w:rFonts w:ascii="Cambria" w:hAnsi="Cambria" w:cs="Cambria"/>
      <w:b/>
      <w:bCs/>
      <w:sz w:val="14"/>
      <w:szCs w:val="14"/>
    </w:rPr>
  </w:style>
  <w:style w:type="character" w:customStyle="1" w:styleId="FontStyle28">
    <w:name w:val="Font Style28"/>
    <w:rsid w:val="005075B2"/>
    <w:rPr>
      <w:rFonts w:ascii="Segoe UI" w:hAnsi="Segoe UI" w:cs="Segoe UI"/>
      <w:sz w:val="14"/>
      <w:szCs w:val="14"/>
    </w:rPr>
  </w:style>
  <w:style w:type="character" w:customStyle="1" w:styleId="FontStyle15">
    <w:name w:val="Font Style15"/>
    <w:rsid w:val="005075B2"/>
    <w:rPr>
      <w:rFonts w:ascii="Segoe UI" w:hAnsi="Segoe UI" w:cs="Segoe UI"/>
      <w:sz w:val="18"/>
      <w:szCs w:val="18"/>
    </w:rPr>
  </w:style>
  <w:style w:type="table" w:customStyle="1" w:styleId="32">
    <w:name w:val="Πλέγμα πίνακα3"/>
    <w:basedOn w:val="a1"/>
    <w:next w:val="af3"/>
    <w:rsid w:val="00507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Κείμενο υποσημείωσης Char"/>
    <w:aliases w:val=" Char Char,Char Char3"/>
    <w:basedOn w:val="a0"/>
    <w:link w:val="ab"/>
    <w:uiPriority w:val="99"/>
    <w:semiHidden/>
    <w:rsid w:val="006572C3"/>
  </w:style>
  <w:style w:type="character" w:customStyle="1" w:styleId="3Char">
    <w:name w:val="Επικεφαλίδα 3 Char"/>
    <w:basedOn w:val="a0"/>
    <w:link w:val="3"/>
    <w:rsid w:val="00022B4A"/>
    <w:rPr>
      <w:b/>
      <w:bCs/>
      <w:sz w:val="27"/>
      <w:szCs w:val="27"/>
      <w:lang w:val="en-GB" w:eastAsia="en-US"/>
    </w:rPr>
  </w:style>
  <w:style w:type="character" w:customStyle="1" w:styleId="FootnoteCharacters">
    <w:name w:val="Footnote Characters"/>
    <w:rsid w:val="00F83D84"/>
    <w:rPr>
      <w:vertAlign w:val="superscript"/>
    </w:rPr>
  </w:style>
  <w:style w:type="paragraph" w:styleId="af6">
    <w:name w:val="List"/>
    <w:basedOn w:val="a7"/>
    <w:rsid w:val="00F83D84"/>
    <w:pPr>
      <w:suppressAutoHyphens/>
      <w:autoSpaceDE w:val="0"/>
    </w:pPr>
    <w:rPr>
      <w:rFonts w:ascii="TimesNewRomanPSMT" w:hAnsi="TimesNewRomanPSMT" w:cs="Times New Roman"/>
      <w:b w:val="0"/>
      <w:bCs w:val="0"/>
      <w:i w:val="0"/>
      <w:sz w:val="24"/>
      <w:szCs w:val="24"/>
      <w:lang w:val="en-GB" w:eastAsia="ar-SA"/>
    </w:rPr>
  </w:style>
  <w:style w:type="character" w:customStyle="1" w:styleId="citation">
    <w:name w:val="citation"/>
    <w:basedOn w:val="a0"/>
    <w:rsid w:val="003C1734"/>
  </w:style>
  <w:style w:type="character" w:customStyle="1" w:styleId="mw-cite-backlink">
    <w:name w:val="mw-cite-backlink"/>
    <w:basedOn w:val="a0"/>
    <w:rsid w:val="003C1734"/>
  </w:style>
  <w:style w:type="character" w:customStyle="1" w:styleId="cite-accessibility-label">
    <w:name w:val="cite-accessibility-label"/>
    <w:basedOn w:val="a0"/>
    <w:rsid w:val="003C1734"/>
  </w:style>
  <w:style w:type="character" w:customStyle="1" w:styleId="Char4">
    <w:name w:val="Κείμενο σχολίου Char"/>
    <w:basedOn w:val="a0"/>
    <w:link w:val="af0"/>
    <w:uiPriority w:val="99"/>
    <w:semiHidden/>
    <w:rsid w:val="00C360FC"/>
  </w:style>
  <w:style w:type="paragraph" w:customStyle="1" w:styleId="Standard">
    <w:name w:val="Standard"/>
    <w:rsid w:val="006436E9"/>
    <w:pPr>
      <w:widowControl w:val="0"/>
      <w:suppressAutoHyphens/>
      <w:autoSpaceDN w:val="0"/>
      <w:textAlignment w:val="baseline"/>
    </w:pPr>
    <w:rPr>
      <w:rFonts w:eastAsia="SimSun" w:cs="Mangal"/>
      <w:kern w:val="3"/>
      <w:sz w:val="24"/>
      <w:szCs w:val="24"/>
      <w:lang w:eastAsia="zh-CN" w:bidi="hi-IN"/>
    </w:rPr>
  </w:style>
  <w:style w:type="numbering" w:customStyle="1" w:styleId="RTFNum2">
    <w:name w:val="RTF_Num 2"/>
    <w:basedOn w:val="a2"/>
    <w:rsid w:val="006436E9"/>
    <w:pPr>
      <w:numPr>
        <w:numId w:val="38"/>
      </w:numPr>
    </w:pPr>
  </w:style>
  <w:style w:type="table" w:customStyle="1" w:styleId="110">
    <w:name w:val="Μεσαία σκίαση 11"/>
    <w:basedOn w:val="a1"/>
    <w:uiPriority w:val="63"/>
    <w:rsid w:val="00052D3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7">
    <w:name w:val="endnote text"/>
    <w:basedOn w:val="a"/>
    <w:link w:val="Char5"/>
    <w:uiPriority w:val="99"/>
    <w:semiHidden/>
    <w:unhideWhenUsed/>
    <w:rsid w:val="00052D35"/>
    <w:rPr>
      <w:rFonts w:asciiTheme="minorHAnsi" w:eastAsiaTheme="minorHAnsi" w:hAnsiTheme="minorHAnsi" w:cstheme="minorBidi"/>
      <w:sz w:val="20"/>
      <w:szCs w:val="20"/>
      <w:lang w:eastAsia="en-US"/>
    </w:rPr>
  </w:style>
  <w:style w:type="character" w:customStyle="1" w:styleId="Char5">
    <w:name w:val="Κείμενο σημείωσης τέλους Char"/>
    <w:basedOn w:val="a0"/>
    <w:link w:val="af7"/>
    <w:uiPriority w:val="99"/>
    <w:semiHidden/>
    <w:rsid w:val="00052D35"/>
    <w:rPr>
      <w:rFonts w:asciiTheme="minorHAnsi" w:eastAsiaTheme="minorHAnsi" w:hAnsiTheme="minorHAnsi" w:cstheme="minorBidi"/>
      <w:lang w:eastAsia="en-US"/>
    </w:rPr>
  </w:style>
  <w:style w:type="character" w:styleId="af8">
    <w:name w:val="endnote reference"/>
    <w:basedOn w:val="a0"/>
    <w:uiPriority w:val="99"/>
    <w:semiHidden/>
    <w:unhideWhenUsed/>
    <w:rsid w:val="00052D35"/>
    <w:rPr>
      <w:vertAlign w:val="superscript"/>
    </w:rPr>
  </w:style>
  <w:style w:type="table" w:customStyle="1" w:styleId="12">
    <w:name w:val="Ανοιχτόχρωμο πλέγμα1"/>
    <w:basedOn w:val="a1"/>
    <w:uiPriority w:val="62"/>
    <w:rsid w:val="009C57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3">
    <w:name w:val="P3"/>
    <w:basedOn w:val="a"/>
    <w:hidden/>
    <w:rsid w:val="00EE6E12"/>
    <w:pPr>
      <w:widowControl w:val="0"/>
      <w:adjustRightInd w:val="0"/>
      <w:spacing w:after="120"/>
    </w:pPr>
    <w:rPr>
      <w:rFonts w:eastAsia="Arial1" w:cs="Tahoma"/>
      <w:szCs w:val="20"/>
    </w:rPr>
  </w:style>
  <w:style w:type="paragraph" w:customStyle="1" w:styleId="P4">
    <w:name w:val="P4"/>
    <w:basedOn w:val="a"/>
    <w:hidden/>
    <w:rsid w:val="00EE6E12"/>
    <w:pPr>
      <w:widowControl w:val="0"/>
      <w:adjustRightInd w:val="0"/>
      <w:spacing w:after="120"/>
    </w:pPr>
    <w:rPr>
      <w:rFonts w:eastAsia="Arial1" w:cs="Tahoma"/>
      <w:szCs w:val="20"/>
    </w:rPr>
  </w:style>
  <w:style w:type="paragraph" w:customStyle="1" w:styleId="P7">
    <w:name w:val="P7"/>
    <w:basedOn w:val="a"/>
    <w:hidden/>
    <w:rsid w:val="00EE6E12"/>
    <w:pPr>
      <w:widowControl w:val="0"/>
      <w:adjustRightInd w:val="0"/>
      <w:spacing w:after="120"/>
    </w:pPr>
    <w:rPr>
      <w:rFonts w:eastAsia="Arial1" w:cs="Tahoma"/>
      <w:szCs w:val="20"/>
    </w:rPr>
  </w:style>
  <w:style w:type="character" w:customStyle="1" w:styleId="T2">
    <w:name w:val="T2"/>
    <w:hidden/>
    <w:rsid w:val="00EE6E12"/>
  </w:style>
  <w:style w:type="character" w:customStyle="1" w:styleId="T4">
    <w:name w:val="T4"/>
    <w:hidden/>
    <w:rsid w:val="00EE6E12"/>
  </w:style>
  <w:style w:type="paragraph" w:styleId="af9">
    <w:name w:val="annotation subject"/>
    <w:basedOn w:val="af0"/>
    <w:next w:val="af0"/>
    <w:link w:val="Char6"/>
    <w:uiPriority w:val="99"/>
    <w:semiHidden/>
    <w:unhideWhenUsed/>
    <w:rsid w:val="00EC0474"/>
    <w:rPr>
      <w:b/>
      <w:bCs/>
    </w:rPr>
  </w:style>
  <w:style w:type="character" w:customStyle="1" w:styleId="Char6">
    <w:name w:val="Θέμα σχολίου Char"/>
    <w:basedOn w:val="Char4"/>
    <w:link w:val="af9"/>
    <w:uiPriority w:val="99"/>
    <w:semiHidden/>
    <w:rsid w:val="00EC0474"/>
    <w:rPr>
      <w:b/>
      <w:bCs/>
    </w:rPr>
  </w:style>
  <w:style w:type="table" w:customStyle="1" w:styleId="23">
    <w:name w:val="Πλέγμα πίνακα2"/>
    <w:basedOn w:val="a1"/>
    <w:next w:val="af3"/>
    <w:uiPriority w:val="59"/>
    <w:rsid w:val="00197B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List 2 Accent 3"/>
    <w:basedOn w:val="a1"/>
    <w:uiPriority w:val="66"/>
    <w:rsid w:val="00573E3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
    <w:name w:val="Κείμενο πλαισίου Char"/>
    <w:basedOn w:val="a0"/>
    <w:link w:val="a3"/>
    <w:uiPriority w:val="99"/>
    <w:semiHidden/>
    <w:rsid w:val="009F7E1A"/>
    <w:rPr>
      <w:rFonts w:ascii="Tahoma" w:hAnsi="Tahoma" w:cs="Tahoma"/>
      <w:sz w:val="16"/>
      <w:szCs w:val="16"/>
    </w:rPr>
  </w:style>
  <w:style w:type="character" w:styleId="afa">
    <w:name w:val="Subtle Emphasis"/>
    <w:uiPriority w:val="19"/>
    <w:qFormat/>
    <w:rsid w:val="00D4417C"/>
    <w:rPr>
      <w:i/>
      <w:iCs/>
      <w:color w:val="5A5A5A"/>
    </w:rPr>
  </w:style>
  <w:style w:type="paragraph" w:styleId="33">
    <w:name w:val="Body Text 3"/>
    <w:basedOn w:val="a"/>
    <w:link w:val="3Char0"/>
    <w:uiPriority w:val="99"/>
    <w:semiHidden/>
    <w:unhideWhenUsed/>
    <w:rsid w:val="0020033D"/>
    <w:pPr>
      <w:spacing w:after="120"/>
    </w:pPr>
    <w:rPr>
      <w:sz w:val="16"/>
      <w:szCs w:val="16"/>
    </w:rPr>
  </w:style>
  <w:style w:type="character" w:customStyle="1" w:styleId="3Char0">
    <w:name w:val="Σώμα κείμενου 3 Char"/>
    <w:basedOn w:val="a0"/>
    <w:link w:val="33"/>
    <w:uiPriority w:val="99"/>
    <w:semiHidden/>
    <w:rsid w:val="0020033D"/>
    <w:rPr>
      <w:sz w:val="16"/>
      <w:szCs w:val="16"/>
    </w:rPr>
  </w:style>
  <w:style w:type="character" w:customStyle="1" w:styleId="9Char">
    <w:name w:val="Επικεφαλίδα 9 Char"/>
    <w:basedOn w:val="a0"/>
    <w:link w:val="9"/>
    <w:uiPriority w:val="9"/>
    <w:semiHidden/>
    <w:rsid w:val="0094350A"/>
    <w:rPr>
      <w:rFonts w:asciiTheme="majorHAnsi" w:eastAsiaTheme="majorEastAsia" w:hAnsiTheme="majorHAnsi" w:cstheme="majorBidi"/>
      <w:i/>
      <w:iCs/>
      <w:color w:val="404040" w:themeColor="text1" w:themeTint="BF"/>
    </w:rPr>
  </w:style>
  <w:style w:type="character" w:customStyle="1" w:styleId="Bodytext">
    <w:name w:val="Body text_"/>
    <w:basedOn w:val="a0"/>
    <w:link w:val="13"/>
    <w:rsid w:val="008B721E"/>
    <w:rPr>
      <w:rFonts w:ascii="Segoe UI" w:eastAsia="Segoe UI" w:hAnsi="Segoe UI" w:cs="Segoe UI"/>
      <w:sz w:val="15"/>
      <w:szCs w:val="15"/>
      <w:shd w:val="clear" w:color="auto" w:fill="FFFFFF"/>
    </w:rPr>
  </w:style>
  <w:style w:type="paragraph" w:customStyle="1" w:styleId="13">
    <w:name w:val="Σώμα κειμένου1"/>
    <w:basedOn w:val="a"/>
    <w:link w:val="Bodytext"/>
    <w:rsid w:val="008B721E"/>
    <w:pPr>
      <w:widowControl w:val="0"/>
      <w:shd w:val="clear" w:color="auto" w:fill="FFFFFF"/>
      <w:spacing w:before="60" w:after="2340" w:line="0" w:lineRule="atLeast"/>
      <w:ind w:hanging="460"/>
      <w:jc w:val="center"/>
    </w:pPr>
    <w:rPr>
      <w:rFonts w:ascii="Segoe UI" w:eastAsia="Segoe UI" w:hAnsi="Segoe UI" w:cs="Segoe UI"/>
      <w:sz w:val="15"/>
      <w:szCs w:val="15"/>
    </w:rPr>
  </w:style>
  <w:style w:type="character" w:customStyle="1" w:styleId="Bodytext5">
    <w:name w:val="Body text (5)_"/>
    <w:basedOn w:val="a0"/>
    <w:link w:val="Bodytext50"/>
    <w:rsid w:val="008B721E"/>
    <w:rPr>
      <w:rFonts w:ascii="Segoe UI" w:eastAsia="Segoe UI" w:hAnsi="Segoe UI" w:cs="Segoe UI"/>
      <w:b/>
      <w:bCs/>
      <w:sz w:val="15"/>
      <w:szCs w:val="15"/>
      <w:shd w:val="clear" w:color="auto" w:fill="FFFFFF"/>
    </w:rPr>
  </w:style>
  <w:style w:type="paragraph" w:customStyle="1" w:styleId="Bodytext50">
    <w:name w:val="Body text (5)"/>
    <w:basedOn w:val="a"/>
    <w:link w:val="Bodytext5"/>
    <w:rsid w:val="008B721E"/>
    <w:pPr>
      <w:widowControl w:val="0"/>
      <w:shd w:val="clear" w:color="auto" w:fill="FFFFFF"/>
      <w:spacing w:before="600" w:line="274" w:lineRule="exact"/>
    </w:pPr>
    <w:rPr>
      <w:rFonts w:ascii="Segoe UI" w:eastAsia="Segoe UI" w:hAnsi="Segoe UI" w:cs="Segoe UI"/>
      <w:b/>
      <w:bCs/>
      <w:sz w:val="15"/>
      <w:szCs w:val="15"/>
    </w:rPr>
  </w:style>
  <w:style w:type="character" w:customStyle="1" w:styleId="BodytextItalic">
    <w:name w:val="Body text + Italic"/>
    <w:basedOn w:val="Bodytext"/>
    <w:rsid w:val="008B721E"/>
    <w:rPr>
      <w:rFonts w:ascii="Segoe UI" w:eastAsia="Segoe UI" w:hAnsi="Segoe UI" w:cs="Segoe UI"/>
      <w:i/>
      <w:iCs/>
      <w:color w:val="000000"/>
      <w:spacing w:val="0"/>
      <w:w w:val="100"/>
      <w:position w:val="0"/>
      <w:sz w:val="15"/>
      <w:szCs w:val="15"/>
      <w:shd w:val="clear" w:color="auto" w:fill="FFFFFF"/>
      <w:lang w:val="el-GR"/>
    </w:rPr>
  </w:style>
  <w:style w:type="character" w:customStyle="1" w:styleId="Bodytext16">
    <w:name w:val="Body text (16)_"/>
    <w:basedOn w:val="a0"/>
    <w:link w:val="Bodytext160"/>
    <w:rsid w:val="008B721E"/>
    <w:rPr>
      <w:rFonts w:ascii="MS Reference Sans Serif" w:eastAsia="MS Reference Sans Serif" w:hAnsi="MS Reference Sans Serif" w:cs="MS Reference Sans Serif"/>
      <w:b/>
      <w:bCs/>
      <w:i/>
      <w:iCs/>
      <w:sz w:val="16"/>
      <w:szCs w:val="16"/>
      <w:shd w:val="clear" w:color="auto" w:fill="FFFFFF"/>
    </w:rPr>
  </w:style>
  <w:style w:type="paragraph" w:customStyle="1" w:styleId="Bodytext160">
    <w:name w:val="Body text (16)"/>
    <w:basedOn w:val="a"/>
    <w:link w:val="Bodytext16"/>
    <w:rsid w:val="008B721E"/>
    <w:pPr>
      <w:widowControl w:val="0"/>
      <w:shd w:val="clear" w:color="auto" w:fill="FFFFFF"/>
      <w:spacing w:line="0" w:lineRule="atLeast"/>
      <w:jc w:val="right"/>
    </w:pPr>
    <w:rPr>
      <w:rFonts w:ascii="MS Reference Sans Serif" w:eastAsia="MS Reference Sans Serif" w:hAnsi="MS Reference Sans Serif" w:cs="MS Reference Sans Serif"/>
      <w:b/>
      <w:bCs/>
      <w:i/>
      <w:iCs/>
      <w:sz w:val="16"/>
      <w:szCs w:val="16"/>
    </w:rPr>
  </w:style>
  <w:style w:type="character" w:customStyle="1" w:styleId="Bodytext18">
    <w:name w:val="Body text (18)_"/>
    <w:basedOn w:val="a0"/>
    <w:link w:val="Bodytext180"/>
    <w:rsid w:val="008B721E"/>
    <w:rPr>
      <w:rFonts w:ascii="Lucida Sans Unicode" w:eastAsia="Lucida Sans Unicode" w:hAnsi="Lucida Sans Unicode" w:cs="Lucida Sans Unicode"/>
      <w:sz w:val="16"/>
      <w:szCs w:val="16"/>
      <w:shd w:val="clear" w:color="auto" w:fill="FFFFFF"/>
    </w:rPr>
  </w:style>
  <w:style w:type="paragraph" w:customStyle="1" w:styleId="Bodytext180">
    <w:name w:val="Body text (18)"/>
    <w:basedOn w:val="a"/>
    <w:link w:val="Bodytext18"/>
    <w:rsid w:val="008B721E"/>
    <w:pPr>
      <w:widowControl w:val="0"/>
      <w:shd w:val="clear" w:color="auto" w:fill="FFFFFF"/>
      <w:spacing w:line="247" w:lineRule="exact"/>
      <w:jc w:val="both"/>
    </w:pPr>
    <w:rPr>
      <w:rFonts w:ascii="Lucida Sans Unicode" w:eastAsia="Lucida Sans Unicode" w:hAnsi="Lucida Sans Unicode" w:cs="Lucida Sans Unicode"/>
      <w:sz w:val="16"/>
      <w:szCs w:val="16"/>
    </w:rPr>
  </w:style>
  <w:style w:type="character" w:customStyle="1" w:styleId="Bodytext18Spacing0pt">
    <w:name w:val="Body text (18) + Spacing 0 pt"/>
    <w:basedOn w:val="Bodytext18"/>
    <w:rsid w:val="008B721E"/>
    <w:rPr>
      <w:rFonts w:ascii="Lucida Sans Unicode" w:eastAsia="Lucida Sans Unicode" w:hAnsi="Lucida Sans Unicode" w:cs="Lucida Sans Unicode"/>
      <w:color w:val="000000"/>
      <w:spacing w:val="-10"/>
      <w:w w:val="100"/>
      <w:position w:val="0"/>
      <w:sz w:val="16"/>
      <w:szCs w:val="16"/>
      <w:shd w:val="clear" w:color="auto" w:fill="FFFFFF"/>
      <w:lang w:val="el-GR"/>
    </w:rPr>
  </w:style>
  <w:style w:type="character" w:customStyle="1" w:styleId="BodytextItalicSpacing1pt">
    <w:name w:val="Body text + Italic;Spacing 1 pt"/>
    <w:basedOn w:val="Bodytext"/>
    <w:rsid w:val="008B721E"/>
    <w:rPr>
      <w:rFonts w:ascii="Segoe UI" w:eastAsia="Segoe UI" w:hAnsi="Segoe UI" w:cs="Segoe UI"/>
      <w:i/>
      <w:iCs/>
      <w:color w:val="000000"/>
      <w:spacing w:val="20"/>
      <w:w w:val="100"/>
      <w:position w:val="0"/>
      <w:sz w:val="15"/>
      <w:szCs w:val="15"/>
      <w:shd w:val="clear" w:color="auto" w:fill="FFFFFF"/>
      <w:lang w:val="en-US"/>
    </w:rPr>
  </w:style>
  <w:style w:type="character" w:customStyle="1" w:styleId="BodytextLucidaSansUnicode8pt">
    <w:name w:val="Body text + Lucida Sans Unicode;8 pt"/>
    <w:basedOn w:val="Bodytext"/>
    <w:rsid w:val="008B721E"/>
    <w:rPr>
      <w:rFonts w:ascii="Lucida Sans Unicode" w:eastAsia="Lucida Sans Unicode" w:hAnsi="Lucida Sans Unicode" w:cs="Lucida Sans Unicode"/>
      <w:color w:val="000000"/>
      <w:spacing w:val="0"/>
      <w:w w:val="100"/>
      <w:position w:val="0"/>
      <w:sz w:val="16"/>
      <w:szCs w:val="16"/>
      <w:shd w:val="clear" w:color="auto" w:fill="FFFFFF"/>
      <w:lang w:val="el-GR"/>
    </w:rPr>
  </w:style>
  <w:style w:type="character" w:customStyle="1" w:styleId="Tablecaption4">
    <w:name w:val="Table caption (4)_"/>
    <w:basedOn w:val="a0"/>
    <w:link w:val="Tablecaption40"/>
    <w:rsid w:val="008B721E"/>
    <w:rPr>
      <w:rFonts w:ascii="Segoe UI" w:eastAsia="Segoe UI" w:hAnsi="Segoe UI" w:cs="Segoe UI"/>
      <w:sz w:val="15"/>
      <w:szCs w:val="15"/>
      <w:shd w:val="clear" w:color="auto" w:fill="FFFFFF"/>
    </w:rPr>
  </w:style>
  <w:style w:type="paragraph" w:customStyle="1" w:styleId="Tablecaption40">
    <w:name w:val="Table caption (4)"/>
    <w:basedOn w:val="a"/>
    <w:link w:val="Tablecaption4"/>
    <w:rsid w:val="008B721E"/>
    <w:pPr>
      <w:widowControl w:val="0"/>
      <w:shd w:val="clear" w:color="auto" w:fill="FFFFFF"/>
      <w:spacing w:line="0" w:lineRule="atLeast"/>
    </w:pPr>
    <w:rPr>
      <w:rFonts w:ascii="Segoe UI" w:eastAsia="Segoe UI" w:hAnsi="Segoe UI" w:cs="Segoe UI"/>
      <w:sz w:val="15"/>
      <w:szCs w:val="15"/>
    </w:rPr>
  </w:style>
  <w:style w:type="character" w:customStyle="1" w:styleId="Bodytext7ptItalic">
    <w:name w:val="Body text + 7 pt;Italic"/>
    <w:basedOn w:val="Bodytext"/>
    <w:rsid w:val="008B721E"/>
    <w:rPr>
      <w:rFonts w:ascii="Segoe UI" w:eastAsia="Segoe UI" w:hAnsi="Segoe UI" w:cs="Segoe UI"/>
      <w:i/>
      <w:iCs/>
      <w:color w:val="000000"/>
      <w:spacing w:val="0"/>
      <w:w w:val="100"/>
      <w:position w:val="0"/>
      <w:sz w:val="14"/>
      <w:szCs w:val="14"/>
      <w:shd w:val="clear" w:color="auto" w:fill="FFFFFF"/>
      <w:lang w:val="el-GR"/>
    </w:rPr>
  </w:style>
  <w:style w:type="table" w:styleId="24">
    <w:name w:val="Table Colorful 2"/>
    <w:basedOn w:val="a1"/>
    <w:rsid w:val="009B2D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pple-style-span">
    <w:name w:val="apple-style-span"/>
    <w:basedOn w:val="a0"/>
    <w:rsid w:val="008C052C"/>
  </w:style>
  <w:style w:type="character" w:customStyle="1" w:styleId="item-source">
    <w:name w:val="item-source"/>
    <w:basedOn w:val="a0"/>
    <w:rsid w:val="002F7261"/>
  </w:style>
  <w:style w:type="character" w:customStyle="1" w:styleId="edition">
    <w:name w:val="edition"/>
    <w:basedOn w:val="a0"/>
    <w:rsid w:val="002F7261"/>
  </w:style>
  <w:style w:type="paragraph" w:styleId="afb">
    <w:name w:val="Revision"/>
    <w:hidden/>
    <w:uiPriority w:val="99"/>
    <w:semiHidden/>
    <w:rsid w:val="0000237C"/>
    <w:rPr>
      <w:sz w:val="24"/>
      <w:szCs w:val="24"/>
    </w:rPr>
  </w:style>
  <w:style w:type="paragraph" w:styleId="afc">
    <w:name w:val="Plain Text"/>
    <w:basedOn w:val="a"/>
    <w:link w:val="Char7"/>
    <w:uiPriority w:val="99"/>
    <w:semiHidden/>
    <w:unhideWhenUsed/>
    <w:rsid w:val="00B44614"/>
    <w:rPr>
      <w:rFonts w:ascii="Calibri" w:eastAsiaTheme="minorHAnsi" w:hAnsi="Calibri" w:cstheme="minorBidi"/>
      <w:sz w:val="22"/>
      <w:szCs w:val="21"/>
      <w:lang w:eastAsia="en-US"/>
    </w:rPr>
  </w:style>
  <w:style w:type="character" w:customStyle="1" w:styleId="Char7">
    <w:name w:val="Απλό κείμενο Char"/>
    <w:basedOn w:val="a0"/>
    <w:link w:val="afc"/>
    <w:uiPriority w:val="99"/>
    <w:semiHidden/>
    <w:rsid w:val="00B4461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E4513"/>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Char"/>
    <w:qFormat/>
    <w:pPr>
      <w:keepNext/>
      <w:spacing w:before="240" w:after="60"/>
      <w:outlineLvl w:val="1"/>
    </w:pPr>
    <w:rPr>
      <w:rFonts w:ascii="Arial" w:hAnsi="Arial" w:cs="Arial"/>
      <w:b/>
      <w:bCs/>
      <w:i/>
      <w:iCs/>
      <w:sz w:val="28"/>
      <w:szCs w:val="28"/>
    </w:rPr>
  </w:style>
  <w:style w:type="paragraph" w:styleId="3">
    <w:name w:val="heading 3"/>
    <w:basedOn w:val="a"/>
    <w:link w:val="3Char"/>
    <w:qFormat/>
    <w:pPr>
      <w:spacing w:before="100" w:beforeAutospacing="1" w:after="100" w:afterAutospacing="1"/>
      <w:outlineLvl w:val="2"/>
    </w:pPr>
    <w:rPr>
      <w:b/>
      <w:bCs/>
      <w:sz w:val="27"/>
      <w:szCs w:val="27"/>
      <w:lang w:val="en-GB" w:eastAsia="en-US"/>
    </w:rPr>
  </w:style>
  <w:style w:type="paragraph" w:styleId="4">
    <w:name w:val="heading 4"/>
    <w:basedOn w:val="a"/>
    <w:next w:val="a"/>
    <w:qFormat/>
    <w:pPr>
      <w:keepNext/>
      <w:outlineLvl w:val="3"/>
    </w:pPr>
    <w:rPr>
      <w:b/>
      <w:szCs w:val="20"/>
    </w:rPr>
  </w:style>
  <w:style w:type="paragraph" w:styleId="5">
    <w:name w:val="heading 5"/>
    <w:basedOn w:val="a"/>
    <w:next w:val="a"/>
    <w:qFormat/>
    <w:pPr>
      <w:keepNext/>
      <w:jc w:val="center"/>
      <w:outlineLvl w:val="4"/>
    </w:pPr>
    <w:rPr>
      <w:b/>
      <w:i/>
      <w:szCs w:val="20"/>
    </w:rPr>
  </w:style>
  <w:style w:type="paragraph" w:styleId="6">
    <w:name w:val="heading 6"/>
    <w:basedOn w:val="a"/>
    <w:next w:val="a"/>
    <w:qFormat/>
    <w:pPr>
      <w:keepNext/>
      <w:spacing w:line="360" w:lineRule="auto"/>
      <w:ind w:left="360"/>
      <w:jc w:val="both"/>
      <w:outlineLvl w:val="5"/>
    </w:pPr>
    <w:rPr>
      <w:b/>
      <w:bCs/>
      <w:u w:val="single"/>
    </w:rPr>
  </w:style>
  <w:style w:type="paragraph" w:styleId="7">
    <w:name w:val="heading 7"/>
    <w:basedOn w:val="a"/>
    <w:next w:val="a"/>
    <w:qFormat/>
    <w:pPr>
      <w:keepNext/>
      <w:spacing w:line="360" w:lineRule="auto"/>
      <w:jc w:val="both"/>
      <w:outlineLvl w:val="6"/>
    </w:pPr>
    <w:rPr>
      <w:b/>
      <w:bCs/>
    </w:rPr>
  </w:style>
  <w:style w:type="paragraph" w:styleId="9">
    <w:name w:val="heading 9"/>
    <w:basedOn w:val="a"/>
    <w:next w:val="a"/>
    <w:link w:val="9Char"/>
    <w:uiPriority w:val="9"/>
    <w:semiHidden/>
    <w:unhideWhenUsed/>
    <w:qFormat/>
    <w:rsid w:val="009435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065BB8"/>
    <w:rPr>
      <w:rFonts w:ascii="Arial" w:hAnsi="Arial" w:cs="Arial"/>
      <w:b/>
      <w:bCs/>
      <w:i/>
      <w:iCs/>
      <w:sz w:val="28"/>
      <w:szCs w:val="28"/>
    </w:rPr>
  </w:style>
  <w:style w:type="paragraph" w:customStyle="1" w:styleId="Default">
    <w:name w:val="Default"/>
    <w:pPr>
      <w:autoSpaceDE w:val="0"/>
      <w:autoSpaceDN w:val="0"/>
      <w:adjustRightInd w:val="0"/>
    </w:pPr>
    <w:rPr>
      <w:color w:val="000000"/>
      <w:sz w:val="24"/>
      <w:szCs w:val="24"/>
    </w:rPr>
  </w:style>
  <w:style w:type="paragraph" w:styleId="a3">
    <w:name w:val="Balloon Text"/>
    <w:basedOn w:val="a"/>
    <w:link w:val="Char"/>
    <w:uiPriority w:val="99"/>
    <w:semiHidden/>
    <w:rPr>
      <w:rFonts w:ascii="Tahoma" w:hAnsi="Tahoma" w:cs="Tahoma"/>
      <w:sz w:val="16"/>
      <w:szCs w:val="16"/>
    </w:rPr>
  </w:style>
  <w:style w:type="paragraph" w:styleId="a4">
    <w:name w:val="footer"/>
    <w:basedOn w:val="a"/>
    <w:link w:val="Char0"/>
    <w:uiPriority w:val="99"/>
    <w:pPr>
      <w:tabs>
        <w:tab w:val="center" w:pos="4153"/>
        <w:tab w:val="right" w:pos="8306"/>
      </w:tabs>
    </w:pPr>
  </w:style>
  <w:style w:type="character" w:customStyle="1" w:styleId="Char0">
    <w:name w:val="Υποσέλιδο Char"/>
    <w:link w:val="a4"/>
    <w:uiPriority w:val="99"/>
    <w:rsid w:val="005075B2"/>
    <w:rPr>
      <w:sz w:val="24"/>
      <w:szCs w:val="24"/>
    </w:rPr>
  </w:style>
  <w:style w:type="character" w:styleId="a5">
    <w:name w:val="page number"/>
    <w:basedOn w:val="a0"/>
  </w:style>
  <w:style w:type="character" w:styleId="-">
    <w:name w:val="Hyperlink"/>
    <w:uiPriority w:val="99"/>
    <w:rPr>
      <w:color w:val="0000FF"/>
      <w:u w:val="single"/>
    </w:rPr>
  </w:style>
  <w:style w:type="paragraph" w:styleId="10">
    <w:name w:val="toc 1"/>
    <w:basedOn w:val="a"/>
    <w:next w:val="a"/>
    <w:autoRedefine/>
    <w:uiPriority w:val="39"/>
    <w:qFormat/>
    <w:pPr>
      <w:tabs>
        <w:tab w:val="right" w:leader="dot" w:pos="8296"/>
      </w:tabs>
      <w:ind w:left="180"/>
    </w:pPr>
    <w:rPr>
      <w:noProof/>
    </w:rPr>
  </w:style>
  <w:style w:type="paragraph" w:styleId="20">
    <w:name w:val="toc 2"/>
    <w:basedOn w:val="a"/>
    <w:next w:val="a"/>
    <w:autoRedefine/>
    <w:uiPriority w:val="39"/>
    <w:qFormat/>
    <w:pPr>
      <w:ind w:left="240"/>
    </w:pPr>
  </w:style>
  <w:style w:type="character" w:customStyle="1" w:styleId="1Char">
    <w:name w:val="Επικεφαλίδα 1 Char"/>
    <w:rPr>
      <w:rFonts w:ascii="Arial" w:hAnsi="Arial" w:cs="Arial"/>
      <w:b/>
      <w:bCs/>
      <w:kern w:val="32"/>
      <w:sz w:val="32"/>
      <w:szCs w:val="32"/>
      <w:lang w:val="el-GR" w:eastAsia="el-GR" w:bidi="ar-SA"/>
    </w:rPr>
  </w:style>
  <w:style w:type="paragraph" w:styleId="a6">
    <w:name w:val="caption"/>
    <w:basedOn w:val="a"/>
    <w:next w:val="a"/>
    <w:uiPriority w:val="35"/>
    <w:qFormat/>
    <w:pPr>
      <w:ind w:right="-4440"/>
    </w:pPr>
    <w:rPr>
      <w:b/>
      <w:sz w:val="28"/>
      <w:szCs w:val="20"/>
    </w:rPr>
  </w:style>
  <w:style w:type="paragraph" w:styleId="a7">
    <w:name w:val="Body Text"/>
    <w:basedOn w:val="a"/>
    <w:link w:val="Char1"/>
    <w:semiHidden/>
    <w:pPr>
      <w:jc w:val="both"/>
    </w:pPr>
    <w:rPr>
      <w:rFonts w:ascii="Arial" w:hAnsi="Arial" w:cs="Arial"/>
      <w:b/>
      <w:bCs/>
      <w:i/>
      <w:sz w:val="32"/>
      <w:szCs w:val="32"/>
    </w:rPr>
  </w:style>
  <w:style w:type="character" w:customStyle="1" w:styleId="Char1">
    <w:name w:val="Σώμα κειμένου Char"/>
    <w:link w:val="a7"/>
    <w:semiHidden/>
    <w:rsid w:val="00154433"/>
    <w:rPr>
      <w:rFonts w:ascii="Arial" w:hAnsi="Arial" w:cs="Arial"/>
      <w:b/>
      <w:bCs/>
      <w:i/>
      <w:sz w:val="32"/>
      <w:szCs w:val="32"/>
    </w:rPr>
  </w:style>
  <w:style w:type="character" w:styleId="a8">
    <w:name w:val="Strong"/>
    <w:uiPriority w:val="22"/>
    <w:qFormat/>
    <w:rPr>
      <w:b/>
      <w:bCs/>
    </w:rPr>
  </w:style>
  <w:style w:type="paragraph" w:styleId="Web">
    <w:name w:val="Normal (Web)"/>
    <w:basedOn w:val="a"/>
    <w:uiPriority w:val="99"/>
    <w:semiHidden/>
    <w:pPr>
      <w:spacing w:before="100" w:beforeAutospacing="1" w:after="100" w:afterAutospacing="1"/>
    </w:pPr>
    <w:rPr>
      <w:lang w:val="en-GB" w:eastAsia="en-US"/>
    </w:rPr>
  </w:style>
  <w:style w:type="paragraph" w:styleId="30">
    <w:name w:val="toc 3"/>
    <w:basedOn w:val="a"/>
    <w:next w:val="a"/>
    <w:autoRedefine/>
    <w:uiPriority w:val="39"/>
    <w:qFormat/>
    <w:pPr>
      <w:ind w:left="480"/>
    </w:pPr>
  </w:style>
  <w:style w:type="paragraph" w:styleId="21">
    <w:name w:val="Body Text 2"/>
    <w:basedOn w:val="a"/>
    <w:semiHidden/>
    <w:pPr>
      <w:spacing w:line="360" w:lineRule="auto"/>
      <w:jc w:val="both"/>
    </w:pPr>
  </w:style>
  <w:style w:type="paragraph" w:styleId="a9">
    <w:name w:val="Body Text Indent"/>
    <w:basedOn w:val="a"/>
    <w:semiHidden/>
    <w:pPr>
      <w:spacing w:before="100" w:beforeAutospacing="1" w:after="100" w:afterAutospacing="1" w:line="360" w:lineRule="auto"/>
      <w:ind w:left="360"/>
      <w:jc w:val="both"/>
    </w:pPr>
    <w:rPr>
      <w:rFonts w:ascii="Tahoma" w:eastAsia="Batang" w:hAnsi="Tahoma" w:cs="Tahoma"/>
    </w:rPr>
  </w:style>
  <w:style w:type="paragraph" w:styleId="aa">
    <w:name w:val="header"/>
    <w:basedOn w:val="a"/>
    <w:link w:val="Char2"/>
    <w:uiPriority w:val="99"/>
    <w:pPr>
      <w:tabs>
        <w:tab w:val="center" w:pos="4153"/>
        <w:tab w:val="right" w:pos="8306"/>
      </w:tabs>
    </w:pPr>
  </w:style>
  <w:style w:type="character" w:customStyle="1" w:styleId="Char2">
    <w:name w:val="Κεφαλίδα Char"/>
    <w:link w:val="aa"/>
    <w:uiPriority w:val="99"/>
    <w:rsid w:val="005075B2"/>
    <w:rPr>
      <w:sz w:val="24"/>
      <w:szCs w:val="24"/>
    </w:rPr>
  </w:style>
  <w:style w:type="character" w:styleId="HTML">
    <w:name w:val="HTML Cite"/>
    <w:semiHidden/>
    <w:unhideWhenUsed/>
    <w:rPr>
      <w:i/>
      <w:iCs/>
    </w:rPr>
  </w:style>
  <w:style w:type="paragraph" w:styleId="ab">
    <w:name w:val="footnote text"/>
    <w:aliases w:val=" Char,Char"/>
    <w:basedOn w:val="a"/>
    <w:link w:val="Char3"/>
    <w:semiHidden/>
    <w:rPr>
      <w:sz w:val="20"/>
      <w:szCs w:val="20"/>
    </w:rPr>
  </w:style>
  <w:style w:type="character" w:styleId="ac">
    <w:name w:val="footnote reference"/>
    <w:semiHidden/>
    <w:rPr>
      <w:vertAlign w:val="superscript"/>
    </w:rPr>
  </w:style>
  <w:style w:type="character" w:styleId="ad">
    <w:name w:val="Emphasis"/>
    <w:qFormat/>
    <w:rPr>
      <w:i/>
      <w:iCs/>
    </w:rPr>
  </w:style>
  <w:style w:type="paragraph" w:styleId="ae">
    <w:name w:val="List Paragraph"/>
    <w:basedOn w:val="a"/>
    <w:uiPriority w:val="34"/>
    <w:qFormat/>
    <w:pPr>
      <w:ind w:left="720"/>
    </w:pPr>
  </w:style>
  <w:style w:type="character" w:styleId="af">
    <w:name w:val="annotation reference"/>
    <w:uiPriority w:val="99"/>
    <w:semiHidden/>
    <w:rPr>
      <w:sz w:val="16"/>
      <w:szCs w:val="16"/>
    </w:rPr>
  </w:style>
  <w:style w:type="paragraph" w:styleId="af0">
    <w:name w:val="annotation text"/>
    <w:basedOn w:val="a"/>
    <w:link w:val="Char4"/>
    <w:uiPriority w:val="99"/>
    <w:semiHidden/>
    <w:rPr>
      <w:sz w:val="20"/>
      <w:szCs w:val="20"/>
    </w:rPr>
  </w:style>
  <w:style w:type="paragraph" w:styleId="22">
    <w:name w:val="Body Text Indent 2"/>
    <w:basedOn w:val="a"/>
    <w:semiHidden/>
    <w:pPr>
      <w:spacing w:line="360" w:lineRule="auto"/>
      <w:ind w:left="360" w:firstLine="360"/>
      <w:jc w:val="both"/>
    </w:pPr>
  </w:style>
  <w:style w:type="paragraph" w:styleId="31">
    <w:name w:val="Body Text Indent 3"/>
    <w:basedOn w:val="a"/>
    <w:semiHidden/>
    <w:pPr>
      <w:spacing w:line="360" w:lineRule="auto"/>
      <w:ind w:firstLine="720"/>
      <w:jc w:val="both"/>
    </w:pPr>
  </w:style>
  <w:style w:type="character" w:styleId="-0">
    <w:name w:val="FollowedHyperlink"/>
    <w:semiHidden/>
    <w:rPr>
      <w:color w:val="800080"/>
      <w:u w:val="single"/>
    </w:rPr>
  </w:style>
  <w:style w:type="character" w:customStyle="1" w:styleId="hps">
    <w:name w:val="hps"/>
    <w:basedOn w:val="a0"/>
  </w:style>
  <w:style w:type="character" w:customStyle="1" w:styleId="st">
    <w:name w:val="st"/>
    <w:basedOn w:val="a0"/>
  </w:style>
  <w:style w:type="paragraph" w:styleId="af1">
    <w:name w:val="TOC Heading"/>
    <w:basedOn w:val="1"/>
    <w:next w:val="a"/>
    <w:qFormat/>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hpsatn">
    <w:name w:val="hps atn"/>
    <w:basedOn w:val="a0"/>
  </w:style>
  <w:style w:type="character" w:customStyle="1" w:styleId="CharChar2">
    <w:name w:val="Char Char2"/>
    <w:rPr>
      <w:b/>
      <w:i/>
      <w:sz w:val="24"/>
      <w:lang w:val="el-GR" w:eastAsia="el-GR" w:bidi="ar-SA"/>
    </w:rPr>
  </w:style>
  <w:style w:type="paragraph" w:styleId="af2">
    <w:name w:val="table of figures"/>
    <w:aliases w:val="Πίνακας Γραφημάτων"/>
    <w:basedOn w:val="a"/>
    <w:next w:val="a"/>
    <w:semiHidden/>
  </w:style>
  <w:style w:type="character" w:customStyle="1" w:styleId="CharChar">
    <w:name w:val="Char Char"/>
    <w:basedOn w:val="a0"/>
    <w:semiHidden/>
  </w:style>
  <w:style w:type="character" w:customStyle="1" w:styleId="CharChar1">
    <w:name w:val="Char Char1"/>
    <w:rPr>
      <w:sz w:val="24"/>
      <w:szCs w:val="24"/>
    </w:rPr>
  </w:style>
  <w:style w:type="character" w:customStyle="1" w:styleId="journalname">
    <w:name w:val="journalname"/>
    <w:basedOn w:val="a0"/>
  </w:style>
  <w:style w:type="character" w:customStyle="1" w:styleId="volume">
    <w:name w:val="volume"/>
    <w:basedOn w:val="a0"/>
  </w:style>
  <w:style w:type="character" w:customStyle="1" w:styleId="issue">
    <w:name w:val="issue"/>
    <w:basedOn w:val="a0"/>
  </w:style>
  <w:style w:type="character" w:customStyle="1" w:styleId="year">
    <w:name w:val="year"/>
    <w:basedOn w:val="a0"/>
  </w:style>
  <w:style w:type="table" w:styleId="af3">
    <w:name w:val="Table Grid"/>
    <w:basedOn w:val="a1"/>
    <w:uiPriority w:val="59"/>
    <w:rsid w:val="00724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next w:val="af3"/>
    <w:uiPriority w:val="59"/>
    <w:rsid w:val="00065B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3E8A"/>
  </w:style>
  <w:style w:type="paragraph" w:styleId="40">
    <w:name w:val="toc 4"/>
    <w:basedOn w:val="a"/>
    <w:next w:val="a"/>
    <w:autoRedefine/>
    <w:uiPriority w:val="39"/>
    <w:unhideWhenUsed/>
    <w:rsid w:val="00F07A2C"/>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F07A2C"/>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F07A2C"/>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F07A2C"/>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F07A2C"/>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F07A2C"/>
    <w:pPr>
      <w:spacing w:after="100" w:line="276" w:lineRule="auto"/>
      <w:ind w:left="1760"/>
    </w:pPr>
    <w:rPr>
      <w:rFonts w:ascii="Calibri" w:hAnsi="Calibri"/>
      <w:sz w:val="22"/>
      <w:szCs w:val="22"/>
    </w:rPr>
  </w:style>
  <w:style w:type="paragraph" w:styleId="af4">
    <w:name w:val="No Spacing"/>
    <w:uiPriority w:val="1"/>
    <w:qFormat/>
    <w:rsid w:val="00E37C62"/>
    <w:rPr>
      <w:rFonts w:ascii="Calibri" w:hAnsi="Calibri"/>
      <w:sz w:val="22"/>
      <w:szCs w:val="22"/>
    </w:rPr>
  </w:style>
  <w:style w:type="character" w:styleId="af5">
    <w:name w:val="Placeholder Text"/>
    <w:uiPriority w:val="99"/>
    <w:semiHidden/>
    <w:rsid w:val="007719BD"/>
    <w:rPr>
      <w:color w:val="808080"/>
    </w:rPr>
  </w:style>
  <w:style w:type="character" w:customStyle="1" w:styleId="atn">
    <w:name w:val="atn"/>
    <w:basedOn w:val="a0"/>
    <w:rsid w:val="005075B2"/>
  </w:style>
  <w:style w:type="character" w:customStyle="1" w:styleId="longtext">
    <w:name w:val="long_text"/>
    <w:basedOn w:val="a0"/>
    <w:rsid w:val="005075B2"/>
  </w:style>
  <w:style w:type="character" w:customStyle="1" w:styleId="hpsalt-edited">
    <w:name w:val="hps alt-edited"/>
    <w:basedOn w:val="a0"/>
    <w:rsid w:val="005075B2"/>
  </w:style>
  <w:style w:type="paragraph" w:customStyle="1" w:styleId="Style3">
    <w:name w:val="Style3"/>
    <w:basedOn w:val="a"/>
    <w:rsid w:val="005075B2"/>
    <w:pPr>
      <w:widowControl w:val="0"/>
      <w:autoSpaceDE w:val="0"/>
      <w:autoSpaceDN w:val="0"/>
      <w:adjustRightInd w:val="0"/>
      <w:spacing w:line="319" w:lineRule="exact"/>
      <w:jc w:val="both"/>
    </w:pPr>
    <w:rPr>
      <w:rFonts w:ascii="Segoe UI" w:hAnsi="Segoe UI"/>
    </w:rPr>
  </w:style>
  <w:style w:type="character" w:customStyle="1" w:styleId="FontStyle30">
    <w:name w:val="Font Style30"/>
    <w:rsid w:val="005075B2"/>
    <w:rPr>
      <w:rFonts w:ascii="Segoe UI" w:hAnsi="Segoe UI" w:cs="Segoe UI"/>
      <w:sz w:val="18"/>
      <w:szCs w:val="18"/>
    </w:rPr>
  </w:style>
  <w:style w:type="paragraph" w:customStyle="1" w:styleId="Style2">
    <w:name w:val="Style2"/>
    <w:basedOn w:val="a"/>
    <w:rsid w:val="005075B2"/>
    <w:pPr>
      <w:widowControl w:val="0"/>
      <w:autoSpaceDE w:val="0"/>
      <w:autoSpaceDN w:val="0"/>
      <w:adjustRightInd w:val="0"/>
      <w:spacing w:line="158" w:lineRule="exact"/>
      <w:jc w:val="both"/>
    </w:pPr>
    <w:rPr>
      <w:rFonts w:ascii="Segoe UI" w:hAnsi="Segoe UI"/>
    </w:rPr>
  </w:style>
  <w:style w:type="paragraph" w:customStyle="1" w:styleId="Style7">
    <w:name w:val="Style7"/>
    <w:basedOn w:val="a"/>
    <w:rsid w:val="005075B2"/>
    <w:pPr>
      <w:widowControl w:val="0"/>
      <w:autoSpaceDE w:val="0"/>
      <w:autoSpaceDN w:val="0"/>
      <w:adjustRightInd w:val="0"/>
    </w:pPr>
    <w:rPr>
      <w:rFonts w:ascii="Segoe UI" w:hAnsi="Segoe UI"/>
    </w:rPr>
  </w:style>
  <w:style w:type="character" w:customStyle="1" w:styleId="FontStyle17">
    <w:name w:val="Font Style17"/>
    <w:rsid w:val="005075B2"/>
    <w:rPr>
      <w:rFonts w:ascii="Segoe UI" w:hAnsi="Segoe UI" w:cs="Segoe UI"/>
      <w:b/>
      <w:bCs/>
      <w:sz w:val="12"/>
      <w:szCs w:val="12"/>
    </w:rPr>
  </w:style>
  <w:style w:type="character" w:customStyle="1" w:styleId="FontStyle19">
    <w:name w:val="Font Style19"/>
    <w:rsid w:val="005075B2"/>
    <w:rPr>
      <w:rFonts w:ascii="Segoe UI" w:hAnsi="Segoe UI" w:cs="Segoe UI"/>
      <w:b/>
      <w:bCs/>
      <w:sz w:val="16"/>
      <w:szCs w:val="16"/>
    </w:rPr>
  </w:style>
  <w:style w:type="character" w:customStyle="1" w:styleId="FontStyle25">
    <w:name w:val="Font Style25"/>
    <w:rsid w:val="005075B2"/>
    <w:rPr>
      <w:rFonts w:ascii="Segoe UI" w:hAnsi="Segoe UI" w:cs="Segoe UI"/>
      <w:b/>
      <w:bCs/>
      <w:sz w:val="12"/>
      <w:szCs w:val="12"/>
    </w:rPr>
  </w:style>
  <w:style w:type="paragraph" w:customStyle="1" w:styleId="Style6">
    <w:name w:val="Style6"/>
    <w:basedOn w:val="a"/>
    <w:rsid w:val="005075B2"/>
    <w:pPr>
      <w:widowControl w:val="0"/>
      <w:autoSpaceDE w:val="0"/>
      <w:autoSpaceDN w:val="0"/>
      <w:adjustRightInd w:val="0"/>
      <w:spacing w:line="197" w:lineRule="exact"/>
      <w:jc w:val="both"/>
    </w:pPr>
    <w:rPr>
      <w:rFonts w:ascii="Segoe UI" w:hAnsi="Segoe UI"/>
    </w:rPr>
  </w:style>
  <w:style w:type="character" w:customStyle="1" w:styleId="FontStyle27">
    <w:name w:val="Font Style27"/>
    <w:rsid w:val="005075B2"/>
    <w:rPr>
      <w:rFonts w:ascii="Cambria" w:hAnsi="Cambria" w:cs="Cambria"/>
      <w:b/>
      <w:bCs/>
      <w:sz w:val="14"/>
      <w:szCs w:val="14"/>
    </w:rPr>
  </w:style>
  <w:style w:type="character" w:customStyle="1" w:styleId="FontStyle28">
    <w:name w:val="Font Style28"/>
    <w:rsid w:val="005075B2"/>
    <w:rPr>
      <w:rFonts w:ascii="Segoe UI" w:hAnsi="Segoe UI" w:cs="Segoe UI"/>
      <w:sz w:val="14"/>
      <w:szCs w:val="14"/>
    </w:rPr>
  </w:style>
  <w:style w:type="character" w:customStyle="1" w:styleId="FontStyle15">
    <w:name w:val="Font Style15"/>
    <w:rsid w:val="005075B2"/>
    <w:rPr>
      <w:rFonts w:ascii="Segoe UI" w:hAnsi="Segoe UI" w:cs="Segoe UI"/>
      <w:sz w:val="18"/>
      <w:szCs w:val="18"/>
    </w:rPr>
  </w:style>
  <w:style w:type="table" w:customStyle="1" w:styleId="32">
    <w:name w:val="Πλέγμα πίνακα3"/>
    <w:basedOn w:val="a1"/>
    <w:next w:val="af3"/>
    <w:rsid w:val="0050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υποσημείωσης Char"/>
    <w:aliases w:val=" Char Char,Char Char3"/>
    <w:basedOn w:val="a0"/>
    <w:link w:val="ab"/>
    <w:uiPriority w:val="99"/>
    <w:semiHidden/>
    <w:rsid w:val="006572C3"/>
  </w:style>
  <w:style w:type="character" w:customStyle="1" w:styleId="3Char">
    <w:name w:val="Επικεφαλίδα 3 Char"/>
    <w:basedOn w:val="a0"/>
    <w:link w:val="3"/>
    <w:rsid w:val="00022B4A"/>
    <w:rPr>
      <w:b/>
      <w:bCs/>
      <w:sz w:val="27"/>
      <w:szCs w:val="27"/>
      <w:lang w:val="en-GB" w:eastAsia="en-US"/>
    </w:rPr>
  </w:style>
  <w:style w:type="character" w:customStyle="1" w:styleId="FootnoteCharacters">
    <w:name w:val="Footnote Characters"/>
    <w:rsid w:val="00F83D84"/>
    <w:rPr>
      <w:vertAlign w:val="superscript"/>
    </w:rPr>
  </w:style>
  <w:style w:type="paragraph" w:styleId="af6">
    <w:name w:val="List"/>
    <w:basedOn w:val="a7"/>
    <w:rsid w:val="00F83D84"/>
    <w:pPr>
      <w:suppressAutoHyphens/>
      <w:autoSpaceDE w:val="0"/>
    </w:pPr>
    <w:rPr>
      <w:rFonts w:ascii="TimesNewRomanPSMT" w:hAnsi="TimesNewRomanPSMT" w:cs="Times New Roman"/>
      <w:b w:val="0"/>
      <w:bCs w:val="0"/>
      <w:i w:val="0"/>
      <w:sz w:val="24"/>
      <w:szCs w:val="24"/>
      <w:lang w:val="en-GB" w:eastAsia="ar-SA"/>
    </w:rPr>
  </w:style>
  <w:style w:type="character" w:customStyle="1" w:styleId="citation">
    <w:name w:val="citation"/>
    <w:basedOn w:val="a0"/>
    <w:rsid w:val="003C1734"/>
  </w:style>
  <w:style w:type="character" w:customStyle="1" w:styleId="mw-cite-backlink">
    <w:name w:val="mw-cite-backlink"/>
    <w:basedOn w:val="a0"/>
    <w:rsid w:val="003C1734"/>
  </w:style>
  <w:style w:type="character" w:customStyle="1" w:styleId="cite-accessibility-label">
    <w:name w:val="cite-accessibility-label"/>
    <w:basedOn w:val="a0"/>
    <w:rsid w:val="003C1734"/>
  </w:style>
  <w:style w:type="character" w:customStyle="1" w:styleId="Char4">
    <w:name w:val="Κείμενο σχολίου Char"/>
    <w:basedOn w:val="a0"/>
    <w:link w:val="af0"/>
    <w:uiPriority w:val="99"/>
    <w:semiHidden/>
    <w:rsid w:val="00C360FC"/>
  </w:style>
  <w:style w:type="paragraph" w:customStyle="1" w:styleId="Standard">
    <w:name w:val="Standard"/>
    <w:rsid w:val="006436E9"/>
    <w:pPr>
      <w:widowControl w:val="0"/>
      <w:suppressAutoHyphens/>
      <w:autoSpaceDN w:val="0"/>
      <w:textAlignment w:val="baseline"/>
    </w:pPr>
    <w:rPr>
      <w:rFonts w:eastAsia="SimSun" w:cs="Mangal"/>
      <w:kern w:val="3"/>
      <w:sz w:val="24"/>
      <w:szCs w:val="24"/>
      <w:lang w:eastAsia="zh-CN" w:bidi="hi-IN"/>
    </w:rPr>
  </w:style>
  <w:style w:type="numbering" w:customStyle="1" w:styleId="RTFNum2">
    <w:name w:val="RTF_Num 2"/>
    <w:basedOn w:val="a2"/>
    <w:rsid w:val="006436E9"/>
    <w:pPr>
      <w:numPr>
        <w:numId w:val="38"/>
      </w:numPr>
    </w:pPr>
  </w:style>
  <w:style w:type="table" w:customStyle="1" w:styleId="110">
    <w:name w:val="Μεσαία σκίαση 11"/>
    <w:basedOn w:val="a1"/>
    <w:uiPriority w:val="63"/>
    <w:rsid w:val="00052D3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7">
    <w:name w:val="endnote text"/>
    <w:basedOn w:val="a"/>
    <w:link w:val="Char5"/>
    <w:uiPriority w:val="99"/>
    <w:semiHidden/>
    <w:unhideWhenUsed/>
    <w:rsid w:val="00052D35"/>
    <w:rPr>
      <w:rFonts w:asciiTheme="minorHAnsi" w:eastAsiaTheme="minorHAnsi" w:hAnsiTheme="minorHAnsi" w:cstheme="minorBidi"/>
      <w:sz w:val="20"/>
      <w:szCs w:val="20"/>
      <w:lang w:eastAsia="en-US"/>
    </w:rPr>
  </w:style>
  <w:style w:type="character" w:customStyle="1" w:styleId="Char5">
    <w:name w:val="Κείμενο σημείωσης τέλους Char"/>
    <w:basedOn w:val="a0"/>
    <w:link w:val="af7"/>
    <w:uiPriority w:val="99"/>
    <w:semiHidden/>
    <w:rsid w:val="00052D35"/>
    <w:rPr>
      <w:rFonts w:asciiTheme="minorHAnsi" w:eastAsiaTheme="minorHAnsi" w:hAnsiTheme="minorHAnsi" w:cstheme="minorBidi"/>
      <w:lang w:eastAsia="en-US"/>
    </w:rPr>
  </w:style>
  <w:style w:type="character" w:styleId="af8">
    <w:name w:val="endnote reference"/>
    <w:basedOn w:val="a0"/>
    <w:uiPriority w:val="99"/>
    <w:semiHidden/>
    <w:unhideWhenUsed/>
    <w:rsid w:val="00052D35"/>
    <w:rPr>
      <w:vertAlign w:val="superscript"/>
    </w:rPr>
  </w:style>
  <w:style w:type="table" w:customStyle="1" w:styleId="12">
    <w:name w:val="Ανοιχτόχρωμο πλέγμα1"/>
    <w:basedOn w:val="a1"/>
    <w:uiPriority w:val="62"/>
    <w:rsid w:val="009C570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3">
    <w:name w:val="P3"/>
    <w:basedOn w:val="a"/>
    <w:hidden/>
    <w:rsid w:val="00EE6E12"/>
    <w:pPr>
      <w:widowControl w:val="0"/>
      <w:adjustRightInd w:val="0"/>
      <w:spacing w:after="120"/>
    </w:pPr>
    <w:rPr>
      <w:rFonts w:eastAsia="Arial1" w:cs="Tahoma"/>
      <w:szCs w:val="20"/>
    </w:rPr>
  </w:style>
  <w:style w:type="paragraph" w:customStyle="1" w:styleId="P4">
    <w:name w:val="P4"/>
    <w:basedOn w:val="a"/>
    <w:hidden/>
    <w:rsid w:val="00EE6E12"/>
    <w:pPr>
      <w:widowControl w:val="0"/>
      <w:adjustRightInd w:val="0"/>
      <w:spacing w:after="120"/>
    </w:pPr>
    <w:rPr>
      <w:rFonts w:eastAsia="Arial1" w:cs="Tahoma"/>
      <w:szCs w:val="20"/>
    </w:rPr>
  </w:style>
  <w:style w:type="paragraph" w:customStyle="1" w:styleId="P7">
    <w:name w:val="P7"/>
    <w:basedOn w:val="a"/>
    <w:hidden/>
    <w:rsid w:val="00EE6E12"/>
    <w:pPr>
      <w:widowControl w:val="0"/>
      <w:adjustRightInd w:val="0"/>
      <w:spacing w:after="120"/>
    </w:pPr>
    <w:rPr>
      <w:rFonts w:eastAsia="Arial1" w:cs="Tahoma"/>
      <w:szCs w:val="20"/>
    </w:rPr>
  </w:style>
  <w:style w:type="character" w:customStyle="1" w:styleId="T2">
    <w:name w:val="T2"/>
    <w:hidden/>
    <w:rsid w:val="00EE6E12"/>
  </w:style>
  <w:style w:type="character" w:customStyle="1" w:styleId="T4">
    <w:name w:val="T4"/>
    <w:hidden/>
    <w:rsid w:val="00EE6E12"/>
  </w:style>
  <w:style w:type="paragraph" w:styleId="af9">
    <w:name w:val="annotation subject"/>
    <w:basedOn w:val="af0"/>
    <w:next w:val="af0"/>
    <w:link w:val="Char6"/>
    <w:uiPriority w:val="99"/>
    <w:semiHidden/>
    <w:unhideWhenUsed/>
    <w:rsid w:val="00EC0474"/>
    <w:rPr>
      <w:b/>
      <w:bCs/>
    </w:rPr>
  </w:style>
  <w:style w:type="character" w:customStyle="1" w:styleId="Char6">
    <w:name w:val="Θέμα σχολίου Char"/>
    <w:basedOn w:val="Char4"/>
    <w:link w:val="af9"/>
    <w:uiPriority w:val="99"/>
    <w:semiHidden/>
    <w:rsid w:val="00EC0474"/>
    <w:rPr>
      <w:b/>
      <w:bCs/>
    </w:rPr>
  </w:style>
  <w:style w:type="table" w:customStyle="1" w:styleId="23">
    <w:name w:val="Πλέγμα πίνακα2"/>
    <w:basedOn w:val="a1"/>
    <w:next w:val="af3"/>
    <w:uiPriority w:val="59"/>
    <w:rsid w:val="00197B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List 2 Accent 3"/>
    <w:basedOn w:val="a1"/>
    <w:uiPriority w:val="66"/>
    <w:rsid w:val="00573E3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
    <w:name w:val="Κείμενο πλαισίου Char"/>
    <w:basedOn w:val="a0"/>
    <w:link w:val="a3"/>
    <w:uiPriority w:val="99"/>
    <w:semiHidden/>
    <w:rsid w:val="009F7E1A"/>
    <w:rPr>
      <w:rFonts w:ascii="Tahoma" w:hAnsi="Tahoma" w:cs="Tahoma"/>
      <w:sz w:val="16"/>
      <w:szCs w:val="16"/>
    </w:rPr>
  </w:style>
  <w:style w:type="character" w:styleId="afa">
    <w:name w:val="Subtle Emphasis"/>
    <w:uiPriority w:val="19"/>
    <w:qFormat/>
    <w:rsid w:val="00D4417C"/>
    <w:rPr>
      <w:i/>
      <w:iCs/>
      <w:color w:val="5A5A5A"/>
    </w:rPr>
  </w:style>
  <w:style w:type="paragraph" w:styleId="33">
    <w:name w:val="Body Text 3"/>
    <w:basedOn w:val="a"/>
    <w:link w:val="3Char0"/>
    <w:uiPriority w:val="99"/>
    <w:semiHidden/>
    <w:unhideWhenUsed/>
    <w:rsid w:val="0020033D"/>
    <w:pPr>
      <w:spacing w:after="120"/>
    </w:pPr>
    <w:rPr>
      <w:sz w:val="16"/>
      <w:szCs w:val="16"/>
    </w:rPr>
  </w:style>
  <w:style w:type="character" w:customStyle="1" w:styleId="3Char0">
    <w:name w:val="Σώμα κείμενου 3 Char"/>
    <w:basedOn w:val="a0"/>
    <w:link w:val="33"/>
    <w:uiPriority w:val="99"/>
    <w:semiHidden/>
    <w:rsid w:val="0020033D"/>
    <w:rPr>
      <w:sz w:val="16"/>
      <w:szCs w:val="16"/>
    </w:rPr>
  </w:style>
  <w:style w:type="character" w:customStyle="1" w:styleId="9Char">
    <w:name w:val="Επικεφαλίδα 9 Char"/>
    <w:basedOn w:val="a0"/>
    <w:link w:val="9"/>
    <w:uiPriority w:val="9"/>
    <w:semiHidden/>
    <w:rsid w:val="0094350A"/>
    <w:rPr>
      <w:rFonts w:asciiTheme="majorHAnsi" w:eastAsiaTheme="majorEastAsia" w:hAnsiTheme="majorHAnsi" w:cstheme="majorBidi"/>
      <w:i/>
      <w:iCs/>
      <w:color w:val="404040" w:themeColor="text1" w:themeTint="BF"/>
    </w:rPr>
  </w:style>
  <w:style w:type="character" w:customStyle="1" w:styleId="Bodytext">
    <w:name w:val="Body text_"/>
    <w:basedOn w:val="a0"/>
    <w:link w:val="13"/>
    <w:rsid w:val="008B721E"/>
    <w:rPr>
      <w:rFonts w:ascii="Segoe UI" w:eastAsia="Segoe UI" w:hAnsi="Segoe UI" w:cs="Segoe UI"/>
      <w:sz w:val="15"/>
      <w:szCs w:val="15"/>
      <w:shd w:val="clear" w:color="auto" w:fill="FFFFFF"/>
    </w:rPr>
  </w:style>
  <w:style w:type="paragraph" w:customStyle="1" w:styleId="13">
    <w:name w:val="Σώμα κειμένου1"/>
    <w:basedOn w:val="a"/>
    <w:link w:val="Bodytext"/>
    <w:rsid w:val="008B721E"/>
    <w:pPr>
      <w:widowControl w:val="0"/>
      <w:shd w:val="clear" w:color="auto" w:fill="FFFFFF"/>
      <w:spacing w:before="60" w:after="2340" w:line="0" w:lineRule="atLeast"/>
      <w:ind w:hanging="460"/>
      <w:jc w:val="center"/>
    </w:pPr>
    <w:rPr>
      <w:rFonts w:ascii="Segoe UI" w:eastAsia="Segoe UI" w:hAnsi="Segoe UI" w:cs="Segoe UI"/>
      <w:sz w:val="15"/>
      <w:szCs w:val="15"/>
    </w:rPr>
  </w:style>
  <w:style w:type="character" w:customStyle="1" w:styleId="Bodytext5">
    <w:name w:val="Body text (5)_"/>
    <w:basedOn w:val="a0"/>
    <w:link w:val="Bodytext50"/>
    <w:rsid w:val="008B721E"/>
    <w:rPr>
      <w:rFonts w:ascii="Segoe UI" w:eastAsia="Segoe UI" w:hAnsi="Segoe UI" w:cs="Segoe UI"/>
      <w:b/>
      <w:bCs/>
      <w:sz w:val="15"/>
      <w:szCs w:val="15"/>
      <w:shd w:val="clear" w:color="auto" w:fill="FFFFFF"/>
    </w:rPr>
  </w:style>
  <w:style w:type="paragraph" w:customStyle="1" w:styleId="Bodytext50">
    <w:name w:val="Body text (5)"/>
    <w:basedOn w:val="a"/>
    <w:link w:val="Bodytext5"/>
    <w:rsid w:val="008B721E"/>
    <w:pPr>
      <w:widowControl w:val="0"/>
      <w:shd w:val="clear" w:color="auto" w:fill="FFFFFF"/>
      <w:spacing w:before="600" w:line="274" w:lineRule="exact"/>
    </w:pPr>
    <w:rPr>
      <w:rFonts w:ascii="Segoe UI" w:eastAsia="Segoe UI" w:hAnsi="Segoe UI" w:cs="Segoe UI"/>
      <w:b/>
      <w:bCs/>
      <w:sz w:val="15"/>
      <w:szCs w:val="15"/>
    </w:rPr>
  </w:style>
  <w:style w:type="character" w:customStyle="1" w:styleId="BodytextItalic">
    <w:name w:val="Body text + Italic"/>
    <w:basedOn w:val="Bodytext"/>
    <w:rsid w:val="008B721E"/>
    <w:rPr>
      <w:rFonts w:ascii="Segoe UI" w:eastAsia="Segoe UI" w:hAnsi="Segoe UI" w:cs="Segoe UI"/>
      <w:i/>
      <w:iCs/>
      <w:color w:val="000000"/>
      <w:spacing w:val="0"/>
      <w:w w:val="100"/>
      <w:position w:val="0"/>
      <w:sz w:val="15"/>
      <w:szCs w:val="15"/>
      <w:shd w:val="clear" w:color="auto" w:fill="FFFFFF"/>
      <w:lang w:val="el-GR"/>
    </w:rPr>
  </w:style>
  <w:style w:type="character" w:customStyle="1" w:styleId="Bodytext16">
    <w:name w:val="Body text (16)_"/>
    <w:basedOn w:val="a0"/>
    <w:link w:val="Bodytext160"/>
    <w:rsid w:val="008B721E"/>
    <w:rPr>
      <w:rFonts w:ascii="MS Reference Sans Serif" w:eastAsia="MS Reference Sans Serif" w:hAnsi="MS Reference Sans Serif" w:cs="MS Reference Sans Serif"/>
      <w:b/>
      <w:bCs/>
      <w:i/>
      <w:iCs/>
      <w:sz w:val="16"/>
      <w:szCs w:val="16"/>
      <w:shd w:val="clear" w:color="auto" w:fill="FFFFFF"/>
    </w:rPr>
  </w:style>
  <w:style w:type="paragraph" w:customStyle="1" w:styleId="Bodytext160">
    <w:name w:val="Body text (16)"/>
    <w:basedOn w:val="a"/>
    <w:link w:val="Bodytext16"/>
    <w:rsid w:val="008B721E"/>
    <w:pPr>
      <w:widowControl w:val="0"/>
      <w:shd w:val="clear" w:color="auto" w:fill="FFFFFF"/>
      <w:spacing w:line="0" w:lineRule="atLeast"/>
      <w:jc w:val="right"/>
    </w:pPr>
    <w:rPr>
      <w:rFonts w:ascii="MS Reference Sans Serif" w:eastAsia="MS Reference Sans Serif" w:hAnsi="MS Reference Sans Serif" w:cs="MS Reference Sans Serif"/>
      <w:b/>
      <w:bCs/>
      <w:i/>
      <w:iCs/>
      <w:sz w:val="16"/>
      <w:szCs w:val="16"/>
    </w:rPr>
  </w:style>
  <w:style w:type="character" w:customStyle="1" w:styleId="Bodytext18">
    <w:name w:val="Body text (18)_"/>
    <w:basedOn w:val="a0"/>
    <w:link w:val="Bodytext180"/>
    <w:rsid w:val="008B721E"/>
    <w:rPr>
      <w:rFonts w:ascii="Lucida Sans Unicode" w:eastAsia="Lucida Sans Unicode" w:hAnsi="Lucida Sans Unicode" w:cs="Lucida Sans Unicode"/>
      <w:sz w:val="16"/>
      <w:szCs w:val="16"/>
      <w:shd w:val="clear" w:color="auto" w:fill="FFFFFF"/>
    </w:rPr>
  </w:style>
  <w:style w:type="paragraph" w:customStyle="1" w:styleId="Bodytext180">
    <w:name w:val="Body text (18)"/>
    <w:basedOn w:val="a"/>
    <w:link w:val="Bodytext18"/>
    <w:rsid w:val="008B721E"/>
    <w:pPr>
      <w:widowControl w:val="0"/>
      <w:shd w:val="clear" w:color="auto" w:fill="FFFFFF"/>
      <w:spacing w:line="247" w:lineRule="exact"/>
      <w:jc w:val="both"/>
    </w:pPr>
    <w:rPr>
      <w:rFonts w:ascii="Lucida Sans Unicode" w:eastAsia="Lucida Sans Unicode" w:hAnsi="Lucida Sans Unicode" w:cs="Lucida Sans Unicode"/>
      <w:sz w:val="16"/>
      <w:szCs w:val="16"/>
    </w:rPr>
  </w:style>
  <w:style w:type="character" w:customStyle="1" w:styleId="Bodytext18Spacing0pt">
    <w:name w:val="Body text (18) + Spacing 0 pt"/>
    <w:basedOn w:val="Bodytext18"/>
    <w:rsid w:val="008B721E"/>
    <w:rPr>
      <w:rFonts w:ascii="Lucida Sans Unicode" w:eastAsia="Lucida Sans Unicode" w:hAnsi="Lucida Sans Unicode" w:cs="Lucida Sans Unicode"/>
      <w:color w:val="000000"/>
      <w:spacing w:val="-10"/>
      <w:w w:val="100"/>
      <w:position w:val="0"/>
      <w:sz w:val="16"/>
      <w:szCs w:val="16"/>
      <w:shd w:val="clear" w:color="auto" w:fill="FFFFFF"/>
      <w:lang w:val="el-GR"/>
    </w:rPr>
  </w:style>
  <w:style w:type="character" w:customStyle="1" w:styleId="BodytextItalicSpacing1pt">
    <w:name w:val="Body text + Italic;Spacing 1 pt"/>
    <w:basedOn w:val="Bodytext"/>
    <w:rsid w:val="008B721E"/>
    <w:rPr>
      <w:rFonts w:ascii="Segoe UI" w:eastAsia="Segoe UI" w:hAnsi="Segoe UI" w:cs="Segoe UI"/>
      <w:i/>
      <w:iCs/>
      <w:color w:val="000000"/>
      <w:spacing w:val="20"/>
      <w:w w:val="100"/>
      <w:position w:val="0"/>
      <w:sz w:val="15"/>
      <w:szCs w:val="15"/>
      <w:shd w:val="clear" w:color="auto" w:fill="FFFFFF"/>
      <w:lang w:val="en-US"/>
    </w:rPr>
  </w:style>
  <w:style w:type="character" w:customStyle="1" w:styleId="BodytextLucidaSansUnicode8pt">
    <w:name w:val="Body text + Lucida Sans Unicode;8 pt"/>
    <w:basedOn w:val="Bodytext"/>
    <w:rsid w:val="008B721E"/>
    <w:rPr>
      <w:rFonts w:ascii="Lucida Sans Unicode" w:eastAsia="Lucida Sans Unicode" w:hAnsi="Lucida Sans Unicode" w:cs="Lucida Sans Unicode"/>
      <w:color w:val="000000"/>
      <w:spacing w:val="0"/>
      <w:w w:val="100"/>
      <w:position w:val="0"/>
      <w:sz w:val="16"/>
      <w:szCs w:val="16"/>
      <w:shd w:val="clear" w:color="auto" w:fill="FFFFFF"/>
      <w:lang w:val="el-GR"/>
    </w:rPr>
  </w:style>
  <w:style w:type="character" w:customStyle="1" w:styleId="Tablecaption4">
    <w:name w:val="Table caption (4)_"/>
    <w:basedOn w:val="a0"/>
    <w:link w:val="Tablecaption40"/>
    <w:rsid w:val="008B721E"/>
    <w:rPr>
      <w:rFonts w:ascii="Segoe UI" w:eastAsia="Segoe UI" w:hAnsi="Segoe UI" w:cs="Segoe UI"/>
      <w:sz w:val="15"/>
      <w:szCs w:val="15"/>
      <w:shd w:val="clear" w:color="auto" w:fill="FFFFFF"/>
    </w:rPr>
  </w:style>
  <w:style w:type="paragraph" w:customStyle="1" w:styleId="Tablecaption40">
    <w:name w:val="Table caption (4)"/>
    <w:basedOn w:val="a"/>
    <w:link w:val="Tablecaption4"/>
    <w:rsid w:val="008B721E"/>
    <w:pPr>
      <w:widowControl w:val="0"/>
      <w:shd w:val="clear" w:color="auto" w:fill="FFFFFF"/>
      <w:spacing w:line="0" w:lineRule="atLeast"/>
    </w:pPr>
    <w:rPr>
      <w:rFonts w:ascii="Segoe UI" w:eastAsia="Segoe UI" w:hAnsi="Segoe UI" w:cs="Segoe UI"/>
      <w:sz w:val="15"/>
      <w:szCs w:val="15"/>
    </w:rPr>
  </w:style>
  <w:style w:type="character" w:customStyle="1" w:styleId="Bodytext7ptItalic">
    <w:name w:val="Body text + 7 pt;Italic"/>
    <w:basedOn w:val="Bodytext"/>
    <w:rsid w:val="008B721E"/>
    <w:rPr>
      <w:rFonts w:ascii="Segoe UI" w:eastAsia="Segoe UI" w:hAnsi="Segoe UI" w:cs="Segoe UI"/>
      <w:i/>
      <w:iCs/>
      <w:color w:val="000000"/>
      <w:spacing w:val="0"/>
      <w:w w:val="100"/>
      <w:position w:val="0"/>
      <w:sz w:val="14"/>
      <w:szCs w:val="14"/>
      <w:shd w:val="clear" w:color="auto" w:fill="FFFFFF"/>
      <w:lang w:val="el-GR"/>
    </w:rPr>
  </w:style>
  <w:style w:type="table" w:styleId="24">
    <w:name w:val="Table Colorful 2"/>
    <w:basedOn w:val="a1"/>
    <w:rsid w:val="009B2D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pple-style-span">
    <w:name w:val="apple-style-span"/>
    <w:basedOn w:val="a0"/>
    <w:rsid w:val="008C052C"/>
  </w:style>
  <w:style w:type="character" w:customStyle="1" w:styleId="item-source">
    <w:name w:val="item-source"/>
    <w:basedOn w:val="a0"/>
    <w:rsid w:val="002F7261"/>
  </w:style>
  <w:style w:type="character" w:customStyle="1" w:styleId="edition">
    <w:name w:val="edition"/>
    <w:basedOn w:val="a0"/>
    <w:rsid w:val="002F7261"/>
  </w:style>
  <w:style w:type="paragraph" w:styleId="afb">
    <w:name w:val="Revision"/>
    <w:hidden/>
    <w:uiPriority w:val="99"/>
    <w:semiHidden/>
    <w:rsid w:val="0000237C"/>
    <w:rPr>
      <w:sz w:val="24"/>
      <w:szCs w:val="24"/>
    </w:rPr>
  </w:style>
  <w:style w:type="paragraph" w:styleId="afc">
    <w:name w:val="Plain Text"/>
    <w:basedOn w:val="a"/>
    <w:link w:val="Char7"/>
    <w:uiPriority w:val="99"/>
    <w:semiHidden/>
    <w:unhideWhenUsed/>
    <w:rsid w:val="00B44614"/>
    <w:rPr>
      <w:rFonts w:ascii="Calibri" w:eastAsiaTheme="minorHAnsi" w:hAnsi="Calibri" w:cstheme="minorBidi"/>
      <w:sz w:val="22"/>
      <w:szCs w:val="21"/>
      <w:lang w:eastAsia="en-US"/>
    </w:rPr>
  </w:style>
  <w:style w:type="character" w:customStyle="1" w:styleId="Char7">
    <w:name w:val="Απλό κείμενο Char"/>
    <w:basedOn w:val="a0"/>
    <w:link w:val="afc"/>
    <w:uiPriority w:val="99"/>
    <w:semiHidden/>
    <w:rsid w:val="00B44614"/>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29771605">
      <w:bodyDiv w:val="1"/>
      <w:marLeft w:val="0"/>
      <w:marRight w:val="0"/>
      <w:marTop w:val="0"/>
      <w:marBottom w:val="0"/>
      <w:divBdr>
        <w:top w:val="none" w:sz="0" w:space="0" w:color="auto"/>
        <w:left w:val="none" w:sz="0" w:space="0" w:color="auto"/>
        <w:bottom w:val="none" w:sz="0" w:space="0" w:color="auto"/>
        <w:right w:val="none" w:sz="0" w:space="0" w:color="auto"/>
      </w:divBdr>
      <w:divsChild>
        <w:div w:id="9379272">
          <w:marLeft w:val="0"/>
          <w:marRight w:val="0"/>
          <w:marTop w:val="185"/>
          <w:marBottom w:val="0"/>
          <w:divBdr>
            <w:top w:val="none" w:sz="0" w:space="0" w:color="auto"/>
            <w:left w:val="none" w:sz="0" w:space="0" w:color="auto"/>
            <w:bottom w:val="none" w:sz="0" w:space="0" w:color="auto"/>
            <w:right w:val="none" w:sz="0" w:space="0" w:color="auto"/>
          </w:divBdr>
        </w:div>
        <w:div w:id="243300628">
          <w:marLeft w:val="0"/>
          <w:marRight w:val="0"/>
          <w:marTop w:val="185"/>
          <w:marBottom w:val="0"/>
          <w:divBdr>
            <w:top w:val="none" w:sz="0" w:space="0" w:color="auto"/>
            <w:left w:val="none" w:sz="0" w:space="0" w:color="auto"/>
            <w:bottom w:val="none" w:sz="0" w:space="0" w:color="auto"/>
            <w:right w:val="none" w:sz="0" w:space="0" w:color="auto"/>
          </w:divBdr>
        </w:div>
        <w:div w:id="1280184461">
          <w:marLeft w:val="0"/>
          <w:marRight w:val="0"/>
          <w:marTop w:val="185"/>
          <w:marBottom w:val="0"/>
          <w:divBdr>
            <w:top w:val="none" w:sz="0" w:space="0" w:color="auto"/>
            <w:left w:val="none" w:sz="0" w:space="0" w:color="auto"/>
            <w:bottom w:val="none" w:sz="0" w:space="0" w:color="auto"/>
            <w:right w:val="none" w:sz="0" w:space="0" w:color="auto"/>
          </w:divBdr>
        </w:div>
      </w:divsChild>
    </w:div>
    <w:div w:id="65811787">
      <w:bodyDiv w:val="1"/>
      <w:marLeft w:val="0"/>
      <w:marRight w:val="0"/>
      <w:marTop w:val="0"/>
      <w:marBottom w:val="0"/>
      <w:divBdr>
        <w:top w:val="none" w:sz="0" w:space="0" w:color="auto"/>
        <w:left w:val="none" w:sz="0" w:space="0" w:color="auto"/>
        <w:bottom w:val="none" w:sz="0" w:space="0" w:color="auto"/>
        <w:right w:val="none" w:sz="0" w:space="0" w:color="auto"/>
      </w:divBdr>
      <w:divsChild>
        <w:div w:id="1322808545">
          <w:marLeft w:val="547"/>
          <w:marRight w:val="0"/>
          <w:marTop w:val="96"/>
          <w:marBottom w:val="0"/>
          <w:divBdr>
            <w:top w:val="none" w:sz="0" w:space="0" w:color="auto"/>
            <w:left w:val="none" w:sz="0" w:space="0" w:color="auto"/>
            <w:bottom w:val="none" w:sz="0" w:space="0" w:color="auto"/>
            <w:right w:val="none" w:sz="0" w:space="0" w:color="auto"/>
          </w:divBdr>
        </w:div>
      </w:divsChild>
    </w:div>
    <w:div w:id="124810203">
      <w:bodyDiv w:val="1"/>
      <w:marLeft w:val="0"/>
      <w:marRight w:val="0"/>
      <w:marTop w:val="0"/>
      <w:marBottom w:val="0"/>
      <w:divBdr>
        <w:top w:val="none" w:sz="0" w:space="0" w:color="auto"/>
        <w:left w:val="none" w:sz="0" w:space="0" w:color="auto"/>
        <w:bottom w:val="none" w:sz="0" w:space="0" w:color="auto"/>
        <w:right w:val="none" w:sz="0" w:space="0" w:color="auto"/>
      </w:divBdr>
      <w:divsChild>
        <w:div w:id="581065450">
          <w:marLeft w:val="547"/>
          <w:marRight w:val="0"/>
          <w:marTop w:val="264"/>
          <w:marBottom w:val="0"/>
          <w:divBdr>
            <w:top w:val="none" w:sz="0" w:space="0" w:color="auto"/>
            <w:left w:val="none" w:sz="0" w:space="0" w:color="auto"/>
            <w:bottom w:val="none" w:sz="0" w:space="0" w:color="auto"/>
            <w:right w:val="none" w:sz="0" w:space="0" w:color="auto"/>
          </w:divBdr>
        </w:div>
        <w:div w:id="297879780">
          <w:marLeft w:val="547"/>
          <w:marRight w:val="0"/>
          <w:marTop w:val="264"/>
          <w:marBottom w:val="0"/>
          <w:divBdr>
            <w:top w:val="none" w:sz="0" w:space="0" w:color="auto"/>
            <w:left w:val="none" w:sz="0" w:space="0" w:color="auto"/>
            <w:bottom w:val="none" w:sz="0" w:space="0" w:color="auto"/>
            <w:right w:val="none" w:sz="0" w:space="0" w:color="auto"/>
          </w:divBdr>
        </w:div>
        <w:div w:id="1182936928">
          <w:marLeft w:val="547"/>
          <w:marRight w:val="0"/>
          <w:marTop w:val="264"/>
          <w:marBottom w:val="0"/>
          <w:divBdr>
            <w:top w:val="none" w:sz="0" w:space="0" w:color="auto"/>
            <w:left w:val="none" w:sz="0" w:space="0" w:color="auto"/>
            <w:bottom w:val="none" w:sz="0" w:space="0" w:color="auto"/>
            <w:right w:val="none" w:sz="0" w:space="0" w:color="auto"/>
          </w:divBdr>
        </w:div>
      </w:divsChild>
    </w:div>
    <w:div w:id="188446493">
      <w:bodyDiv w:val="1"/>
      <w:marLeft w:val="0"/>
      <w:marRight w:val="0"/>
      <w:marTop w:val="0"/>
      <w:marBottom w:val="0"/>
      <w:divBdr>
        <w:top w:val="none" w:sz="0" w:space="0" w:color="auto"/>
        <w:left w:val="none" w:sz="0" w:space="0" w:color="auto"/>
        <w:bottom w:val="none" w:sz="0" w:space="0" w:color="auto"/>
        <w:right w:val="none" w:sz="0" w:space="0" w:color="auto"/>
      </w:divBdr>
    </w:div>
    <w:div w:id="207567646">
      <w:bodyDiv w:val="1"/>
      <w:marLeft w:val="0"/>
      <w:marRight w:val="0"/>
      <w:marTop w:val="0"/>
      <w:marBottom w:val="0"/>
      <w:divBdr>
        <w:top w:val="none" w:sz="0" w:space="0" w:color="auto"/>
        <w:left w:val="none" w:sz="0" w:space="0" w:color="auto"/>
        <w:bottom w:val="none" w:sz="0" w:space="0" w:color="auto"/>
        <w:right w:val="none" w:sz="0" w:space="0" w:color="auto"/>
      </w:divBdr>
    </w:div>
    <w:div w:id="227695877">
      <w:bodyDiv w:val="1"/>
      <w:marLeft w:val="0"/>
      <w:marRight w:val="0"/>
      <w:marTop w:val="0"/>
      <w:marBottom w:val="0"/>
      <w:divBdr>
        <w:top w:val="none" w:sz="0" w:space="0" w:color="auto"/>
        <w:left w:val="none" w:sz="0" w:space="0" w:color="auto"/>
        <w:bottom w:val="none" w:sz="0" w:space="0" w:color="auto"/>
        <w:right w:val="none" w:sz="0" w:space="0" w:color="auto"/>
      </w:divBdr>
      <w:divsChild>
        <w:div w:id="172305466">
          <w:marLeft w:val="1166"/>
          <w:marRight w:val="0"/>
          <w:marTop w:val="86"/>
          <w:marBottom w:val="0"/>
          <w:divBdr>
            <w:top w:val="none" w:sz="0" w:space="0" w:color="auto"/>
            <w:left w:val="none" w:sz="0" w:space="0" w:color="auto"/>
            <w:bottom w:val="none" w:sz="0" w:space="0" w:color="auto"/>
            <w:right w:val="none" w:sz="0" w:space="0" w:color="auto"/>
          </w:divBdr>
        </w:div>
        <w:div w:id="392855147">
          <w:marLeft w:val="1166"/>
          <w:marRight w:val="0"/>
          <w:marTop w:val="86"/>
          <w:marBottom w:val="0"/>
          <w:divBdr>
            <w:top w:val="none" w:sz="0" w:space="0" w:color="auto"/>
            <w:left w:val="none" w:sz="0" w:space="0" w:color="auto"/>
            <w:bottom w:val="none" w:sz="0" w:space="0" w:color="auto"/>
            <w:right w:val="none" w:sz="0" w:space="0" w:color="auto"/>
          </w:divBdr>
        </w:div>
        <w:div w:id="593127166">
          <w:marLeft w:val="1166"/>
          <w:marRight w:val="0"/>
          <w:marTop w:val="86"/>
          <w:marBottom w:val="0"/>
          <w:divBdr>
            <w:top w:val="none" w:sz="0" w:space="0" w:color="auto"/>
            <w:left w:val="none" w:sz="0" w:space="0" w:color="auto"/>
            <w:bottom w:val="none" w:sz="0" w:space="0" w:color="auto"/>
            <w:right w:val="none" w:sz="0" w:space="0" w:color="auto"/>
          </w:divBdr>
        </w:div>
        <w:div w:id="898788040">
          <w:marLeft w:val="547"/>
          <w:marRight w:val="0"/>
          <w:marTop w:val="86"/>
          <w:marBottom w:val="0"/>
          <w:divBdr>
            <w:top w:val="none" w:sz="0" w:space="0" w:color="auto"/>
            <w:left w:val="none" w:sz="0" w:space="0" w:color="auto"/>
            <w:bottom w:val="none" w:sz="0" w:space="0" w:color="auto"/>
            <w:right w:val="none" w:sz="0" w:space="0" w:color="auto"/>
          </w:divBdr>
        </w:div>
        <w:div w:id="919102261">
          <w:marLeft w:val="1166"/>
          <w:marRight w:val="0"/>
          <w:marTop w:val="86"/>
          <w:marBottom w:val="0"/>
          <w:divBdr>
            <w:top w:val="none" w:sz="0" w:space="0" w:color="auto"/>
            <w:left w:val="none" w:sz="0" w:space="0" w:color="auto"/>
            <w:bottom w:val="none" w:sz="0" w:space="0" w:color="auto"/>
            <w:right w:val="none" w:sz="0" w:space="0" w:color="auto"/>
          </w:divBdr>
        </w:div>
        <w:div w:id="977763250">
          <w:marLeft w:val="1166"/>
          <w:marRight w:val="0"/>
          <w:marTop w:val="86"/>
          <w:marBottom w:val="0"/>
          <w:divBdr>
            <w:top w:val="none" w:sz="0" w:space="0" w:color="auto"/>
            <w:left w:val="none" w:sz="0" w:space="0" w:color="auto"/>
            <w:bottom w:val="none" w:sz="0" w:space="0" w:color="auto"/>
            <w:right w:val="none" w:sz="0" w:space="0" w:color="auto"/>
          </w:divBdr>
        </w:div>
        <w:div w:id="1114130359">
          <w:marLeft w:val="1166"/>
          <w:marRight w:val="0"/>
          <w:marTop w:val="86"/>
          <w:marBottom w:val="0"/>
          <w:divBdr>
            <w:top w:val="none" w:sz="0" w:space="0" w:color="auto"/>
            <w:left w:val="none" w:sz="0" w:space="0" w:color="auto"/>
            <w:bottom w:val="none" w:sz="0" w:space="0" w:color="auto"/>
            <w:right w:val="none" w:sz="0" w:space="0" w:color="auto"/>
          </w:divBdr>
        </w:div>
        <w:div w:id="1356299163">
          <w:marLeft w:val="547"/>
          <w:marRight w:val="0"/>
          <w:marTop w:val="86"/>
          <w:marBottom w:val="0"/>
          <w:divBdr>
            <w:top w:val="none" w:sz="0" w:space="0" w:color="auto"/>
            <w:left w:val="none" w:sz="0" w:space="0" w:color="auto"/>
            <w:bottom w:val="none" w:sz="0" w:space="0" w:color="auto"/>
            <w:right w:val="none" w:sz="0" w:space="0" w:color="auto"/>
          </w:divBdr>
        </w:div>
        <w:div w:id="1484194925">
          <w:marLeft w:val="547"/>
          <w:marRight w:val="0"/>
          <w:marTop w:val="86"/>
          <w:marBottom w:val="0"/>
          <w:divBdr>
            <w:top w:val="none" w:sz="0" w:space="0" w:color="auto"/>
            <w:left w:val="none" w:sz="0" w:space="0" w:color="auto"/>
            <w:bottom w:val="none" w:sz="0" w:space="0" w:color="auto"/>
            <w:right w:val="none" w:sz="0" w:space="0" w:color="auto"/>
          </w:divBdr>
        </w:div>
        <w:div w:id="1580165562">
          <w:marLeft w:val="1166"/>
          <w:marRight w:val="0"/>
          <w:marTop w:val="86"/>
          <w:marBottom w:val="0"/>
          <w:divBdr>
            <w:top w:val="none" w:sz="0" w:space="0" w:color="auto"/>
            <w:left w:val="none" w:sz="0" w:space="0" w:color="auto"/>
            <w:bottom w:val="none" w:sz="0" w:space="0" w:color="auto"/>
            <w:right w:val="none" w:sz="0" w:space="0" w:color="auto"/>
          </w:divBdr>
        </w:div>
        <w:div w:id="1658606705">
          <w:marLeft w:val="1166"/>
          <w:marRight w:val="0"/>
          <w:marTop w:val="86"/>
          <w:marBottom w:val="0"/>
          <w:divBdr>
            <w:top w:val="none" w:sz="0" w:space="0" w:color="auto"/>
            <w:left w:val="none" w:sz="0" w:space="0" w:color="auto"/>
            <w:bottom w:val="none" w:sz="0" w:space="0" w:color="auto"/>
            <w:right w:val="none" w:sz="0" w:space="0" w:color="auto"/>
          </w:divBdr>
        </w:div>
        <w:div w:id="1722095270">
          <w:marLeft w:val="547"/>
          <w:marRight w:val="0"/>
          <w:marTop w:val="86"/>
          <w:marBottom w:val="0"/>
          <w:divBdr>
            <w:top w:val="none" w:sz="0" w:space="0" w:color="auto"/>
            <w:left w:val="none" w:sz="0" w:space="0" w:color="auto"/>
            <w:bottom w:val="none" w:sz="0" w:space="0" w:color="auto"/>
            <w:right w:val="none" w:sz="0" w:space="0" w:color="auto"/>
          </w:divBdr>
        </w:div>
        <w:div w:id="1793552600">
          <w:marLeft w:val="1166"/>
          <w:marRight w:val="0"/>
          <w:marTop w:val="86"/>
          <w:marBottom w:val="0"/>
          <w:divBdr>
            <w:top w:val="none" w:sz="0" w:space="0" w:color="auto"/>
            <w:left w:val="none" w:sz="0" w:space="0" w:color="auto"/>
            <w:bottom w:val="none" w:sz="0" w:space="0" w:color="auto"/>
            <w:right w:val="none" w:sz="0" w:space="0" w:color="auto"/>
          </w:divBdr>
        </w:div>
      </w:divsChild>
    </w:div>
    <w:div w:id="256408997">
      <w:bodyDiv w:val="1"/>
      <w:marLeft w:val="0"/>
      <w:marRight w:val="0"/>
      <w:marTop w:val="0"/>
      <w:marBottom w:val="0"/>
      <w:divBdr>
        <w:top w:val="none" w:sz="0" w:space="0" w:color="auto"/>
        <w:left w:val="none" w:sz="0" w:space="0" w:color="auto"/>
        <w:bottom w:val="none" w:sz="0" w:space="0" w:color="auto"/>
        <w:right w:val="none" w:sz="0" w:space="0" w:color="auto"/>
      </w:divBdr>
      <w:divsChild>
        <w:div w:id="1333988663">
          <w:marLeft w:val="0"/>
          <w:marRight w:val="0"/>
          <w:marTop w:val="120"/>
          <w:marBottom w:val="240"/>
          <w:divBdr>
            <w:top w:val="none" w:sz="0" w:space="0" w:color="auto"/>
            <w:left w:val="none" w:sz="0" w:space="0" w:color="auto"/>
            <w:bottom w:val="none" w:sz="0" w:space="0" w:color="auto"/>
            <w:right w:val="none" w:sz="0" w:space="0" w:color="auto"/>
          </w:divBdr>
        </w:div>
      </w:divsChild>
    </w:div>
    <w:div w:id="256987685">
      <w:bodyDiv w:val="1"/>
      <w:marLeft w:val="0"/>
      <w:marRight w:val="0"/>
      <w:marTop w:val="0"/>
      <w:marBottom w:val="0"/>
      <w:divBdr>
        <w:top w:val="none" w:sz="0" w:space="0" w:color="auto"/>
        <w:left w:val="none" w:sz="0" w:space="0" w:color="auto"/>
        <w:bottom w:val="none" w:sz="0" w:space="0" w:color="auto"/>
        <w:right w:val="none" w:sz="0" w:space="0" w:color="auto"/>
      </w:divBdr>
      <w:divsChild>
        <w:div w:id="1633368008">
          <w:marLeft w:val="547"/>
          <w:marRight w:val="0"/>
          <w:marTop w:val="86"/>
          <w:marBottom w:val="0"/>
          <w:divBdr>
            <w:top w:val="none" w:sz="0" w:space="0" w:color="auto"/>
            <w:left w:val="none" w:sz="0" w:space="0" w:color="auto"/>
            <w:bottom w:val="none" w:sz="0" w:space="0" w:color="auto"/>
            <w:right w:val="none" w:sz="0" w:space="0" w:color="auto"/>
          </w:divBdr>
        </w:div>
        <w:div w:id="1907376521">
          <w:marLeft w:val="547"/>
          <w:marRight w:val="0"/>
          <w:marTop w:val="86"/>
          <w:marBottom w:val="0"/>
          <w:divBdr>
            <w:top w:val="none" w:sz="0" w:space="0" w:color="auto"/>
            <w:left w:val="none" w:sz="0" w:space="0" w:color="auto"/>
            <w:bottom w:val="none" w:sz="0" w:space="0" w:color="auto"/>
            <w:right w:val="none" w:sz="0" w:space="0" w:color="auto"/>
          </w:divBdr>
        </w:div>
        <w:div w:id="281305961">
          <w:marLeft w:val="547"/>
          <w:marRight w:val="0"/>
          <w:marTop w:val="86"/>
          <w:marBottom w:val="0"/>
          <w:divBdr>
            <w:top w:val="none" w:sz="0" w:space="0" w:color="auto"/>
            <w:left w:val="none" w:sz="0" w:space="0" w:color="auto"/>
            <w:bottom w:val="none" w:sz="0" w:space="0" w:color="auto"/>
            <w:right w:val="none" w:sz="0" w:space="0" w:color="auto"/>
          </w:divBdr>
        </w:div>
        <w:div w:id="2110469331">
          <w:marLeft w:val="547"/>
          <w:marRight w:val="0"/>
          <w:marTop w:val="86"/>
          <w:marBottom w:val="0"/>
          <w:divBdr>
            <w:top w:val="none" w:sz="0" w:space="0" w:color="auto"/>
            <w:left w:val="none" w:sz="0" w:space="0" w:color="auto"/>
            <w:bottom w:val="none" w:sz="0" w:space="0" w:color="auto"/>
            <w:right w:val="none" w:sz="0" w:space="0" w:color="auto"/>
          </w:divBdr>
        </w:div>
        <w:div w:id="84495387">
          <w:marLeft w:val="1166"/>
          <w:marRight w:val="0"/>
          <w:marTop w:val="86"/>
          <w:marBottom w:val="0"/>
          <w:divBdr>
            <w:top w:val="none" w:sz="0" w:space="0" w:color="auto"/>
            <w:left w:val="none" w:sz="0" w:space="0" w:color="auto"/>
            <w:bottom w:val="none" w:sz="0" w:space="0" w:color="auto"/>
            <w:right w:val="none" w:sz="0" w:space="0" w:color="auto"/>
          </w:divBdr>
        </w:div>
        <w:div w:id="1380784644">
          <w:marLeft w:val="1166"/>
          <w:marRight w:val="0"/>
          <w:marTop w:val="86"/>
          <w:marBottom w:val="0"/>
          <w:divBdr>
            <w:top w:val="none" w:sz="0" w:space="0" w:color="auto"/>
            <w:left w:val="none" w:sz="0" w:space="0" w:color="auto"/>
            <w:bottom w:val="none" w:sz="0" w:space="0" w:color="auto"/>
            <w:right w:val="none" w:sz="0" w:space="0" w:color="auto"/>
          </w:divBdr>
        </w:div>
      </w:divsChild>
    </w:div>
    <w:div w:id="272783898">
      <w:bodyDiv w:val="1"/>
      <w:marLeft w:val="0"/>
      <w:marRight w:val="0"/>
      <w:marTop w:val="0"/>
      <w:marBottom w:val="0"/>
      <w:divBdr>
        <w:top w:val="none" w:sz="0" w:space="0" w:color="auto"/>
        <w:left w:val="none" w:sz="0" w:space="0" w:color="auto"/>
        <w:bottom w:val="none" w:sz="0" w:space="0" w:color="auto"/>
        <w:right w:val="none" w:sz="0" w:space="0" w:color="auto"/>
      </w:divBdr>
    </w:div>
    <w:div w:id="279145732">
      <w:bodyDiv w:val="1"/>
      <w:marLeft w:val="0"/>
      <w:marRight w:val="0"/>
      <w:marTop w:val="0"/>
      <w:marBottom w:val="0"/>
      <w:divBdr>
        <w:top w:val="none" w:sz="0" w:space="0" w:color="auto"/>
        <w:left w:val="none" w:sz="0" w:space="0" w:color="auto"/>
        <w:bottom w:val="none" w:sz="0" w:space="0" w:color="auto"/>
        <w:right w:val="none" w:sz="0" w:space="0" w:color="auto"/>
      </w:divBdr>
    </w:div>
    <w:div w:id="314771207">
      <w:bodyDiv w:val="1"/>
      <w:marLeft w:val="0"/>
      <w:marRight w:val="0"/>
      <w:marTop w:val="0"/>
      <w:marBottom w:val="0"/>
      <w:divBdr>
        <w:top w:val="none" w:sz="0" w:space="0" w:color="auto"/>
        <w:left w:val="none" w:sz="0" w:space="0" w:color="auto"/>
        <w:bottom w:val="none" w:sz="0" w:space="0" w:color="auto"/>
        <w:right w:val="none" w:sz="0" w:space="0" w:color="auto"/>
      </w:divBdr>
      <w:divsChild>
        <w:div w:id="1853177095">
          <w:marLeft w:val="547"/>
          <w:marRight w:val="0"/>
          <w:marTop w:val="96"/>
          <w:marBottom w:val="0"/>
          <w:divBdr>
            <w:top w:val="none" w:sz="0" w:space="0" w:color="auto"/>
            <w:left w:val="none" w:sz="0" w:space="0" w:color="auto"/>
            <w:bottom w:val="none" w:sz="0" w:space="0" w:color="auto"/>
            <w:right w:val="none" w:sz="0" w:space="0" w:color="auto"/>
          </w:divBdr>
        </w:div>
        <w:div w:id="1205413393">
          <w:marLeft w:val="1166"/>
          <w:marRight w:val="0"/>
          <w:marTop w:val="96"/>
          <w:marBottom w:val="0"/>
          <w:divBdr>
            <w:top w:val="none" w:sz="0" w:space="0" w:color="auto"/>
            <w:left w:val="none" w:sz="0" w:space="0" w:color="auto"/>
            <w:bottom w:val="none" w:sz="0" w:space="0" w:color="auto"/>
            <w:right w:val="none" w:sz="0" w:space="0" w:color="auto"/>
          </w:divBdr>
        </w:div>
        <w:div w:id="1205020515">
          <w:marLeft w:val="1166"/>
          <w:marRight w:val="0"/>
          <w:marTop w:val="96"/>
          <w:marBottom w:val="0"/>
          <w:divBdr>
            <w:top w:val="none" w:sz="0" w:space="0" w:color="auto"/>
            <w:left w:val="none" w:sz="0" w:space="0" w:color="auto"/>
            <w:bottom w:val="none" w:sz="0" w:space="0" w:color="auto"/>
            <w:right w:val="none" w:sz="0" w:space="0" w:color="auto"/>
          </w:divBdr>
        </w:div>
        <w:div w:id="1722635793">
          <w:marLeft w:val="1166"/>
          <w:marRight w:val="0"/>
          <w:marTop w:val="96"/>
          <w:marBottom w:val="0"/>
          <w:divBdr>
            <w:top w:val="none" w:sz="0" w:space="0" w:color="auto"/>
            <w:left w:val="none" w:sz="0" w:space="0" w:color="auto"/>
            <w:bottom w:val="none" w:sz="0" w:space="0" w:color="auto"/>
            <w:right w:val="none" w:sz="0" w:space="0" w:color="auto"/>
          </w:divBdr>
        </w:div>
        <w:div w:id="125664082">
          <w:marLeft w:val="547"/>
          <w:marRight w:val="0"/>
          <w:marTop w:val="96"/>
          <w:marBottom w:val="0"/>
          <w:divBdr>
            <w:top w:val="none" w:sz="0" w:space="0" w:color="auto"/>
            <w:left w:val="none" w:sz="0" w:space="0" w:color="auto"/>
            <w:bottom w:val="none" w:sz="0" w:space="0" w:color="auto"/>
            <w:right w:val="none" w:sz="0" w:space="0" w:color="auto"/>
          </w:divBdr>
        </w:div>
      </w:divsChild>
    </w:div>
    <w:div w:id="316880068">
      <w:bodyDiv w:val="1"/>
      <w:marLeft w:val="0"/>
      <w:marRight w:val="0"/>
      <w:marTop w:val="0"/>
      <w:marBottom w:val="0"/>
      <w:divBdr>
        <w:top w:val="none" w:sz="0" w:space="0" w:color="auto"/>
        <w:left w:val="none" w:sz="0" w:space="0" w:color="auto"/>
        <w:bottom w:val="none" w:sz="0" w:space="0" w:color="auto"/>
        <w:right w:val="none" w:sz="0" w:space="0" w:color="auto"/>
      </w:divBdr>
      <w:divsChild>
        <w:div w:id="11303031">
          <w:marLeft w:val="547"/>
          <w:marRight w:val="0"/>
          <w:marTop w:val="240"/>
          <w:marBottom w:val="0"/>
          <w:divBdr>
            <w:top w:val="none" w:sz="0" w:space="0" w:color="auto"/>
            <w:left w:val="none" w:sz="0" w:space="0" w:color="auto"/>
            <w:bottom w:val="none" w:sz="0" w:space="0" w:color="auto"/>
            <w:right w:val="none" w:sz="0" w:space="0" w:color="auto"/>
          </w:divBdr>
        </w:div>
      </w:divsChild>
    </w:div>
    <w:div w:id="396515528">
      <w:bodyDiv w:val="1"/>
      <w:marLeft w:val="0"/>
      <w:marRight w:val="0"/>
      <w:marTop w:val="0"/>
      <w:marBottom w:val="0"/>
      <w:divBdr>
        <w:top w:val="none" w:sz="0" w:space="0" w:color="auto"/>
        <w:left w:val="none" w:sz="0" w:space="0" w:color="auto"/>
        <w:bottom w:val="none" w:sz="0" w:space="0" w:color="auto"/>
        <w:right w:val="none" w:sz="0" w:space="0" w:color="auto"/>
      </w:divBdr>
    </w:div>
    <w:div w:id="431704879">
      <w:bodyDiv w:val="1"/>
      <w:marLeft w:val="0"/>
      <w:marRight w:val="0"/>
      <w:marTop w:val="0"/>
      <w:marBottom w:val="0"/>
      <w:divBdr>
        <w:top w:val="none" w:sz="0" w:space="0" w:color="auto"/>
        <w:left w:val="none" w:sz="0" w:space="0" w:color="auto"/>
        <w:bottom w:val="none" w:sz="0" w:space="0" w:color="auto"/>
        <w:right w:val="none" w:sz="0" w:space="0" w:color="auto"/>
      </w:divBdr>
    </w:div>
    <w:div w:id="431776904">
      <w:bodyDiv w:val="1"/>
      <w:marLeft w:val="0"/>
      <w:marRight w:val="0"/>
      <w:marTop w:val="0"/>
      <w:marBottom w:val="0"/>
      <w:divBdr>
        <w:top w:val="none" w:sz="0" w:space="0" w:color="auto"/>
        <w:left w:val="none" w:sz="0" w:space="0" w:color="auto"/>
        <w:bottom w:val="none" w:sz="0" w:space="0" w:color="auto"/>
        <w:right w:val="none" w:sz="0" w:space="0" w:color="auto"/>
      </w:divBdr>
    </w:div>
    <w:div w:id="436174158">
      <w:bodyDiv w:val="1"/>
      <w:marLeft w:val="0"/>
      <w:marRight w:val="0"/>
      <w:marTop w:val="0"/>
      <w:marBottom w:val="0"/>
      <w:divBdr>
        <w:top w:val="none" w:sz="0" w:space="0" w:color="auto"/>
        <w:left w:val="none" w:sz="0" w:space="0" w:color="auto"/>
        <w:bottom w:val="none" w:sz="0" w:space="0" w:color="auto"/>
        <w:right w:val="none" w:sz="0" w:space="0" w:color="auto"/>
      </w:divBdr>
      <w:divsChild>
        <w:div w:id="342050889">
          <w:marLeft w:val="547"/>
          <w:marRight w:val="0"/>
          <w:marTop w:val="96"/>
          <w:marBottom w:val="0"/>
          <w:divBdr>
            <w:top w:val="none" w:sz="0" w:space="0" w:color="auto"/>
            <w:left w:val="none" w:sz="0" w:space="0" w:color="auto"/>
            <w:bottom w:val="none" w:sz="0" w:space="0" w:color="auto"/>
            <w:right w:val="none" w:sz="0" w:space="0" w:color="auto"/>
          </w:divBdr>
        </w:div>
        <w:div w:id="1396247361">
          <w:marLeft w:val="547"/>
          <w:marRight w:val="0"/>
          <w:marTop w:val="96"/>
          <w:marBottom w:val="0"/>
          <w:divBdr>
            <w:top w:val="none" w:sz="0" w:space="0" w:color="auto"/>
            <w:left w:val="none" w:sz="0" w:space="0" w:color="auto"/>
            <w:bottom w:val="none" w:sz="0" w:space="0" w:color="auto"/>
            <w:right w:val="none" w:sz="0" w:space="0" w:color="auto"/>
          </w:divBdr>
        </w:div>
        <w:div w:id="1521967655">
          <w:marLeft w:val="1166"/>
          <w:marRight w:val="0"/>
          <w:marTop w:val="96"/>
          <w:marBottom w:val="0"/>
          <w:divBdr>
            <w:top w:val="none" w:sz="0" w:space="0" w:color="auto"/>
            <w:left w:val="none" w:sz="0" w:space="0" w:color="auto"/>
            <w:bottom w:val="none" w:sz="0" w:space="0" w:color="auto"/>
            <w:right w:val="none" w:sz="0" w:space="0" w:color="auto"/>
          </w:divBdr>
        </w:div>
        <w:div w:id="1918202769">
          <w:marLeft w:val="1166"/>
          <w:marRight w:val="0"/>
          <w:marTop w:val="96"/>
          <w:marBottom w:val="0"/>
          <w:divBdr>
            <w:top w:val="none" w:sz="0" w:space="0" w:color="auto"/>
            <w:left w:val="none" w:sz="0" w:space="0" w:color="auto"/>
            <w:bottom w:val="none" w:sz="0" w:space="0" w:color="auto"/>
            <w:right w:val="none" w:sz="0" w:space="0" w:color="auto"/>
          </w:divBdr>
        </w:div>
        <w:div w:id="1515535765">
          <w:marLeft w:val="1166"/>
          <w:marRight w:val="0"/>
          <w:marTop w:val="96"/>
          <w:marBottom w:val="0"/>
          <w:divBdr>
            <w:top w:val="none" w:sz="0" w:space="0" w:color="auto"/>
            <w:left w:val="none" w:sz="0" w:space="0" w:color="auto"/>
            <w:bottom w:val="none" w:sz="0" w:space="0" w:color="auto"/>
            <w:right w:val="none" w:sz="0" w:space="0" w:color="auto"/>
          </w:divBdr>
        </w:div>
        <w:div w:id="1309745322">
          <w:marLeft w:val="1166"/>
          <w:marRight w:val="0"/>
          <w:marTop w:val="96"/>
          <w:marBottom w:val="0"/>
          <w:divBdr>
            <w:top w:val="none" w:sz="0" w:space="0" w:color="auto"/>
            <w:left w:val="none" w:sz="0" w:space="0" w:color="auto"/>
            <w:bottom w:val="none" w:sz="0" w:space="0" w:color="auto"/>
            <w:right w:val="none" w:sz="0" w:space="0" w:color="auto"/>
          </w:divBdr>
        </w:div>
      </w:divsChild>
    </w:div>
    <w:div w:id="485240817">
      <w:bodyDiv w:val="1"/>
      <w:marLeft w:val="0"/>
      <w:marRight w:val="0"/>
      <w:marTop w:val="0"/>
      <w:marBottom w:val="0"/>
      <w:divBdr>
        <w:top w:val="none" w:sz="0" w:space="0" w:color="auto"/>
        <w:left w:val="none" w:sz="0" w:space="0" w:color="auto"/>
        <w:bottom w:val="none" w:sz="0" w:space="0" w:color="auto"/>
        <w:right w:val="none" w:sz="0" w:space="0" w:color="auto"/>
      </w:divBdr>
      <w:divsChild>
        <w:div w:id="836267518">
          <w:marLeft w:val="0"/>
          <w:marRight w:val="0"/>
          <w:marTop w:val="240"/>
          <w:marBottom w:val="240"/>
          <w:divBdr>
            <w:top w:val="none" w:sz="0" w:space="0" w:color="auto"/>
            <w:left w:val="none" w:sz="0" w:space="0" w:color="auto"/>
            <w:bottom w:val="none" w:sz="0" w:space="0" w:color="auto"/>
            <w:right w:val="none" w:sz="0" w:space="0" w:color="auto"/>
          </w:divBdr>
        </w:div>
        <w:div w:id="1578321159">
          <w:marLeft w:val="0"/>
          <w:marRight w:val="0"/>
          <w:marTop w:val="240"/>
          <w:marBottom w:val="240"/>
          <w:divBdr>
            <w:top w:val="none" w:sz="0" w:space="0" w:color="auto"/>
            <w:left w:val="none" w:sz="0" w:space="0" w:color="auto"/>
            <w:bottom w:val="none" w:sz="0" w:space="0" w:color="auto"/>
            <w:right w:val="none" w:sz="0" w:space="0" w:color="auto"/>
          </w:divBdr>
        </w:div>
        <w:div w:id="1501848447">
          <w:marLeft w:val="0"/>
          <w:marRight w:val="0"/>
          <w:marTop w:val="240"/>
          <w:marBottom w:val="240"/>
          <w:divBdr>
            <w:top w:val="none" w:sz="0" w:space="0" w:color="auto"/>
            <w:left w:val="none" w:sz="0" w:space="0" w:color="auto"/>
            <w:bottom w:val="none" w:sz="0" w:space="0" w:color="auto"/>
            <w:right w:val="none" w:sz="0" w:space="0" w:color="auto"/>
          </w:divBdr>
        </w:div>
        <w:div w:id="1464614430">
          <w:marLeft w:val="0"/>
          <w:marRight w:val="0"/>
          <w:marTop w:val="240"/>
          <w:marBottom w:val="240"/>
          <w:divBdr>
            <w:top w:val="none" w:sz="0" w:space="0" w:color="auto"/>
            <w:left w:val="none" w:sz="0" w:space="0" w:color="auto"/>
            <w:bottom w:val="none" w:sz="0" w:space="0" w:color="auto"/>
            <w:right w:val="none" w:sz="0" w:space="0" w:color="auto"/>
          </w:divBdr>
        </w:div>
        <w:div w:id="1100098869">
          <w:marLeft w:val="0"/>
          <w:marRight w:val="0"/>
          <w:marTop w:val="240"/>
          <w:marBottom w:val="240"/>
          <w:divBdr>
            <w:top w:val="none" w:sz="0" w:space="0" w:color="auto"/>
            <w:left w:val="none" w:sz="0" w:space="0" w:color="auto"/>
            <w:bottom w:val="none" w:sz="0" w:space="0" w:color="auto"/>
            <w:right w:val="none" w:sz="0" w:space="0" w:color="auto"/>
          </w:divBdr>
        </w:div>
        <w:div w:id="2130975276">
          <w:marLeft w:val="0"/>
          <w:marRight w:val="0"/>
          <w:marTop w:val="240"/>
          <w:marBottom w:val="240"/>
          <w:divBdr>
            <w:top w:val="none" w:sz="0" w:space="0" w:color="auto"/>
            <w:left w:val="none" w:sz="0" w:space="0" w:color="auto"/>
            <w:bottom w:val="none" w:sz="0" w:space="0" w:color="auto"/>
            <w:right w:val="none" w:sz="0" w:space="0" w:color="auto"/>
          </w:divBdr>
        </w:div>
      </w:divsChild>
    </w:div>
    <w:div w:id="496193773">
      <w:bodyDiv w:val="1"/>
      <w:marLeft w:val="0"/>
      <w:marRight w:val="0"/>
      <w:marTop w:val="0"/>
      <w:marBottom w:val="0"/>
      <w:divBdr>
        <w:top w:val="none" w:sz="0" w:space="0" w:color="auto"/>
        <w:left w:val="none" w:sz="0" w:space="0" w:color="auto"/>
        <w:bottom w:val="none" w:sz="0" w:space="0" w:color="auto"/>
        <w:right w:val="none" w:sz="0" w:space="0" w:color="auto"/>
      </w:divBdr>
    </w:div>
    <w:div w:id="500897314">
      <w:bodyDiv w:val="1"/>
      <w:marLeft w:val="0"/>
      <w:marRight w:val="0"/>
      <w:marTop w:val="0"/>
      <w:marBottom w:val="0"/>
      <w:divBdr>
        <w:top w:val="none" w:sz="0" w:space="0" w:color="auto"/>
        <w:left w:val="none" w:sz="0" w:space="0" w:color="auto"/>
        <w:bottom w:val="none" w:sz="0" w:space="0" w:color="auto"/>
        <w:right w:val="none" w:sz="0" w:space="0" w:color="auto"/>
      </w:divBdr>
      <w:divsChild>
        <w:div w:id="788202630">
          <w:marLeft w:val="547"/>
          <w:marRight w:val="0"/>
          <w:marTop w:val="96"/>
          <w:marBottom w:val="0"/>
          <w:divBdr>
            <w:top w:val="none" w:sz="0" w:space="0" w:color="auto"/>
            <w:left w:val="none" w:sz="0" w:space="0" w:color="auto"/>
            <w:bottom w:val="none" w:sz="0" w:space="0" w:color="auto"/>
            <w:right w:val="none" w:sz="0" w:space="0" w:color="auto"/>
          </w:divBdr>
        </w:div>
      </w:divsChild>
    </w:div>
    <w:div w:id="518394712">
      <w:bodyDiv w:val="1"/>
      <w:marLeft w:val="0"/>
      <w:marRight w:val="0"/>
      <w:marTop w:val="0"/>
      <w:marBottom w:val="0"/>
      <w:divBdr>
        <w:top w:val="none" w:sz="0" w:space="0" w:color="auto"/>
        <w:left w:val="none" w:sz="0" w:space="0" w:color="auto"/>
        <w:bottom w:val="none" w:sz="0" w:space="0" w:color="auto"/>
        <w:right w:val="none" w:sz="0" w:space="0" w:color="auto"/>
      </w:divBdr>
    </w:div>
    <w:div w:id="565145059">
      <w:bodyDiv w:val="1"/>
      <w:marLeft w:val="0"/>
      <w:marRight w:val="0"/>
      <w:marTop w:val="0"/>
      <w:marBottom w:val="0"/>
      <w:divBdr>
        <w:top w:val="none" w:sz="0" w:space="0" w:color="auto"/>
        <w:left w:val="none" w:sz="0" w:space="0" w:color="auto"/>
        <w:bottom w:val="none" w:sz="0" w:space="0" w:color="auto"/>
        <w:right w:val="none" w:sz="0" w:space="0" w:color="auto"/>
      </w:divBdr>
    </w:div>
    <w:div w:id="653603446">
      <w:bodyDiv w:val="1"/>
      <w:marLeft w:val="0"/>
      <w:marRight w:val="0"/>
      <w:marTop w:val="0"/>
      <w:marBottom w:val="0"/>
      <w:divBdr>
        <w:top w:val="none" w:sz="0" w:space="0" w:color="auto"/>
        <w:left w:val="none" w:sz="0" w:space="0" w:color="auto"/>
        <w:bottom w:val="none" w:sz="0" w:space="0" w:color="auto"/>
        <w:right w:val="none" w:sz="0" w:space="0" w:color="auto"/>
      </w:divBdr>
    </w:div>
    <w:div w:id="696079160">
      <w:bodyDiv w:val="1"/>
      <w:marLeft w:val="0"/>
      <w:marRight w:val="0"/>
      <w:marTop w:val="0"/>
      <w:marBottom w:val="0"/>
      <w:divBdr>
        <w:top w:val="none" w:sz="0" w:space="0" w:color="auto"/>
        <w:left w:val="none" w:sz="0" w:space="0" w:color="auto"/>
        <w:bottom w:val="none" w:sz="0" w:space="0" w:color="auto"/>
        <w:right w:val="none" w:sz="0" w:space="0" w:color="auto"/>
      </w:divBdr>
      <w:divsChild>
        <w:div w:id="1274289315">
          <w:marLeft w:val="547"/>
          <w:marRight w:val="0"/>
          <w:marTop w:val="106"/>
          <w:marBottom w:val="0"/>
          <w:divBdr>
            <w:top w:val="none" w:sz="0" w:space="0" w:color="auto"/>
            <w:left w:val="none" w:sz="0" w:space="0" w:color="auto"/>
            <w:bottom w:val="none" w:sz="0" w:space="0" w:color="auto"/>
            <w:right w:val="none" w:sz="0" w:space="0" w:color="auto"/>
          </w:divBdr>
        </w:div>
        <w:div w:id="1770537964">
          <w:marLeft w:val="547"/>
          <w:marRight w:val="0"/>
          <w:marTop w:val="106"/>
          <w:marBottom w:val="0"/>
          <w:divBdr>
            <w:top w:val="none" w:sz="0" w:space="0" w:color="auto"/>
            <w:left w:val="none" w:sz="0" w:space="0" w:color="auto"/>
            <w:bottom w:val="none" w:sz="0" w:space="0" w:color="auto"/>
            <w:right w:val="none" w:sz="0" w:space="0" w:color="auto"/>
          </w:divBdr>
        </w:div>
        <w:div w:id="74321303">
          <w:marLeft w:val="547"/>
          <w:marRight w:val="0"/>
          <w:marTop w:val="106"/>
          <w:marBottom w:val="0"/>
          <w:divBdr>
            <w:top w:val="none" w:sz="0" w:space="0" w:color="auto"/>
            <w:left w:val="none" w:sz="0" w:space="0" w:color="auto"/>
            <w:bottom w:val="none" w:sz="0" w:space="0" w:color="auto"/>
            <w:right w:val="none" w:sz="0" w:space="0" w:color="auto"/>
          </w:divBdr>
        </w:div>
        <w:div w:id="401609423">
          <w:marLeft w:val="1166"/>
          <w:marRight w:val="0"/>
          <w:marTop w:val="106"/>
          <w:marBottom w:val="0"/>
          <w:divBdr>
            <w:top w:val="none" w:sz="0" w:space="0" w:color="auto"/>
            <w:left w:val="none" w:sz="0" w:space="0" w:color="auto"/>
            <w:bottom w:val="none" w:sz="0" w:space="0" w:color="auto"/>
            <w:right w:val="none" w:sz="0" w:space="0" w:color="auto"/>
          </w:divBdr>
        </w:div>
        <w:div w:id="936865491">
          <w:marLeft w:val="1166"/>
          <w:marRight w:val="0"/>
          <w:marTop w:val="101"/>
          <w:marBottom w:val="0"/>
          <w:divBdr>
            <w:top w:val="none" w:sz="0" w:space="0" w:color="auto"/>
            <w:left w:val="none" w:sz="0" w:space="0" w:color="auto"/>
            <w:bottom w:val="none" w:sz="0" w:space="0" w:color="auto"/>
            <w:right w:val="none" w:sz="0" w:space="0" w:color="auto"/>
          </w:divBdr>
        </w:div>
        <w:div w:id="887229182">
          <w:marLeft w:val="1166"/>
          <w:marRight w:val="0"/>
          <w:marTop w:val="106"/>
          <w:marBottom w:val="0"/>
          <w:divBdr>
            <w:top w:val="none" w:sz="0" w:space="0" w:color="auto"/>
            <w:left w:val="none" w:sz="0" w:space="0" w:color="auto"/>
            <w:bottom w:val="none" w:sz="0" w:space="0" w:color="auto"/>
            <w:right w:val="none" w:sz="0" w:space="0" w:color="auto"/>
          </w:divBdr>
        </w:div>
        <w:div w:id="2111272611">
          <w:marLeft w:val="547"/>
          <w:marRight w:val="0"/>
          <w:marTop w:val="101"/>
          <w:marBottom w:val="0"/>
          <w:divBdr>
            <w:top w:val="none" w:sz="0" w:space="0" w:color="auto"/>
            <w:left w:val="none" w:sz="0" w:space="0" w:color="auto"/>
            <w:bottom w:val="none" w:sz="0" w:space="0" w:color="auto"/>
            <w:right w:val="none" w:sz="0" w:space="0" w:color="auto"/>
          </w:divBdr>
        </w:div>
        <w:div w:id="1174490081">
          <w:marLeft w:val="547"/>
          <w:marRight w:val="0"/>
          <w:marTop w:val="101"/>
          <w:marBottom w:val="0"/>
          <w:divBdr>
            <w:top w:val="none" w:sz="0" w:space="0" w:color="auto"/>
            <w:left w:val="none" w:sz="0" w:space="0" w:color="auto"/>
            <w:bottom w:val="none" w:sz="0" w:space="0" w:color="auto"/>
            <w:right w:val="none" w:sz="0" w:space="0" w:color="auto"/>
          </w:divBdr>
        </w:div>
        <w:div w:id="1994987486">
          <w:marLeft w:val="547"/>
          <w:marRight w:val="0"/>
          <w:marTop w:val="101"/>
          <w:marBottom w:val="0"/>
          <w:divBdr>
            <w:top w:val="none" w:sz="0" w:space="0" w:color="auto"/>
            <w:left w:val="none" w:sz="0" w:space="0" w:color="auto"/>
            <w:bottom w:val="none" w:sz="0" w:space="0" w:color="auto"/>
            <w:right w:val="none" w:sz="0" w:space="0" w:color="auto"/>
          </w:divBdr>
        </w:div>
      </w:divsChild>
    </w:div>
    <w:div w:id="713193215">
      <w:bodyDiv w:val="1"/>
      <w:marLeft w:val="0"/>
      <w:marRight w:val="0"/>
      <w:marTop w:val="0"/>
      <w:marBottom w:val="0"/>
      <w:divBdr>
        <w:top w:val="none" w:sz="0" w:space="0" w:color="auto"/>
        <w:left w:val="none" w:sz="0" w:space="0" w:color="auto"/>
        <w:bottom w:val="none" w:sz="0" w:space="0" w:color="auto"/>
        <w:right w:val="none" w:sz="0" w:space="0" w:color="auto"/>
      </w:divBdr>
    </w:div>
    <w:div w:id="752354575">
      <w:bodyDiv w:val="1"/>
      <w:marLeft w:val="0"/>
      <w:marRight w:val="0"/>
      <w:marTop w:val="0"/>
      <w:marBottom w:val="0"/>
      <w:divBdr>
        <w:top w:val="none" w:sz="0" w:space="0" w:color="auto"/>
        <w:left w:val="none" w:sz="0" w:space="0" w:color="auto"/>
        <w:bottom w:val="none" w:sz="0" w:space="0" w:color="auto"/>
        <w:right w:val="none" w:sz="0" w:space="0" w:color="auto"/>
      </w:divBdr>
    </w:div>
    <w:div w:id="755051799">
      <w:bodyDiv w:val="1"/>
      <w:marLeft w:val="0"/>
      <w:marRight w:val="0"/>
      <w:marTop w:val="0"/>
      <w:marBottom w:val="0"/>
      <w:divBdr>
        <w:top w:val="none" w:sz="0" w:space="0" w:color="auto"/>
        <w:left w:val="none" w:sz="0" w:space="0" w:color="auto"/>
        <w:bottom w:val="none" w:sz="0" w:space="0" w:color="auto"/>
        <w:right w:val="none" w:sz="0" w:space="0" w:color="auto"/>
      </w:divBdr>
      <w:divsChild>
        <w:div w:id="1081410183">
          <w:marLeft w:val="547"/>
          <w:marRight w:val="0"/>
          <w:marTop w:val="264"/>
          <w:marBottom w:val="0"/>
          <w:divBdr>
            <w:top w:val="none" w:sz="0" w:space="0" w:color="auto"/>
            <w:left w:val="none" w:sz="0" w:space="0" w:color="auto"/>
            <w:bottom w:val="none" w:sz="0" w:space="0" w:color="auto"/>
            <w:right w:val="none" w:sz="0" w:space="0" w:color="auto"/>
          </w:divBdr>
        </w:div>
        <w:div w:id="1500734393">
          <w:marLeft w:val="1166"/>
          <w:marRight w:val="0"/>
          <w:marTop w:val="264"/>
          <w:marBottom w:val="0"/>
          <w:divBdr>
            <w:top w:val="none" w:sz="0" w:space="0" w:color="auto"/>
            <w:left w:val="none" w:sz="0" w:space="0" w:color="auto"/>
            <w:bottom w:val="none" w:sz="0" w:space="0" w:color="auto"/>
            <w:right w:val="none" w:sz="0" w:space="0" w:color="auto"/>
          </w:divBdr>
        </w:div>
        <w:div w:id="602033320">
          <w:marLeft w:val="1166"/>
          <w:marRight w:val="0"/>
          <w:marTop w:val="264"/>
          <w:marBottom w:val="0"/>
          <w:divBdr>
            <w:top w:val="none" w:sz="0" w:space="0" w:color="auto"/>
            <w:left w:val="none" w:sz="0" w:space="0" w:color="auto"/>
            <w:bottom w:val="none" w:sz="0" w:space="0" w:color="auto"/>
            <w:right w:val="none" w:sz="0" w:space="0" w:color="auto"/>
          </w:divBdr>
        </w:div>
        <w:div w:id="75130018">
          <w:marLeft w:val="1166"/>
          <w:marRight w:val="0"/>
          <w:marTop w:val="264"/>
          <w:marBottom w:val="0"/>
          <w:divBdr>
            <w:top w:val="none" w:sz="0" w:space="0" w:color="auto"/>
            <w:left w:val="none" w:sz="0" w:space="0" w:color="auto"/>
            <w:bottom w:val="none" w:sz="0" w:space="0" w:color="auto"/>
            <w:right w:val="none" w:sz="0" w:space="0" w:color="auto"/>
          </w:divBdr>
        </w:div>
        <w:div w:id="372119237">
          <w:marLeft w:val="1166"/>
          <w:marRight w:val="0"/>
          <w:marTop w:val="264"/>
          <w:marBottom w:val="0"/>
          <w:divBdr>
            <w:top w:val="none" w:sz="0" w:space="0" w:color="auto"/>
            <w:left w:val="none" w:sz="0" w:space="0" w:color="auto"/>
            <w:bottom w:val="none" w:sz="0" w:space="0" w:color="auto"/>
            <w:right w:val="none" w:sz="0" w:space="0" w:color="auto"/>
          </w:divBdr>
        </w:div>
        <w:div w:id="772019059">
          <w:marLeft w:val="1166"/>
          <w:marRight w:val="0"/>
          <w:marTop w:val="264"/>
          <w:marBottom w:val="0"/>
          <w:divBdr>
            <w:top w:val="none" w:sz="0" w:space="0" w:color="auto"/>
            <w:left w:val="none" w:sz="0" w:space="0" w:color="auto"/>
            <w:bottom w:val="none" w:sz="0" w:space="0" w:color="auto"/>
            <w:right w:val="none" w:sz="0" w:space="0" w:color="auto"/>
          </w:divBdr>
        </w:div>
      </w:divsChild>
    </w:div>
    <w:div w:id="772238692">
      <w:bodyDiv w:val="1"/>
      <w:marLeft w:val="0"/>
      <w:marRight w:val="0"/>
      <w:marTop w:val="0"/>
      <w:marBottom w:val="0"/>
      <w:divBdr>
        <w:top w:val="none" w:sz="0" w:space="0" w:color="auto"/>
        <w:left w:val="none" w:sz="0" w:space="0" w:color="auto"/>
        <w:bottom w:val="none" w:sz="0" w:space="0" w:color="auto"/>
        <w:right w:val="none" w:sz="0" w:space="0" w:color="auto"/>
      </w:divBdr>
    </w:div>
    <w:div w:id="826017891">
      <w:bodyDiv w:val="1"/>
      <w:marLeft w:val="0"/>
      <w:marRight w:val="0"/>
      <w:marTop w:val="0"/>
      <w:marBottom w:val="0"/>
      <w:divBdr>
        <w:top w:val="none" w:sz="0" w:space="0" w:color="auto"/>
        <w:left w:val="none" w:sz="0" w:space="0" w:color="auto"/>
        <w:bottom w:val="none" w:sz="0" w:space="0" w:color="auto"/>
        <w:right w:val="none" w:sz="0" w:space="0" w:color="auto"/>
      </w:divBdr>
      <w:divsChild>
        <w:div w:id="1398240399">
          <w:marLeft w:val="547"/>
          <w:marRight w:val="0"/>
          <w:marTop w:val="125"/>
          <w:marBottom w:val="0"/>
          <w:divBdr>
            <w:top w:val="none" w:sz="0" w:space="0" w:color="auto"/>
            <w:left w:val="none" w:sz="0" w:space="0" w:color="auto"/>
            <w:bottom w:val="none" w:sz="0" w:space="0" w:color="auto"/>
            <w:right w:val="none" w:sz="0" w:space="0" w:color="auto"/>
          </w:divBdr>
        </w:div>
        <w:div w:id="1659532131">
          <w:marLeft w:val="547"/>
          <w:marRight w:val="0"/>
          <w:marTop w:val="125"/>
          <w:marBottom w:val="0"/>
          <w:divBdr>
            <w:top w:val="none" w:sz="0" w:space="0" w:color="auto"/>
            <w:left w:val="none" w:sz="0" w:space="0" w:color="auto"/>
            <w:bottom w:val="none" w:sz="0" w:space="0" w:color="auto"/>
            <w:right w:val="none" w:sz="0" w:space="0" w:color="auto"/>
          </w:divBdr>
        </w:div>
      </w:divsChild>
    </w:div>
    <w:div w:id="878130725">
      <w:bodyDiv w:val="1"/>
      <w:marLeft w:val="0"/>
      <w:marRight w:val="0"/>
      <w:marTop w:val="0"/>
      <w:marBottom w:val="0"/>
      <w:divBdr>
        <w:top w:val="none" w:sz="0" w:space="0" w:color="auto"/>
        <w:left w:val="none" w:sz="0" w:space="0" w:color="auto"/>
        <w:bottom w:val="none" w:sz="0" w:space="0" w:color="auto"/>
        <w:right w:val="none" w:sz="0" w:space="0" w:color="auto"/>
      </w:divBdr>
      <w:divsChild>
        <w:div w:id="1404448420">
          <w:marLeft w:val="547"/>
          <w:marRight w:val="0"/>
          <w:marTop w:val="96"/>
          <w:marBottom w:val="0"/>
          <w:divBdr>
            <w:top w:val="none" w:sz="0" w:space="0" w:color="auto"/>
            <w:left w:val="none" w:sz="0" w:space="0" w:color="auto"/>
            <w:bottom w:val="none" w:sz="0" w:space="0" w:color="auto"/>
            <w:right w:val="none" w:sz="0" w:space="0" w:color="auto"/>
          </w:divBdr>
        </w:div>
        <w:div w:id="1757676979">
          <w:marLeft w:val="547"/>
          <w:marRight w:val="0"/>
          <w:marTop w:val="96"/>
          <w:marBottom w:val="0"/>
          <w:divBdr>
            <w:top w:val="none" w:sz="0" w:space="0" w:color="auto"/>
            <w:left w:val="none" w:sz="0" w:space="0" w:color="auto"/>
            <w:bottom w:val="none" w:sz="0" w:space="0" w:color="auto"/>
            <w:right w:val="none" w:sz="0" w:space="0" w:color="auto"/>
          </w:divBdr>
        </w:div>
      </w:divsChild>
    </w:div>
    <w:div w:id="881019174">
      <w:bodyDiv w:val="1"/>
      <w:marLeft w:val="0"/>
      <w:marRight w:val="0"/>
      <w:marTop w:val="0"/>
      <w:marBottom w:val="0"/>
      <w:divBdr>
        <w:top w:val="none" w:sz="0" w:space="0" w:color="auto"/>
        <w:left w:val="none" w:sz="0" w:space="0" w:color="auto"/>
        <w:bottom w:val="none" w:sz="0" w:space="0" w:color="auto"/>
        <w:right w:val="none" w:sz="0" w:space="0" w:color="auto"/>
      </w:divBdr>
    </w:div>
    <w:div w:id="893586680">
      <w:bodyDiv w:val="1"/>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547"/>
          <w:marRight w:val="0"/>
          <w:marTop w:val="240"/>
          <w:marBottom w:val="0"/>
          <w:divBdr>
            <w:top w:val="none" w:sz="0" w:space="0" w:color="auto"/>
            <w:left w:val="none" w:sz="0" w:space="0" w:color="auto"/>
            <w:bottom w:val="none" w:sz="0" w:space="0" w:color="auto"/>
            <w:right w:val="none" w:sz="0" w:space="0" w:color="auto"/>
          </w:divBdr>
        </w:div>
      </w:divsChild>
    </w:div>
    <w:div w:id="916399565">
      <w:bodyDiv w:val="1"/>
      <w:marLeft w:val="0"/>
      <w:marRight w:val="0"/>
      <w:marTop w:val="0"/>
      <w:marBottom w:val="0"/>
      <w:divBdr>
        <w:top w:val="none" w:sz="0" w:space="0" w:color="auto"/>
        <w:left w:val="none" w:sz="0" w:space="0" w:color="auto"/>
        <w:bottom w:val="none" w:sz="0" w:space="0" w:color="auto"/>
        <w:right w:val="none" w:sz="0" w:space="0" w:color="auto"/>
      </w:divBdr>
      <w:divsChild>
        <w:div w:id="2015910732">
          <w:marLeft w:val="547"/>
          <w:marRight w:val="0"/>
          <w:marTop w:val="106"/>
          <w:marBottom w:val="0"/>
          <w:divBdr>
            <w:top w:val="none" w:sz="0" w:space="0" w:color="auto"/>
            <w:left w:val="none" w:sz="0" w:space="0" w:color="auto"/>
            <w:bottom w:val="none" w:sz="0" w:space="0" w:color="auto"/>
            <w:right w:val="none" w:sz="0" w:space="0" w:color="auto"/>
          </w:divBdr>
        </w:div>
        <w:div w:id="144393975">
          <w:marLeft w:val="547"/>
          <w:marRight w:val="0"/>
          <w:marTop w:val="106"/>
          <w:marBottom w:val="0"/>
          <w:divBdr>
            <w:top w:val="none" w:sz="0" w:space="0" w:color="auto"/>
            <w:left w:val="none" w:sz="0" w:space="0" w:color="auto"/>
            <w:bottom w:val="none" w:sz="0" w:space="0" w:color="auto"/>
            <w:right w:val="none" w:sz="0" w:space="0" w:color="auto"/>
          </w:divBdr>
        </w:div>
        <w:div w:id="760414696">
          <w:marLeft w:val="547"/>
          <w:marRight w:val="0"/>
          <w:marTop w:val="106"/>
          <w:marBottom w:val="0"/>
          <w:divBdr>
            <w:top w:val="none" w:sz="0" w:space="0" w:color="auto"/>
            <w:left w:val="none" w:sz="0" w:space="0" w:color="auto"/>
            <w:bottom w:val="none" w:sz="0" w:space="0" w:color="auto"/>
            <w:right w:val="none" w:sz="0" w:space="0" w:color="auto"/>
          </w:divBdr>
        </w:div>
      </w:divsChild>
    </w:div>
    <w:div w:id="957443897">
      <w:bodyDiv w:val="1"/>
      <w:marLeft w:val="0"/>
      <w:marRight w:val="0"/>
      <w:marTop w:val="0"/>
      <w:marBottom w:val="0"/>
      <w:divBdr>
        <w:top w:val="none" w:sz="0" w:space="0" w:color="auto"/>
        <w:left w:val="none" w:sz="0" w:space="0" w:color="auto"/>
        <w:bottom w:val="none" w:sz="0" w:space="0" w:color="auto"/>
        <w:right w:val="none" w:sz="0" w:space="0" w:color="auto"/>
      </w:divBdr>
    </w:div>
    <w:div w:id="964849758">
      <w:bodyDiv w:val="1"/>
      <w:marLeft w:val="0"/>
      <w:marRight w:val="0"/>
      <w:marTop w:val="0"/>
      <w:marBottom w:val="0"/>
      <w:divBdr>
        <w:top w:val="none" w:sz="0" w:space="0" w:color="auto"/>
        <w:left w:val="none" w:sz="0" w:space="0" w:color="auto"/>
        <w:bottom w:val="none" w:sz="0" w:space="0" w:color="auto"/>
        <w:right w:val="none" w:sz="0" w:space="0" w:color="auto"/>
      </w:divBdr>
    </w:div>
    <w:div w:id="978269022">
      <w:bodyDiv w:val="1"/>
      <w:marLeft w:val="0"/>
      <w:marRight w:val="0"/>
      <w:marTop w:val="0"/>
      <w:marBottom w:val="0"/>
      <w:divBdr>
        <w:top w:val="none" w:sz="0" w:space="0" w:color="auto"/>
        <w:left w:val="none" w:sz="0" w:space="0" w:color="auto"/>
        <w:bottom w:val="none" w:sz="0" w:space="0" w:color="auto"/>
        <w:right w:val="none" w:sz="0" w:space="0" w:color="auto"/>
      </w:divBdr>
    </w:div>
    <w:div w:id="980772729">
      <w:bodyDiv w:val="1"/>
      <w:marLeft w:val="0"/>
      <w:marRight w:val="0"/>
      <w:marTop w:val="0"/>
      <w:marBottom w:val="0"/>
      <w:divBdr>
        <w:top w:val="none" w:sz="0" w:space="0" w:color="auto"/>
        <w:left w:val="none" w:sz="0" w:space="0" w:color="auto"/>
        <w:bottom w:val="none" w:sz="0" w:space="0" w:color="auto"/>
        <w:right w:val="none" w:sz="0" w:space="0" w:color="auto"/>
      </w:divBdr>
    </w:div>
    <w:div w:id="1032995029">
      <w:bodyDiv w:val="1"/>
      <w:marLeft w:val="0"/>
      <w:marRight w:val="0"/>
      <w:marTop w:val="0"/>
      <w:marBottom w:val="0"/>
      <w:divBdr>
        <w:top w:val="none" w:sz="0" w:space="0" w:color="auto"/>
        <w:left w:val="none" w:sz="0" w:space="0" w:color="auto"/>
        <w:bottom w:val="none" w:sz="0" w:space="0" w:color="auto"/>
        <w:right w:val="none" w:sz="0" w:space="0" w:color="auto"/>
      </w:divBdr>
      <w:divsChild>
        <w:div w:id="280842693">
          <w:marLeft w:val="1166"/>
          <w:marRight w:val="0"/>
          <w:marTop w:val="86"/>
          <w:marBottom w:val="0"/>
          <w:divBdr>
            <w:top w:val="none" w:sz="0" w:space="0" w:color="auto"/>
            <w:left w:val="none" w:sz="0" w:space="0" w:color="auto"/>
            <w:bottom w:val="none" w:sz="0" w:space="0" w:color="auto"/>
            <w:right w:val="none" w:sz="0" w:space="0" w:color="auto"/>
          </w:divBdr>
        </w:div>
        <w:div w:id="525948989">
          <w:marLeft w:val="547"/>
          <w:marRight w:val="0"/>
          <w:marTop w:val="86"/>
          <w:marBottom w:val="0"/>
          <w:divBdr>
            <w:top w:val="none" w:sz="0" w:space="0" w:color="auto"/>
            <w:left w:val="none" w:sz="0" w:space="0" w:color="auto"/>
            <w:bottom w:val="none" w:sz="0" w:space="0" w:color="auto"/>
            <w:right w:val="none" w:sz="0" w:space="0" w:color="auto"/>
          </w:divBdr>
        </w:div>
        <w:div w:id="594897065">
          <w:marLeft w:val="1166"/>
          <w:marRight w:val="0"/>
          <w:marTop w:val="86"/>
          <w:marBottom w:val="0"/>
          <w:divBdr>
            <w:top w:val="none" w:sz="0" w:space="0" w:color="auto"/>
            <w:left w:val="none" w:sz="0" w:space="0" w:color="auto"/>
            <w:bottom w:val="none" w:sz="0" w:space="0" w:color="auto"/>
            <w:right w:val="none" w:sz="0" w:space="0" w:color="auto"/>
          </w:divBdr>
        </w:div>
        <w:div w:id="716317104">
          <w:marLeft w:val="1166"/>
          <w:marRight w:val="0"/>
          <w:marTop w:val="86"/>
          <w:marBottom w:val="0"/>
          <w:divBdr>
            <w:top w:val="none" w:sz="0" w:space="0" w:color="auto"/>
            <w:left w:val="none" w:sz="0" w:space="0" w:color="auto"/>
            <w:bottom w:val="none" w:sz="0" w:space="0" w:color="auto"/>
            <w:right w:val="none" w:sz="0" w:space="0" w:color="auto"/>
          </w:divBdr>
        </w:div>
        <w:div w:id="903443191">
          <w:marLeft w:val="1166"/>
          <w:marRight w:val="0"/>
          <w:marTop w:val="86"/>
          <w:marBottom w:val="0"/>
          <w:divBdr>
            <w:top w:val="none" w:sz="0" w:space="0" w:color="auto"/>
            <w:left w:val="none" w:sz="0" w:space="0" w:color="auto"/>
            <w:bottom w:val="none" w:sz="0" w:space="0" w:color="auto"/>
            <w:right w:val="none" w:sz="0" w:space="0" w:color="auto"/>
          </w:divBdr>
        </w:div>
        <w:div w:id="983117089">
          <w:marLeft w:val="547"/>
          <w:marRight w:val="0"/>
          <w:marTop w:val="86"/>
          <w:marBottom w:val="0"/>
          <w:divBdr>
            <w:top w:val="none" w:sz="0" w:space="0" w:color="auto"/>
            <w:left w:val="none" w:sz="0" w:space="0" w:color="auto"/>
            <w:bottom w:val="none" w:sz="0" w:space="0" w:color="auto"/>
            <w:right w:val="none" w:sz="0" w:space="0" w:color="auto"/>
          </w:divBdr>
        </w:div>
        <w:div w:id="1010329244">
          <w:marLeft w:val="1166"/>
          <w:marRight w:val="0"/>
          <w:marTop w:val="86"/>
          <w:marBottom w:val="0"/>
          <w:divBdr>
            <w:top w:val="none" w:sz="0" w:space="0" w:color="auto"/>
            <w:left w:val="none" w:sz="0" w:space="0" w:color="auto"/>
            <w:bottom w:val="none" w:sz="0" w:space="0" w:color="auto"/>
            <w:right w:val="none" w:sz="0" w:space="0" w:color="auto"/>
          </w:divBdr>
        </w:div>
        <w:div w:id="1286737095">
          <w:marLeft w:val="1166"/>
          <w:marRight w:val="0"/>
          <w:marTop w:val="86"/>
          <w:marBottom w:val="0"/>
          <w:divBdr>
            <w:top w:val="none" w:sz="0" w:space="0" w:color="auto"/>
            <w:left w:val="none" w:sz="0" w:space="0" w:color="auto"/>
            <w:bottom w:val="none" w:sz="0" w:space="0" w:color="auto"/>
            <w:right w:val="none" w:sz="0" w:space="0" w:color="auto"/>
          </w:divBdr>
        </w:div>
        <w:div w:id="1688558077">
          <w:marLeft w:val="1166"/>
          <w:marRight w:val="0"/>
          <w:marTop w:val="86"/>
          <w:marBottom w:val="0"/>
          <w:divBdr>
            <w:top w:val="none" w:sz="0" w:space="0" w:color="auto"/>
            <w:left w:val="none" w:sz="0" w:space="0" w:color="auto"/>
            <w:bottom w:val="none" w:sz="0" w:space="0" w:color="auto"/>
            <w:right w:val="none" w:sz="0" w:space="0" w:color="auto"/>
          </w:divBdr>
        </w:div>
        <w:div w:id="1768310839">
          <w:marLeft w:val="1166"/>
          <w:marRight w:val="0"/>
          <w:marTop w:val="86"/>
          <w:marBottom w:val="0"/>
          <w:divBdr>
            <w:top w:val="none" w:sz="0" w:space="0" w:color="auto"/>
            <w:left w:val="none" w:sz="0" w:space="0" w:color="auto"/>
            <w:bottom w:val="none" w:sz="0" w:space="0" w:color="auto"/>
            <w:right w:val="none" w:sz="0" w:space="0" w:color="auto"/>
          </w:divBdr>
        </w:div>
        <w:div w:id="2001424704">
          <w:marLeft w:val="547"/>
          <w:marRight w:val="0"/>
          <w:marTop w:val="86"/>
          <w:marBottom w:val="0"/>
          <w:divBdr>
            <w:top w:val="none" w:sz="0" w:space="0" w:color="auto"/>
            <w:left w:val="none" w:sz="0" w:space="0" w:color="auto"/>
            <w:bottom w:val="none" w:sz="0" w:space="0" w:color="auto"/>
            <w:right w:val="none" w:sz="0" w:space="0" w:color="auto"/>
          </w:divBdr>
        </w:div>
        <w:div w:id="2111510631">
          <w:marLeft w:val="547"/>
          <w:marRight w:val="0"/>
          <w:marTop w:val="86"/>
          <w:marBottom w:val="0"/>
          <w:divBdr>
            <w:top w:val="none" w:sz="0" w:space="0" w:color="auto"/>
            <w:left w:val="none" w:sz="0" w:space="0" w:color="auto"/>
            <w:bottom w:val="none" w:sz="0" w:space="0" w:color="auto"/>
            <w:right w:val="none" w:sz="0" w:space="0" w:color="auto"/>
          </w:divBdr>
        </w:div>
      </w:divsChild>
    </w:div>
    <w:div w:id="1038746671">
      <w:bodyDiv w:val="1"/>
      <w:marLeft w:val="0"/>
      <w:marRight w:val="0"/>
      <w:marTop w:val="0"/>
      <w:marBottom w:val="0"/>
      <w:divBdr>
        <w:top w:val="none" w:sz="0" w:space="0" w:color="auto"/>
        <w:left w:val="none" w:sz="0" w:space="0" w:color="auto"/>
        <w:bottom w:val="none" w:sz="0" w:space="0" w:color="auto"/>
        <w:right w:val="none" w:sz="0" w:space="0" w:color="auto"/>
      </w:divBdr>
    </w:div>
    <w:div w:id="1078943241">
      <w:bodyDiv w:val="1"/>
      <w:marLeft w:val="0"/>
      <w:marRight w:val="0"/>
      <w:marTop w:val="0"/>
      <w:marBottom w:val="0"/>
      <w:divBdr>
        <w:top w:val="none" w:sz="0" w:space="0" w:color="auto"/>
        <w:left w:val="none" w:sz="0" w:space="0" w:color="auto"/>
        <w:bottom w:val="none" w:sz="0" w:space="0" w:color="auto"/>
        <w:right w:val="none" w:sz="0" w:space="0" w:color="auto"/>
      </w:divBdr>
      <w:divsChild>
        <w:div w:id="1791777673">
          <w:marLeft w:val="547"/>
          <w:marRight w:val="0"/>
          <w:marTop w:val="96"/>
          <w:marBottom w:val="0"/>
          <w:divBdr>
            <w:top w:val="none" w:sz="0" w:space="0" w:color="auto"/>
            <w:left w:val="none" w:sz="0" w:space="0" w:color="auto"/>
            <w:bottom w:val="none" w:sz="0" w:space="0" w:color="auto"/>
            <w:right w:val="none" w:sz="0" w:space="0" w:color="auto"/>
          </w:divBdr>
        </w:div>
      </w:divsChild>
    </w:div>
    <w:div w:id="1206405941">
      <w:bodyDiv w:val="1"/>
      <w:marLeft w:val="0"/>
      <w:marRight w:val="0"/>
      <w:marTop w:val="0"/>
      <w:marBottom w:val="0"/>
      <w:divBdr>
        <w:top w:val="none" w:sz="0" w:space="0" w:color="auto"/>
        <w:left w:val="none" w:sz="0" w:space="0" w:color="auto"/>
        <w:bottom w:val="none" w:sz="0" w:space="0" w:color="auto"/>
        <w:right w:val="none" w:sz="0" w:space="0" w:color="auto"/>
      </w:divBdr>
      <w:divsChild>
        <w:div w:id="683092091">
          <w:marLeft w:val="547"/>
          <w:marRight w:val="0"/>
          <w:marTop w:val="96"/>
          <w:marBottom w:val="0"/>
          <w:divBdr>
            <w:top w:val="none" w:sz="0" w:space="0" w:color="auto"/>
            <w:left w:val="none" w:sz="0" w:space="0" w:color="auto"/>
            <w:bottom w:val="none" w:sz="0" w:space="0" w:color="auto"/>
            <w:right w:val="none" w:sz="0" w:space="0" w:color="auto"/>
          </w:divBdr>
        </w:div>
        <w:div w:id="429008287">
          <w:marLeft w:val="547"/>
          <w:marRight w:val="0"/>
          <w:marTop w:val="96"/>
          <w:marBottom w:val="0"/>
          <w:divBdr>
            <w:top w:val="none" w:sz="0" w:space="0" w:color="auto"/>
            <w:left w:val="none" w:sz="0" w:space="0" w:color="auto"/>
            <w:bottom w:val="none" w:sz="0" w:space="0" w:color="auto"/>
            <w:right w:val="none" w:sz="0" w:space="0" w:color="auto"/>
          </w:divBdr>
        </w:div>
      </w:divsChild>
    </w:div>
    <w:div w:id="1210414837">
      <w:bodyDiv w:val="1"/>
      <w:marLeft w:val="0"/>
      <w:marRight w:val="0"/>
      <w:marTop w:val="0"/>
      <w:marBottom w:val="0"/>
      <w:divBdr>
        <w:top w:val="none" w:sz="0" w:space="0" w:color="auto"/>
        <w:left w:val="none" w:sz="0" w:space="0" w:color="auto"/>
        <w:bottom w:val="none" w:sz="0" w:space="0" w:color="auto"/>
        <w:right w:val="none" w:sz="0" w:space="0" w:color="auto"/>
      </w:divBdr>
      <w:divsChild>
        <w:div w:id="2069649697">
          <w:marLeft w:val="547"/>
          <w:marRight w:val="0"/>
          <w:marTop w:val="96"/>
          <w:marBottom w:val="0"/>
          <w:divBdr>
            <w:top w:val="none" w:sz="0" w:space="0" w:color="auto"/>
            <w:left w:val="none" w:sz="0" w:space="0" w:color="auto"/>
            <w:bottom w:val="none" w:sz="0" w:space="0" w:color="auto"/>
            <w:right w:val="none" w:sz="0" w:space="0" w:color="auto"/>
          </w:divBdr>
        </w:div>
        <w:div w:id="49425305">
          <w:marLeft w:val="547"/>
          <w:marRight w:val="0"/>
          <w:marTop w:val="96"/>
          <w:marBottom w:val="0"/>
          <w:divBdr>
            <w:top w:val="none" w:sz="0" w:space="0" w:color="auto"/>
            <w:left w:val="none" w:sz="0" w:space="0" w:color="auto"/>
            <w:bottom w:val="none" w:sz="0" w:space="0" w:color="auto"/>
            <w:right w:val="none" w:sz="0" w:space="0" w:color="auto"/>
          </w:divBdr>
        </w:div>
        <w:div w:id="52892069">
          <w:marLeft w:val="547"/>
          <w:marRight w:val="0"/>
          <w:marTop w:val="96"/>
          <w:marBottom w:val="0"/>
          <w:divBdr>
            <w:top w:val="none" w:sz="0" w:space="0" w:color="auto"/>
            <w:left w:val="none" w:sz="0" w:space="0" w:color="auto"/>
            <w:bottom w:val="none" w:sz="0" w:space="0" w:color="auto"/>
            <w:right w:val="none" w:sz="0" w:space="0" w:color="auto"/>
          </w:divBdr>
        </w:div>
        <w:div w:id="485055433">
          <w:marLeft w:val="547"/>
          <w:marRight w:val="0"/>
          <w:marTop w:val="96"/>
          <w:marBottom w:val="0"/>
          <w:divBdr>
            <w:top w:val="none" w:sz="0" w:space="0" w:color="auto"/>
            <w:left w:val="none" w:sz="0" w:space="0" w:color="auto"/>
            <w:bottom w:val="none" w:sz="0" w:space="0" w:color="auto"/>
            <w:right w:val="none" w:sz="0" w:space="0" w:color="auto"/>
          </w:divBdr>
        </w:div>
      </w:divsChild>
    </w:div>
    <w:div w:id="1235046208">
      <w:bodyDiv w:val="1"/>
      <w:marLeft w:val="0"/>
      <w:marRight w:val="0"/>
      <w:marTop w:val="0"/>
      <w:marBottom w:val="0"/>
      <w:divBdr>
        <w:top w:val="none" w:sz="0" w:space="0" w:color="auto"/>
        <w:left w:val="none" w:sz="0" w:space="0" w:color="auto"/>
        <w:bottom w:val="none" w:sz="0" w:space="0" w:color="auto"/>
        <w:right w:val="none" w:sz="0" w:space="0" w:color="auto"/>
      </w:divBdr>
    </w:div>
    <w:div w:id="1260795859">
      <w:bodyDiv w:val="1"/>
      <w:marLeft w:val="0"/>
      <w:marRight w:val="0"/>
      <w:marTop w:val="0"/>
      <w:marBottom w:val="0"/>
      <w:divBdr>
        <w:top w:val="none" w:sz="0" w:space="0" w:color="auto"/>
        <w:left w:val="none" w:sz="0" w:space="0" w:color="auto"/>
        <w:bottom w:val="none" w:sz="0" w:space="0" w:color="auto"/>
        <w:right w:val="none" w:sz="0" w:space="0" w:color="auto"/>
      </w:divBdr>
      <w:divsChild>
        <w:div w:id="520171424">
          <w:marLeft w:val="547"/>
          <w:marRight w:val="0"/>
          <w:marTop w:val="96"/>
          <w:marBottom w:val="0"/>
          <w:divBdr>
            <w:top w:val="none" w:sz="0" w:space="0" w:color="auto"/>
            <w:left w:val="none" w:sz="0" w:space="0" w:color="auto"/>
            <w:bottom w:val="none" w:sz="0" w:space="0" w:color="auto"/>
            <w:right w:val="none" w:sz="0" w:space="0" w:color="auto"/>
          </w:divBdr>
        </w:div>
        <w:div w:id="200359509">
          <w:marLeft w:val="547"/>
          <w:marRight w:val="0"/>
          <w:marTop w:val="96"/>
          <w:marBottom w:val="0"/>
          <w:divBdr>
            <w:top w:val="none" w:sz="0" w:space="0" w:color="auto"/>
            <w:left w:val="none" w:sz="0" w:space="0" w:color="auto"/>
            <w:bottom w:val="none" w:sz="0" w:space="0" w:color="auto"/>
            <w:right w:val="none" w:sz="0" w:space="0" w:color="auto"/>
          </w:divBdr>
        </w:div>
        <w:div w:id="954292000">
          <w:marLeft w:val="547"/>
          <w:marRight w:val="0"/>
          <w:marTop w:val="96"/>
          <w:marBottom w:val="0"/>
          <w:divBdr>
            <w:top w:val="none" w:sz="0" w:space="0" w:color="auto"/>
            <w:left w:val="none" w:sz="0" w:space="0" w:color="auto"/>
            <w:bottom w:val="none" w:sz="0" w:space="0" w:color="auto"/>
            <w:right w:val="none" w:sz="0" w:space="0" w:color="auto"/>
          </w:divBdr>
        </w:div>
        <w:div w:id="1879583590">
          <w:marLeft w:val="547"/>
          <w:marRight w:val="0"/>
          <w:marTop w:val="96"/>
          <w:marBottom w:val="0"/>
          <w:divBdr>
            <w:top w:val="none" w:sz="0" w:space="0" w:color="auto"/>
            <w:left w:val="none" w:sz="0" w:space="0" w:color="auto"/>
            <w:bottom w:val="none" w:sz="0" w:space="0" w:color="auto"/>
            <w:right w:val="none" w:sz="0" w:space="0" w:color="auto"/>
          </w:divBdr>
        </w:div>
        <w:div w:id="345788247">
          <w:marLeft w:val="547"/>
          <w:marRight w:val="0"/>
          <w:marTop w:val="96"/>
          <w:marBottom w:val="0"/>
          <w:divBdr>
            <w:top w:val="none" w:sz="0" w:space="0" w:color="auto"/>
            <w:left w:val="none" w:sz="0" w:space="0" w:color="auto"/>
            <w:bottom w:val="none" w:sz="0" w:space="0" w:color="auto"/>
            <w:right w:val="none" w:sz="0" w:space="0" w:color="auto"/>
          </w:divBdr>
        </w:div>
      </w:divsChild>
    </w:div>
    <w:div w:id="1308239069">
      <w:bodyDiv w:val="1"/>
      <w:marLeft w:val="0"/>
      <w:marRight w:val="0"/>
      <w:marTop w:val="0"/>
      <w:marBottom w:val="0"/>
      <w:divBdr>
        <w:top w:val="none" w:sz="0" w:space="0" w:color="auto"/>
        <w:left w:val="none" w:sz="0" w:space="0" w:color="auto"/>
        <w:bottom w:val="none" w:sz="0" w:space="0" w:color="auto"/>
        <w:right w:val="none" w:sz="0" w:space="0" w:color="auto"/>
      </w:divBdr>
    </w:div>
    <w:div w:id="1366060360">
      <w:bodyDiv w:val="1"/>
      <w:marLeft w:val="0"/>
      <w:marRight w:val="0"/>
      <w:marTop w:val="0"/>
      <w:marBottom w:val="0"/>
      <w:divBdr>
        <w:top w:val="none" w:sz="0" w:space="0" w:color="auto"/>
        <w:left w:val="none" w:sz="0" w:space="0" w:color="auto"/>
        <w:bottom w:val="none" w:sz="0" w:space="0" w:color="auto"/>
        <w:right w:val="none" w:sz="0" w:space="0" w:color="auto"/>
      </w:divBdr>
      <w:divsChild>
        <w:div w:id="1851139150">
          <w:marLeft w:val="0"/>
          <w:marRight w:val="0"/>
          <w:marTop w:val="0"/>
          <w:marBottom w:val="0"/>
          <w:divBdr>
            <w:top w:val="none" w:sz="0" w:space="0" w:color="auto"/>
            <w:left w:val="none" w:sz="0" w:space="0" w:color="auto"/>
            <w:bottom w:val="none" w:sz="0" w:space="0" w:color="auto"/>
            <w:right w:val="none" w:sz="0" w:space="0" w:color="auto"/>
          </w:divBdr>
          <w:divsChild>
            <w:div w:id="1833721185">
              <w:marLeft w:val="0"/>
              <w:marRight w:val="0"/>
              <w:marTop w:val="0"/>
              <w:marBottom w:val="0"/>
              <w:divBdr>
                <w:top w:val="none" w:sz="0" w:space="0" w:color="auto"/>
                <w:left w:val="none" w:sz="0" w:space="0" w:color="auto"/>
                <w:bottom w:val="none" w:sz="0" w:space="0" w:color="auto"/>
                <w:right w:val="none" w:sz="0" w:space="0" w:color="auto"/>
              </w:divBdr>
              <w:divsChild>
                <w:div w:id="92285064">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 w:id="1390152797">
      <w:bodyDiv w:val="1"/>
      <w:marLeft w:val="0"/>
      <w:marRight w:val="0"/>
      <w:marTop w:val="0"/>
      <w:marBottom w:val="0"/>
      <w:divBdr>
        <w:top w:val="none" w:sz="0" w:space="0" w:color="auto"/>
        <w:left w:val="none" w:sz="0" w:space="0" w:color="auto"/>
        <w:bottom w:val="none" w:sz="0" w:space="0" w:color="auto"/>
        <w:right w:val="none" w:sz="0" w:space="0" w:color="auto"/>
      </w:divBdr>
    </w:div>
    <w:div w:id="1393700698">
      <w:bodyDiv w:val="1"/>
      <w:marLeft w:val="0"/>
      <w:marRight w:val="0"/>
      <w:marTop w:val="0"/>
      <w:marBottom w:val="0"/>
      <w:divBdr>
        <w:top w:val="none" w:sz="0" w:space="0" w:color="auto"/>
        <w:left w:val="none" w:sz="0" w:space="0" w:color="auto"/>
        <w:bottom w:val="none" w:sz="0" w:space="0" w:color="auto"/>
        <w:right w:val="none" w:sz="0" w:space="0" w:color="auto"/>
      </w:divBdr>
      <w:divsChild>
        <w:div w:id="1496528155">
          <w:marLeft w:val="547"/>
          <w:marRight w:val="0"/>
          <w:marTop w:val="77"/>
          <w:marBottom w:val="0"/>
          <w:divBdr>
            <w:top w:val="none" w:sz="0" w:space="0" w:color="auto"/>
            <w:left w:val="none" w:sz="0" w:space="0" w:color="auto"/>
            <w:bottom w:val="none" w:sz="0" w:space="0" w:color="auto"/>
            <w:right w:val="none" w:sz="0" w:space="0" w:color="auto"/>
          </w:divBdr>
        </w:div>
        <w:div w:id="315648650">
          <w:marLeft w:val="547"/>
          <w:marRight w:val="0"/>
          <w:marTop w:val="77"/>
          <w:marBottom w:val="0"/>
          <w:divBdr>
            <w:top w:val="none" w:sz="0" w:space="0" w:color="auto"/>
            <w:left w:val="none" w:sz="0" w:space="0" w:color="auto"/>
            <w:bottom w:val="none" w:sz="0" w:space="0" w:color="auto"/>
            <w:right w:val="none" w:sz="0" w:space="0" w:color="auto"/>
          </w:divBdr>
        </w:div>
        <w:div w:id="977950806">
          <w:marLeft w:val="547"/>
          <w:marRight w:val="0"/>
          <w:marTop w:val="77"/>
          <w:marBottom w:val="0"/>
          <w:divBdr>
            <w:top w:val="none" w:sz="0" w:space="0" w:color="auto"/>
            <w:left w:val="none" w:sz="0" w:space="0" w:color="auto"/>
            <w:bottom w:val="none" w:sz="0" w:space="0" w:color="auto"/>
            <w:right w:val="none" w:sz="0" w:space="0" w:color="auto"/>
          </w:divBdr>
        </w:div>
        <w:div w:id="1207985792">
          <w:marLeft w:val="547"/>
          <w:marRight w:val="0"/>
          <w:marTop w:val="77"/>
          <w:marBottom w:val="0"/>
          <w:divBdr>
            <w:top w:val="none" w:sz="0" w:space="0" w:color="auto"/>
            <w:left w:val="none" w:sz="0" w:space="0" w:color="auto"/>
            <w:bottom w:val="none" w:sz="0" w:space="0" w:color="auto"/>
            <w:right w:val="none" w:sz="0" w:space="0" w:color="auto"/>
          </w:divBdr>
        </w:div>
      </w:divsChild>
    </w:div>
    <w:div w:id="1404914172">
      <w:bodyDiv w:val="1"/>
      <w:marLeft w:val="0"/>
      <w:marRight w:val="0"/>
      <w:marTop w:val="0"/>
      <w:marBottom w:val="0"/>
      <w:divBdr>
        <w:top w:val="none" w:sz="0" w:space="0" w:color="auto"/>
        <w:left w:val="none" w:sz="0" w:space="0" w:color="auto"/>
        <w:bottom w:val="none" w:sz="0" w:space="0" w:color="auto"/>
        <w:right w:val="none" w:sz="0" w:space="0" w:color="auto"/>
      </w:divBdr>
    </w:div>
    <w:div w:id="1412191268">
      <w:bodyDiv w:val="1"/>
      <w:marLeft w:val="0"/>
      <w:marRight w:val="0"/>
      <w:marTop w:val="0"/>
      <w:marBottom w:val="0"/>
      <w:divBdr>
        <w:top w:val="none" w:sz="0" w:space="0" w:color="auto"/>
        <w:left w:val="none" w:sz="0" w:space="0" w:color="auto"/>
        <w:bottom w:val="none" w:sz="0" w:space="0" w:color="auto"/>
        <w:right w:val="none" w:sz="0" w:space="0" w:color="auto"/>
      </w:divBdr>
      <w:divsChild>
        <w:div w:id="1836069880">
          <w:marLeft w:val="0"/>
          <w:marRight w:val="0"/>
          <w:marTop w:val="290"/>
          <w:marBottom w:val="0"/>
          <w:divBdr>
            <w:top w:val="none" w:sz="0" w:space="0" w:color="auto"/>
            <w:left w:val="none" w:sz="0" w:space="0" w:color="auto"/>
            <w:bottom w:val="none" w:sz="0" w:space="0" w:color="auto"/>
            <w:right w:val="none" w:sz="0" w:space="0" w:color="auto"/>
          </w:divBdr>
        </w:div>
        <w:div w:id="1458135088">
          <w:marLeft w:val="1325"/>
          <w:marRight w:val="0"/>
          <w:marTop w:val="290"/>
          <w:marBottom w:val="0"/>
          <w:divBdr>
            <w:top w:val="none" w:sz="0" w:space="0" w:color="auto"/>
            <w:left w:val="none" w:sz="0" w:space="0" w:color="auto"/>
            <w:bottom w:val="none" w:sz="0" w:space="0" w:color="auto"/>
            <w:right w:val="none" w:sz="0" w:space="0" w:color="auto"/>
          </w:divBdr>
        </w:div>
        <w:div w:id="1245065275">
          <w:marLeft w:val="1325"/>
          <w:marRight w:val="0"/>
          <w:marTop w:val="290"/>
          <w:marBottom w:val="0"/>
          <w:divBdr>
            <w:top w:val="none" w:sz="0" w:space="0" w:color="auto"/>
            <w:left w:val="none" w:sz="0" w:space="0" w:color="auto"/>
            <w:bottom w:val="none" w:sz="0" w:space="0" w:color="auto"/>
            <w:right w:val="none" w:sz="0" w:space="0" w:color="auto"/>
          </w:divBdr>
        </w:div>
      </w:divsChild>
    </w:div>
    <w:div w:id="1414669147">
      <w:bodyDiv w:val="1"/>
      <w:marLeft w:val="0"/>
      <w:marRight w:val="0"/>
      <w:marTop w:val="0"/>
      <w:marBottom w:val="0"/>
      <w:divBdr>
        <w:top w:val="none" w:sz="0" w:space="0" w:color="auto"/>
        <w:left w:val="none" w:sz="0" w:space="0" w:color="auto"/>
        <w:bottom w:val="none" w:sz="0" w:space="0" w:color="auto"/>
        <w:right w:val="none" w:sz="0" w:space="0" w:color="auto"/>
      </w:divBdr>
    </w:div>
    <w:div w:id="1451319340">
      <w:bodyDiv w:val="1"/>
      <w:marLeft w:val="0"/>
      <w:marRight w:val="0"/>
      <w:marTop w:val="0"/>
      <w:marBottom w:val="0"/>
      <w:divBdr>
        <w:top w:val="none" w:sz="0" w:space="0" w:color="auto"/>
        <w:left w:val="none" w:sz="0" w:space="0" w:color="auto"/>
        <w:bottom w:val="none" w:sz="0" w:space="0" w:color="auto"/>
        <w:right w:val="none" w:sz="0" w:space="0" w:color="auto"/>
      </w:divBdr>
      <w:divsChild>
        <w:div w:id="617219244">
          <w:marLeft w:val="0"/>
          <w:marRight w:val="0"/>
          <w:marTop w:val="211"/>
          <w:marBottom w:val="0"/>
          <w:divBdr>
            <w:top w:val="none" w:sz="0" w:space="0" w:color="auto"/>
            <w:left w:val="none" w:sz="0" w:space="0" w:color="auto"/>
            <w:bottom w:val="none" w:sz="0" w:space="0" w:color="auto"/>
            <w:right w:val="none" w:sz="0" w:space="0" w:color="auto"/>
          </w:divBdr>
        </w:div>
        <w:div w:id="1755593167">
          <w:marLeft w:val="0"/>
          <w:marRight w:val="0"/>
          <w:marTop w:val="211"/>
          <w:marBottom w:val="0"/>
          <w:divBdr>
            <w:top w:val="none" w:sz="0" w:space="0" w:color="auto"/>
            <w:left w:val="none" w:sz="0" w:space="0" w:color="auto"/>
            <w:bottom w:val="none" w:sz="0" w:space="0" w:color="auto"/>
            <w:right w:val="none" w:sz="0" w:space="0" w:color="auto"/>
          </w:divBdr>
        </w:div>
        <w:div w:id="460807359">
          <w:marLeft w:val="0"/>
          <w:marRight w:val="0"/>
          <w:marTop w:val="211"/>
          <w:marBottom w:val="0"/>
          <w:divBdr>
            <w:top w:val="none" w:sz="0" w:space="0" w:color="auto"/>
            <w:left w:val="none" w:sz="0" w:space="0" w:color="auto"/>
            <w:bottom w:val="none" w:sz="0" w:space="0" w:color="auto"/>
            <w:right w:val="none" w:sz="0" w:space="0" w:color="auto"/>
          </w:divBdr>
        </w:div>
        <w:div w:id="291248983">
          <w:marLeft w:val="0"/>
          <w:marRight w:val="0"/>
          <w:marTop w:val="211"/>
          <w:marBottom w:val="0"/>
          <w:divBdr>
            <w:top w:val="none" w:sz="0" w:space="0" w:color="auto"/>
            <w:left w:val="none" w:sz="0" w:space="0" w:color="auto"/>
            <w:bottom w:val="none" w:sz="0" w:space="0" w:color="auto"/>
            <w:right w:val="none" w:sz="0" w:space="0" w:color="auto"/>
          </w:divBdr>
        </w:div>
      </w:divsChild>
    </w:div>
    <w:div w:id="1461069089">
      <w:bodyDiv w:val="1"/>
      <w:marLeft w:val="0"/>
      <w:marRight w:val="0"/>
      <w:marTop w:val="0"/>
      <w:marBottom w:val="0"/>
      <w:divBdr>
        <w:top w:val="none" w:sz="0" w:space="0" w:color="auto"/>
        <w:left w:val="none" w:sz="0" w:space="0" w:color="auto"/>
        <w:bottom w:val="none" w:sz="0" w:space="0" w:color="auto"/>
        <w:right w:val="none" w:sz="0" w:space="0" w:color="auto"/>
      </w:divBdr>
      <w:divsChild>
        <w:div w:id="1022122209">
          <w:marLeft w:val="0"/>
          <w:marRight w:val="0"/>
          <w:marTop w:val="0"/>
          <w:marBottom w:val="0"/>
          <w:divBdr>
            <w:top w:val="none" w:sz="0" w:space="0" w:color="auto"/>
            <w:left w:val="none" w:sz="0" w:space="0" w:color="auto"/>
            <w:bottom w:val="none" w:sz="0" w:space="0" w:color="auto"/>
            <w:right w:val="none" w:sz="0" w:space="0" w:color="auto"/>
          </w:divBdr>
          <w:divsChild>
            <w:div w:id="1763065612">
              <w:marLeft w:val="0"/>
              <w:marRight w:val="0"/>
              <w:marTop w:val="0"/>
              <w:marBottom w:val="0"/>
              <w:divBdr>
                <w:top w:val="none" w:sz="0" w:space="0" w:color="auto"/>
                <w:left w:val="none" w:sz="0" w:space="0" w:color="auto"/>
                <w:bottom w:val="none" w:sz="0" w:space="0" w:color="auto"/>
                <w:right w:val="none" w:sz="0" w:space="0" w:color="auto"/>
              </w:divBdr>
              <w:divsChild>
                <w:div w:id="2016415985">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 w:id="1473985091">
      <w:bodyDiv w:val="1"/>
      <w:marLeft w:val="0"/>
      <w:marRight w:val="0"/>
      <w:marTop w:val="0"/>
      <w:marBottom w:val="0"/>
      <w:divBdr>
        <w:top w:val="none" w:sz="0" w:space="0" w:color="auto"/>
        <w:left w:val="none" w:sz="0" w:space="0" w:color="auto"/>
        <w:bottom w:val="none" w:sz="0" w:space="0" w:color="auto"/>
        <w:right w:val="none" w:sz="0" w:space="0" w:color="auto"/>
      </w:divBdr>
    </w:div>
    <w:div w:id="1476945270">
      <w:bodyDiv w:val="1"/>
      <w:marLeft w:val="0"/>
      <w:marRight w:val="0"/>
      <w:marTop w:val="0"/>
      <w:marBottom w:val="0"/>
      <w:divBdr>
        <w:top w:val="none" w:sz="0" w:space="0" w:color="auto"/>
        <w:left w:val="none" w:sz="0" w:space="0" w:color="auto"/>
        <w:bottom w:val="none" w:sz="0" w:space="0" w:color="auto"/>
        <w:right w:val="none" w:sz="0" w:space="0" w:color="auto"/>
      </w:divBdr>
      <w:divsChild>
        <w:div w:id="266742304">
          <w:marLeft w:val="547"/>
          <w:marRight w:val="0"/>
          <w:marTop w:val="125"/>
          <w:marBottom w:val="0"/>
          <w:divBdr>
            <w:top w:val="none" w:sz="0" w:space="0" w:color="auto"/>
            <w:left w:val="none" w:sz="0" w:space="0" w:color="auto"/>
            <w:bottom w:val="none" w:sz="0" w:space="0" w:color="auto"/>
            <w:right w:val="none" w:sz="0" w:space="0" w:color="auto"/>
          </w:divBdr>
        </w:div>
        <w:div w:id="493181210">
          <w:marLeft w:val="547"/>
          <w:marRight w:val="0"/>
          <w:marTop w:val="125"/>
          <w:marBottom w:val="0"/>
          <w:divBdr>
            <w:top w:val="none" w:sz="0" w:space="0" w:color="auto"/>
            <w:left w:val="none" w:sz="0" w:space="0" w:color="auto"/>
            <w:bottom w:val="none" w:sz="0" w:space="0" w:color="auto"/>
            <w:right w:val="none" w:sz="0" w:space="0" w:color="auto"/>
          </w:divBdr>
        </w:div>
        <w:div w:id="789201079">
          <w:marLeft w:val="547"/>
          <w:marRight w:val="0"/>
          <w:marTop w:val="125"/>
          <w:marBottom w:val="0"/>
          <w:divBdr>
            <w:top w:val="none" w:sz="0" w:space="0" w:color="auto"/>
            <w:left w:val="none" w:sz="0" w:space="0" w:color="auto"/>
            <w:bottom w:val="none" w:sz="0" w:space="0" w:color="auto"/>
            <w:right w:val="none" w:sz="0" w:space="0" w:color="auto"/>
          </w:divBdr>
        </w:div>
        <w:div w:id="1975981034">
          <w:marLeft w:val="547"/>
          <w:marRight w:val="0"/>
          <w:marTop w:val="125"/>
          <w:marBottom w:val="0"/>
          <w:divBdr>
            <w:top w:val="none" w:sz="0" w:space="0" w:color="auto"/>
            <w:left w:val="none" w:sz="0" w:space="0" w:color="auto"/>
            <w:bottom w:val="none" w:sz="0" w:space="0" w:color="auto"/>
            <w:right w:val="none" w:sz="0" w:space="0" w:color="auto"/>
          </w:divBdr>
        </w:div>
      </w:divsChild>
    </w:div>
    <w:div w:id="1500998931">
      <w:bodyDiv w:val="1"/>
      <w:marLeft w:val="0"/>
      <w:marRight w:val="0"/>
      <w:marTop w:val="0"/>
      <w:marBottom w:val="0"/>
      <w:divBdr>
        <w:top w:val="none" w:sz="0" w:space="0" w:color="auto"/>
        <w:left w:val="none" w:sz="0" w:space="0" w:color="auto"/>
        <w:bottom w:val="none" w:sz="0" w:space="0" w:color="auto"/>
        <w:right w:val="none" w:sz="0" w:space="0" w:color="auto"/>
      </w:divBdr>
      <w:divsChild>
        <w:div w:id="657536424">
          <w:marLeft w:val="0"/>
          <w:marRight w:val="0"/>
          <w:marTop w:val="211"/>
          <w:marBottom w:val="0"/>
          <w:divBdr>
            <w:top w:val="none" w:sz="0" w:space="0" w:color="auto"/>
            <w:left w:val="none" w:sz="0" w:space="0" w:color="auto"/>
            <w:bottom w:val="none" w:sz="0" w:space="0" w:color="auto"/>
            <w:right w:val="none" w:sz="0" w:space="0" w:color="auto"/>
          </w:divBdr>
        </w:div>
        <w:div w:id="1931326">
          <w:marLeft w:val="0"/>
          <w:marRight w:val="0"/>
          <w:marTop w:val="211"/>
          <w:marBottom w:val="0"/>
          <w:divBdr>
            <w:top w:val="none" w:sz="0" w:space="0" w:color="auto"/>
            <w:left w:val="none" w:sz="0" w:space="0" w:color="auto"/>
            <w:bottom w:val="none" w:sz="0" w:space="0" w:color="auto"/>
            <w:right w:val="none" w:sz="0" w:space="0" w:color="auto"/>
          </w:divBdr>
        </w:div>
        <w:div w:id="1997608720">
          <w:marLeft w:val="0"/>
          <w:marRight w:val="0"/>
          <w:marTop w:val="211"/>
          <w:marBottom w:val="0"/>
          <w:divBdr>
            <w:top w:val="none" w:sz="0" w:space="0" w:color="auto"/>
            <w:left w:val="none" w:sz="0" w:space="0" w:color="auto"/>
            <w:bottom w:val="none" w:sz="0" w:space="0" w:color="auto"/>
            <w:right w:val="none" w:sz="0" w:space="0" w:color="auto"/>
          </w:divBdr>
        </w:div>
        <w:div w:id="35396345">
          <w:marLeft w:val="0"/>
          <w:marRight w:val="0"/>
          <w:marTop w:val="211"/>
          <w:marBottom w:val="0"/>
          <w:divBdr>
            <w:top w:val="none" w:sz="0" w:space="0" w:color="auto"/>
            <w:left w:val="none" w:sz="0" w:space="0" w:color="auto"/>
            <w:bottom w:val="none" w:sz="0" w:space="0" w:color="auto"/>
            <w:right w:val="none" w:sz="0" w:space="0" w:color="auto"/>
          </w:divBdr>
        </w:div>
      </w:divsChild>
    </w:div>
    <w:div w:id="1526939785">
      <w:bodyDiv w:val="1"/>
      <w:marLeft w:val="0"/>
      <w:marRight w:val="0"/>
      <w:marTop w:val="0"/>
      <w:marBottom w:val="0"/>
      <w:divBdr>
        <w:top w:val="none" w:sz="0" w:space="0" w:color="auto"/>
        <w:left w:val="none" w:sz="0" w:space="0" w:color="auto"/>
        <w:bottom w:val="none" w:sz="0" w:space="0" w:color="auto"/>
        <w:right w:val="none" w:sz="0" w:space="0" w:color="auto"/>
      </w:divBdr>
      <w:divsChild>
        <w:div w:id="1332290783">
          <w:marLeft w:val="547"/>
          <w:marRight w:val="0"/>
          <w:marTop w:val="96"/>
          <w:marBottom w:val="0"/>
          <w:divBdr>
            <w:top w:val="none" w:sz="0" w:space="0" w:color="auto"/>
            <w:left w:val="none" w:sz="0" w:space="0" w:color="auto"/>
            <w:bottom w:val="none" w:sz="0" w:space="0" w:color="auto"/>
            <w:right w:val="none" w:sz="0" w:space="0" w:color="auto"/>
          </w:divBdr>
        </w:div>
        <w:div w:id="778572992">
          <w:marLeft w:val="547"/>
          <w:marRight w:val="0"/>
          <w:marTop w:val="192"/>
          <w:marBottom w:val="192"/>
          <w:divBdr>
            <w:top w:val="none" w:sz="0" w:space="0" w:color="auto"/>
            <w:left w:val="none" w:sz="0" w:space="0" w:color="auto"/>
            <w:bottom w:val="none" w:sz="0" w:space="0" w:color="auto"/>
            <w:right w:val="none" w:sz="0" w:space="0" w:color="auto"/>
          </w:divBdr>
        </w:div>
        <w:div w:id="1284192430">
          <w:marLeft w:val="547"/>
          <w:marRight w:val="0"/>
          <w:marTop w:val="96"/>
          <w:marBottom w:val="0"/>
          <w:divBdr>
            <w:top w:val="none" w:sz="0" w:space="0" w:color="auto"/>
            <w:left w:val="none" w:sz="0" w:space="0" w:color="auto"/>
            <w:bottom w:val="none" w:sz="0" w:space="0" w:color="auto"/>
            <w:right w:val="none" w:sz="0" w:space="0" w:color="auto"/>
          </w:divBdr>
        </w:div>
        <w:div w:id="2112116164">
          <w:marLeft w:val="547"/>
          <w:marRight w:val="0"/>
          <w:marTop w:val="96"/>
          <w:marBottom w:val="0"/>
          <w:divBdr>
            <w:top w:val="none" w:sz="0" w:space="0" w:color="auto"/>
            <w:left w:val="none" w:sz="0" w:space="0" w:color="auto"/>
            <w:bottom w:val="none" w:sz="0" w:space="0" w:color="auto"/>
            <w:right w:val="none" w:sz="0" w:space="0" w:color="auto"/>
          </w:divBdr>
        </w:div>
        <w:div w:id="968778961">
          <w:marLeft w:val="547"/>
          <w:marRight w:val="0"/>
          <w:marTop w:val="240"/>
          <w:marBottom w:val="0"/>
          <w:divBdr>
            <w:top w:val="none" w:sz="0" w:space="0" w:color="auto"/>
            <w:left w:val="none" w:sz="0" w:space="0" w:color="auto"/>
            <w:bottom w:val="none" w:sz="0" w:space="0" w:color="auto"/>
            <w:right w:val="none" w:sz="0" w:space="0" w:color="auto"/>
          </w:divBdr>
        </w:div>
      </w:divsChild>
    </w:div>
    <w:div w:id="1571884830">
      <w:bodyDiv w:val="1"/>
      <w:marLeft w:val="0"/>
      <w:marRight w:val="0"/>
      <w:marTop w:val="0"/>
      <w:marBottom w:val="0"/>
      <w:divBdr>
        <w:top w:val="none" w:sz="0" w:space="0" w:color="auto"/>
        <w:left w:val="none" w:sz="0" w:space="0" w:color="auto"/>
        <w:bottom w:val="none" w:sz="0" w:space="0" w:color="auto"/>
        <w:right w:val="none" w:sz="0" w:space="0" w:color="auto"/>
      </w:divBdr>
    </w:div>
    <w:div w:id="1618105267">
      <w:bodyDiv w:val="1"/>
      <w:marLeft w:val="0"/>
      <w:marRight w:val="0"/>
      <w:marTop w:val="0"/>
      <w:marBottom w:val="0"/>
      <w:divBdr>
        <w:top w:val="none" w:sz="0" w:space="0" w:color="auto"/>
        <w:left w:val="none" w:sz="0" w:space="0" w:color="auto"/>
        <w:bottom w:val="none" w:sz="0" w:space="0" w:color="auto"/>
        <w:right w:val="none" w:sz="0" w:space="0" w:color="auto"/>
      </w:divBdr>
    </w:div>
    <w:div w:id="1666399659">
      <w:bodyDiv w:val="1"/>
      <w:marLeft w:val="0"/>
      <w:marRight w:val="0"/>
      <w:marTop w:val="0"/>
      <w:marBottom w:val="0"/>
      <w:divBdr>
        <w:top w:val="none" w:sz="0" w:space="0" w:color="auto"/>
        <w:left w:val="none" w:sz="0" w:space="0" w:color="auto"/>
        <w:bottom w:val="none" w:sz="0" w:space="0" w:color="auto"/>
        <w:right w:val="none" w:sz="0" w:space="0" w:color="auto"/>
      </w:divBdr>
    </w:div>
    <w:div w:id="1666743807">
      <w:bodyDiv w:val="1"/>
      <w:marLeft w:val="0"/>
      <w:marRight w:val="0"/>
      <w:marTop w:val="0"/>
      <w:marBottom w:val="0"/>
      <w:divBdr>
        <w:top w:val="none" w:sz="0" w:space="0" w:color="auto"/>
        <w:left w:val="none" w:sz="0" w:space="0" w:color="auto"/>
        <w:bottom w:val="none" w:sz="0" w:space="0" w:color="auto"/>
        <w:right w:val="none" w:sz="0" w:space="0" w:color="auto"/>
      </w:divBdr>
    </w:div>
    <w:div w:id="1675498140">
      <w:bodyDiv w:val="1"/>
      <w:marLeft w:val="0"/>
      <w:marRight w:val="0"/>
      <w:marTop w:val="0"/>
      <w:marBottom w:val="0"/>
      <w:divBdr>
        <w:top w:val="none" w:sz="0" w:space="0" w:color="auto"/>
        <w:left w:val="none" w:sz="0" w:space="0" w:color="auto"/>
        <w:bottom w:val="none" w:sz="0" w:space="0" w:color="auto"/>
        <w:right w:val="none" w:sz="0" w:space="0" w:color="auto"/>
      </w:divBdr>
    </w:div>
    <w:div w:id="1716537457">
      <w:bodyDiv w:val="1"/>
      <w:marLeft w:val="0"/>
      <w:marRight w:val="0"/>
      <w:marTop w:val="0"/>
      <w:marBottom w:val="0"/>
      <w:divBdr>
        <w:top w:val="none" w:sz="0" w:space="0" w:color="auto"/>
        <w:left w:val="none" w:sz="0" w:space="0" w:color="auto"/>
        <w:bottom w:val="none" w:sz="0" w:space="0" w:color="auto"/>
        <w:right w:val="none" w:sz="0" w:space="0" w:color="auto"/>
      </w:divBdr>
      <w:divsChild>
        <w:div w:id="1689286680">
          <w:marLeft w:val="547"/>
          <w:marRight w:val="0"/>
          <w:marTop w:val="67"/>
          <w:marBottom w:val="0"/>
          <w:divBdr>
            <w:top w:val="none" w:sz="0" w:space="0" w:color="auto"/>
            <w:left w:val="none" w:sz="0" w:space="0" w:color="auto"/>
            <w:bottom w:val="none" w:sz="0" w:space="0" w:color="auto"/>
            <w:right w:val="none" w:sz="0" w:space="0" w:color="auto"/>
          </w:divBdr>
        </w:div>
      </w:divsChild>
    </w:div>
    <w:div w:id="1747459813">
      <w:bodyDiv w:val="1"/>
      <w:marLeft w:val="0"/>
      <w:marRight w:val="0"/>
      <w:marTop w:val="0"/>
      <w:marBottom w:val="0"/>
      <w:divBdr>
        <w:top w:val="none" w:sz="0" w:space="0" w:color="auto"/>
        <w:left w:val="none" w:sz="0" w:space="0" w:color="auto"/>
        <w:bottom w:val="none" w:sz="0" w:space="0" w:color="auto"/>
        <w:right w:val="none" w:sz="0" w:space="0" w:color="auto"/>
      </w:divBdr>
      <w:divsChild>
        <w:div w:id="1293440295">
          <w:marLeft w:val="547"/>
          <w:marRight w:val="0"/>
          <w:marTop w:val="264"/>
          <w:marBottom w:val="0"/>
          <w:divBdr>
            <w:top w:val="none" w:sz="0" w:space="0" w:color="auto"/>
            <w:left w:val="none" w:sz="0" w:space="0" w:color="auto"/>
            <w:bottom w:val="none" w:sz="0" w:space="0" w:color="auto"/>
            <w:right w:val="none" w:sz="0" w:space="0" w:color="auto"/>
          </w:divBdr>
        </w:div>
        <w:div w:id="713306785">
          <w:marLeft w:val="547"/>
          <w:marRight w:val="0"/>
          <w:marTop w:val="264"/>
          <w:marBottom w:val="0"/>
          <w:divBdr>
            <w:top w:val="none" w:sz="0" w:space="0" w:color="auto"/>
            <w:left w:val="none" w:sz="0" w:space="0" w:color="auto"/>
            <w:bottom w:val="none" w:sz="0" w:space="0" w:color="auto"/>
            <w:right w:val="none" w:sz="0" w:space="0" w:color="auto"/>
          </w:divBdr>
        </w:div>
      </w:divsChild>
    </w:div>
    <w:div w:id="1747921767">
      <w:bodyDiv w:val="1"/>
      <w:marLeft w:val="0"/>
      <w:marRight w:val="0"/>
      <w:marTop w:val="0"/>
      <w:marBottom w:val="0"/>
      <w:divBdr>
        <w:top w:val="none" w:sz="0" w:space="0" w:color="auto"/>
        <w:left w:val="none" w:sz="0" w:space="0" w:color="auto"/>
        <w:bottom w:val="none" w:sz="0" w:space="0" w:color="auto"/>
        <w:right w:val="none" w:sz="0" w:space="0" w:color="auto"/>
      </w:divBdr>
      <w:divsChild>
        <w:div w:id="363137808">
          <w:marLeft w:val="547"/>
          <w:marRight w:val="0"/>
          <w:marTop w:val="96"/>
          <w:marBottom w:val="0"/>
          <w:divBdr>
            <w:top w:val="none" w:sz="0" w:space="0" w:color="auto"/>
            <w:left w:val="none" w:sz="0" w:space="0" w:color="auto"/>
            <w:bottom w:val="none" w:sz="0" w:space="0" w:color="auto"/>
            <w:right w:val="none" w:sz="0" w:space="0" w:color="auto"/>
          </w:divBdr>
        </w:div>
        <w:div w:id="1247769233">
          <w:marLeft w:val="1166"/>
          <w:marRight w:val="0"/>
          <w:marTop w:val="86"/>
          <w:marBottom w:val="0"/>
          <w:divBdr>
            <w:top w:val="none" w:sz="0" w:space="0" w:color="auto"/>
            <w:left w:val="none" w:sz="0" w:space="0" w:color="auto"/>
            <w:bottom w:val="none" w:sz="0" w:space="0" w:color="auto"/>
            <w:right w:val="none" w:sz="0" w:space="0" w:color="auto"/>
          </w:divBdr>
        </w:div>
        <w:div w:id="1670670419">
          <w:marLeft w:val="1166"/>
          <w:marRight w:val="0"/>
          <w:marTop w:val="86"/>
          <w:marBottom w:val="0"/>
          <w:divBdr>
            <w:top w:val="none" w:sz="0" w:space="0" w:color="auto"/>
            <w:left w:val="none" w:sz="0" w:space="0" w:color="auto"/>
            <w:bottom w:val="none" w:sz="0" w:space="0" w:color="auto"/>
            <w:right w:val="none" w:sz="0" w:space="0" w:color="auto"/>
          </w:divBdr>
        </w:div>
      </w:divsChild>
    </w:div>
    <w:div w:id="1914268008">
      <w:bodyDiv w:val="1"/>
      <w:marLeft w:val="0"/>
      <w:marRight w:val="0"/>
      <w:marTop w:val="0"/>
      <w:marBottom w:val="0"/>
      <w:divBdr>
        <w:top w:val="none" w:sz="0" w:space="0" w:color="auto"/>
        <w:left w:val="none" w:sz="0" w:space="0" w:color="auto"/>
        <w:bottom w:val="none" w:sz="0" w:space="0" w:color="auto"/>
        <w:right w:val="none" w:sz="0" w:space="0" w:color="auto"/>
      </w:divBdr>
      <w:divsChild>
        <w:div w:id="1212182822">
          <w:marLeft w:val="547"/>
          <w:marRight w:val="0"/>
          <w:marTop w:val="86"/>
          <w:marBottom w:val="0"/>
          <w:divBdr>
            <w:top w:val="none" w:sz="0" w:space="0" w:color="auto"/>
            <w:left w:val="none" w:sz="0" w:space="0" w:color="auto"/>
            <w:bottom w:val="none" w:sz="0" w:space="0" w:color="auto"/>
            <w:right w:val="none" w:sz="0" w:space="0" w:color="auto"/>
          </w:divBdr>
        </w:div>
        <w:div w:id="1536965104">
          <w:marLeft w:val="547"/>
          <w:marRight w:val="0"/>
          <w:marTop w:val="86"/>
          <w:marBottom w:val="0"/>
          <w:divBdr>
            <w:top w:val="none" w:sz="0" w:space="0" w:color="auto"/>
            <w:left w:val="none" w:sz="0" w:space="0" w:color="auto"/>
            <w:bottom w:val="none" w:sz="0" w:space="0" w:color="auto"/>
            <w:right w:val="none" w:sz="0" w:space="0" w:color="auto"/>
          </w:divBdr>
        </w:div>
        <w:div w:id="1949002834">
          <w:marLeft w:val="547"/>
          <w:marRight w:val="0"/>
          <w:marTop w:val="86"/>
          <w:marBottom w:val="0"/>
          <w:divBdr>
            <w:top w:val="none" w:sz="0" w:space="0" w:color="auto"/>
            <w:left w:val="none" w:sz="0" w:space="0" w:color="auto"/>
            <w:bottom w:val="none" w:sz="0" w:space="0" w:color="auto"/>
            <w:right w:val="none" w:sz="0" w:space="0" w:color="auto"/>
          </w:divBdr>
        </w:div>
        <w:div w:id="2011325580">
          <w:marLeft w:val="547"/>
          <w:marRight w:val="0"/>
          <w:marTop w:val="86"/>
          <w:marBottom w:val="0"/>
          <w:divBdr>
            <w:top w:val="none" w:sz="0" w:space="0" w:color="auto"/>
            <w:left w:val="none" w:sz="0" w:space="0" w:color="auto"/>
            <w:bottom w:val="none" w:sz="0" w:space="0" w:color="auto"/>
            <w:right w:val="none" w:sz="0" w:space="0" w:color="auto"/>
          </w:divBdr>
        </w:div>
        <w:div w:id="1304656795">
          <w:marLeft w:val="1166"/>
          <w:marRight w:val="0"/>
          <w:marTop w:val="86"/>
          <w:marBottom w:val="0"/>
          <w:divBdr>
            <w:top w:val="none" w:sz="0" w:space="0" w:color="auto"/>
            <w:left w:val="none" w:sz="0" w:space="0" w:color="auto"/>
            <w:bottom w:val="none" w:sz="0" w:space="0" w:color="auto"/>
            <w:right w:val="none" w:sz="0" w:space="0" w:color="auto"/>
          </w:divBdr>
        </w:div>
        <w:div w:id="172039523">
          <w:marLeft w:val="1166"/>
          <w:marRight w:val="0"/>
          <w:marTop w:val="86"/>
          <w:marBottom w:val="0"/>
          <w:divBdr>
            <w:top w:val="none" w:sz="0" w:space="0" w:color="auto"/>
            <w:left w:val="none" w:sz="0" w:space="0" w:color="auto"/>
            <w:bottom w:val="none" w:sz="0" w:space="0" w:color="auto"/>
            <w:right w:val="none" w:sz="0" w:space="0" w:color="auto"/>
          </w:divBdr>
        </w:div>
      </w:divsChild>
    </w:div>
    <w:div w:id="1925339911">
      <w:bodyDiv w:val="1"/>
      <w:marLeft w:val="0"/>
      <w:marRight w:val="0"/>
      <w:marTop w:val="0"/>
      <w:marBottom w:val="0"/>
      <w:divBdr>
        <w:top w:val="none" w:sz="0" w:space="0" w:color="auto"/>
        <w:left w:val="none" w:sz="0" w:space="0" w:color="auto"/>
        <w:bottom w:val="none" w:sz="0" w:space="0" w:color="auto"/>
        <w:right w:val="none" w:sz="0" w:space="0" w:color="auto"/>
      </w:divBdr>
      <w:divsChild>
        <w:div w:id="1122579318">
          <w:marLeft w:val="547"/>
          <w:marRight w:val="0"/>
          <w:marTop w:val="125"/>
          <w:marBottom w:val="0"/>
          <w:divBdr>
            <w:top w:val="none" w:sz="0" w:space="0" w:color="auto"/>
            <w:left w:val="none" w:sz="0" w:space="0" w:color="auto"/>
            <w:bottom w:val="none" w:sz="0" w:space="0" w:color="auto"/>
            <w:right w:val="none" w:sz="0" w:space="0" w:color="auto"/>
          </w:divBdr>
        </w:div>
        <w:div w:id="1147236409">
          <w:marLeft w:val="547"/>
          <w:marRight w:val="0"/>
          <w:marTop w:val="125"/>
          <w:marBottom w:val="0"/>
          <w:divBdr>
            <w:top w:val="none" w:sz="0" w:space="0" w:color="auto"/>
            <w:left w:val="none" w:sz="0" w:space="0" w:color="auto"/>
            <w:bottom w:val="none" w:sz="0" w:space="0" w:color="auto"/>
            <w:right w:val="none" w:sz="0" w:space="0" w:color="auto"/>
          </w:divBdr>
        </w:div>
        <w:div w:id="1171523424">
          <w:marLeft w:val="547"/>
          <w:marRight w:val="0"/>
          <w:marTop w:val="125"/>
          <w:marBottom w:val="0"/>
          <w:divBdr>
            <w:top w:val="none" w:sz="0" w:space="0" w:color="auto"/>
            <w:left w:val="none" w:sz="0" w:space="0" w:color="auto"/>
            <w:bottom w:val="none" w:sz="0" w:space="0" w:color="auto"/>
            <w:right w:val="none" w:sz="0" w:space="0" w:color="auto"/>
          </w:divBdr>
        </w:div>
      </w:divsChild>
    </w:div>
    <w:div w:id="1974479241">
      <w:bodyDiv w:val="1"/>
      <w:marLeft w:val="0"/>
      <w:marRight w:val="0"/>
      <w:marTop w:val="0"/>
      <w:marBottom w:val="0"/>
      <w:divBdr>
        <w:top w:val="none" w:sz="0" w:space="0" w:color="auto"/>
        <w:left w:val="none" w:sz="0" w:space="0" w:color="auto"/>
        <w:bottom w:val="none" w:sz="0" w:space="0" w:color="auto"/>
        <w:right w:val="none" w:sz="0" w:space="0" w:color="auto"/>
      </w:divBdr>
      <w:divsChild>
        <w:div w:id="719062700">
          <w:marLeft w:val="547"/>
          <w:marRight w:val="0"/>
          <w:marTop w:val="96"/>
          <w:marBottom w:val="0"/>
          <w:divBdr>
            <w:top w:val="none" w:sz="0" w:space="0" w:color="auto"/>
            <w:left w:val="none" w:sz="0" w:space="0" w:color="auto"/>
            <w:bottom w:val="none" w:sz="0" w:space="0" w:color="auto"/>
            <w:right w:val="none" w:sz="0" w:space="0" w:color="auto"/>
          </w:divBdr>
        </w:div>
      </w:divsChild>
    </w:div>
    <w:div w:id="1982343051">
      <w:bodyDiv w:val="1"/>
      <w:marLeft w:val="0"/>
      <w:marRight w:val="0"/>
      <w:marTop w:val="0"/>
      <w:marBottom w:val="0"/>
      <w:divBdr>
        <w:top w:val="none" w:sz="0" w:space="0" w:color="auto"/>
        <w:left w:val="none" w:sz="0" w:space="0" w:color="auto"/>
        <w:bottom w:val="none" w:sz="0" w:space="0" w:color="auto"/>
        <w:right w:val="none" w:sz="0" w:space="0" w:color="auto"/>
      </w:divBdr>
    </w:div>
    <w:div w:id="2005821354">
      <w:bodyDiv w:val="1"/>
      <w:marLeft w:val="0"/>
      <w:marRight w:val="0"/>
      <w:marTop w:val="0"/>
      <w:marBottom w:val="0"/>
      <w:divBdr>
        <w:top w:val="none" w:sz="0" w:space="0" w:color="auto"/>
        <w:left w:val="none" w:sz="0" w:space="0" w:color="auto"/>
        <w:bottom w:val="none" w:sz="0" w:space="0" w:color="auto"/>
        <w:right w:val="none" w:sz="0" w:space="0" w:color="auto"/>
      </w:divBdr>
    </w:div>
    <w:div w:id="2009552512">
      <w:bodyDiv w:val="1"/>
      <w:marLeft w:val="0"/>
      <w:marRight w:val="0"/>
      <w:marTop w:val="0"/>
      <w:marBottom w:val="0"/>
      <w:divBdr>
        <w:top w:val="none" w:sz="0" w:space="0" w:color="auto"/>
        <w:left w:val="none" w:sz="0" w:space="0" w:color="auto"/>
        <w:bottom w:val="none" w:sz="0" w:space="0" w:color="auto"/>
        <w:right w:val="none" w:sz="0" w:space="0" w:color="auto"/>
      </w:divBdr>
      <w:divsChild>
        <w:div w:id="1654069539">
          <w:marLeft w:val="547"/>
          <w:marRight w:val="0"/>
          <w:marTop w:val="96"/>
          <w:marBottom w:val="0"/>
          <w:divBdr>
            <w:top w:val="none" w:sz="0" w:space="0" w:color="auto"/>
            <w:left w:val="none" w:sz="0" w:space="0" w:color="auto"/>
            <w:bottom w:val="none" w:sz="0" w:space="0" w:color="auto"/>
            <w:right w:val="none" w:sz="0" w:space="0" w:color="auto"/>
          </w:divBdr>
        </w:div>
        <w:div w:id="419058940">
          <w:marLeft w:val="547"/>
          <w:marRight w:val="0"/>
          <w:marTop w:val="96"/>
          <w:marBottom w:val="0"/>
          <w:divBdr>
            <w:top w:val="none" w:sz="0" w:space="0" w:color="auto"/>
            <w:left w:val="none" w:sz="0" w:space="0" w:color="auto"/>
            <w:bottom w:val="none" w:sz="0" w:space="0" w:color="auto"/>
            <w:right w:val="none" w:sz="0" w:space="0" w:color="auto"/>
          </w:divBdr>
        </w:div>
      </w:divsChild>
    </w:div>
    <w:div w:id="2089157215">
      <w:bodyDiv w:val="1"/>
      <w:marLeft w:val="0"/>
      <w:marRight w:val="0"/>
      <w:marTop w:val="0"/>
      <w:marBottom w:val="0"/>
      <w:divBdr>
        <w:top w:val="none" w:sz="0" w:space="0" w:color="auto"/>
        <w:left w:val="none" w:sz="0" w:space="0" w:color="auto"/>
        <w:bottom w:val="none" w:sz="0" w:space="0" w:color="auto"/>
        <w:right w:val="none" w:sz="0" w:space="0" w:color="auto"/>
      </w:divBdr>
      <w:divsChild>
        <w:div w:id="1610047359">
          <w:marLeft w:val="547"/>
          <w:marRight w:val="0"/>
          <w:marTop w:val="96"/>
          <w:marBottom w:val="0"/>
          <w:divBdr>
            <w:top w:val="none" w:sz="0" w:space="0" w:color="auto"/>
            <w:left w:val="none" w:sz="0" w:space="0" w:color="auto"/>
            <w:bottom w:val="none" w:sz="0" w:space="0" w:color="auto"/>
            <w:right w:val="none" w:sz="0" w:space="0" w:color="auto"/>
          </w:divBdr>
        </w:div>
        <w:div w:id="450780481">
          <w:marLeft w:val="547"/>
          <w:marRight w:val="0"/>
          <w:marTop w:val="96"/>
          <w:marBottom w:val="0"/>
          <w:divBdr>
            <w:top w:val="none" w:sz="0" w:space="0" w:color="auto"/>
            <w:left w:val="none" w:sz="0" w:space="0" w:color="auto"/>
            <w:bottom w:val="none" w:sz="0" w:space="0" w:color="auto"/>
            <w:right w:val="none" w:sz="0" w:space="0" w:color="auto"/>
          </w:divBdr>
        </w:div>
        <w:div w:id="287663381">
          <w:marLeft w:val="547"/>
          <w:marRight w:val="0"/>
          <w:marTop w:val="96"/>
          <w:marBottom w:val="0"/>
          <w:divBdr>
            <w:top w:val="none" w:sz="0" w:space="0" w:color="auto"/>
            <w:left w:val="none" w:sz="0" w:space="0" w:color="auto"/>
            <w:bottom w:val="none" w:sz="0" w:space="0" w:color="auto"/>
            <w:right w:val="none" w:sz="0" w:space="0" w:color="auto"/>
          </w:divBdr>
        </w:div>
        <w:div w:id="9304281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gr/url?sa=t&amp;rct=j&amp;q=&amp;esrc=s&amp;source=web&amp;cd=1&amp;ved=0CCkQFjAA&amp;url=http%3A%2F%2F62.1.43.74%2F5Ekdosis%2FUplPDFs%2Fsyllogikostomos%2F30-z%2520GORTSOS%2520519-540.pdf&amp;ei=cJ-MUvuHLsLd7QaijoDoAQ&amp;usg=AFQjCNFXgSVdkvzyNno1xWQ3O0oAoIpeGQ&amp;sig2=Dlxlvtn7El_478aRPUvHnA&amp;bvm=bv.56643336,d.ZG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package" Target="embeddings/___________________Microsoft_Office_Excel1.xlsx"/><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thimerini.gr/407593/article/oikonomia/die8nhs-oikonomia/oxi-se-aysthroterh-vasileia-iii" TargetMode="External"/><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www.bis.org/bcbs/history.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E699-8971-4977-B06A-71B94339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8136</Words>
  <Characters>43936</Characters>
  <Application>Microsoft Office Word</Application>
  <DocSecurity>0</DocSecurity>
  <Lines>366</Lines>
  <Paragraphs>103</Paragraphs>
  <ScaleCrop>false</ScaleCrop>
  <HeadingPairs>
    <vt:vector size="2" baseType="variant">
      <vt:variant>
        <vt:lpstr>Τίτλος</vt:lpstr>
      </vt:variant>
      <vt:variant>
        <vt:i4>1</vt:i4>
      </vt:variant>
    </vt:vector>
  </HeadingPairs>
  <TitlesOfParts>
    <vt:vector size="1" baseType="lpstr">
      <vt:lpstr>ΠΕΡΙΕΧΟΜΕΝΑ</vt:lpstr>
    </vt:vector>
  </TitlesOfParts>
  <Company/>
  <LinksUpToDate>false</LinksUpToDate>
  <CharactersWithSpaces>51969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ΠΕΡΙΕΧΟΜΕΝΑ</dc:title>
  <dc:creator>stefanos</dc:creator>
  <cp:lastModifiedBy>hp</cp:lastModifiedBy>
  <cp:revision>11</cp:revision>
  <cp:lastPrinted>2014-07-08T20:03:00Z</cp:lastPrinted>
  <dcterms:created xsi:type="dcterms:W3CDTF">2014-07-12T14:25:00Z</dcterms:created>
  <dcterms:modified xsi:type="dcterms:W3CDTF">2014-10-10T12:25:00Z</dcterms:modified>
</cp:coreProperties>
</file>