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F96306"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57FC0F9"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F96306">
        <w:rPr>
          <w:rFonts w:ascii="Arial" w:eastAsia="Times New Roman" w:hAnsi="Arial" w:cs="Arial"/>
          <w:b/>
          <w:bCs/>
          <w:lang w:eastAsia="en-US" w:bidi="en-US"/>
        </w:rPr>
        <w:t xml:space="preserve"> </w:t>
      </w:r>
      <w:r w:rsidR="00C34699">
        <w:rPr>
          <w:rFonts w:ascii="Arial" w:eastAsia="Times New Roman" w:hAnsi="Arial" w:cs="Arial"/>
          <w:b/>
          <w:bCs/>
          <w:lang w:eastAsia="en-US" w:bidi="en-US"/>
        </w:rPr>
        <w:t>7</w:t>
      </w:r>
      <w:r w:rsidRPr="00E74B63">
        <w:rPr>
          <w:rFonts w:ascii="Arial" w:eastAsia="Times New Roman" w:hAnsi="Arial" w:cs="Arial"/>
          <w:b/>
          <w:bCs/>
          <w:lang w:eastAsia="en-US" w:bidi="en-US"/>
        </w:rPr>
        <w:t xml:space="preserve">: </w:t>
      </w:r>
      <w:r w:rsidR="00C34699">
        <w:rPr>
          <w:rFonts w:ascii="Arial" w:eastAsia="Times New Roman" w:hAnsi="Arial" w:cs="Arial"/>
          <w:b/>
          <w:bCs/>
          <w:lang w:eastAsia="en-US" w:bidi="en-US"/>
        </w:rPr>
        <w:t xml:space="preserve">Το τετράγωνο των εναντίων / Ο ορισμός του συλλογισμού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EBAA314" w14:textId="77777777" w:rsidR="00F61FBE"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F61FBE">
        <w:rPr>
          <w:noProof/>
        </w:rPr>
        <w:t>1.</w:t>
      </w:r>
      <w:r w:rsidR="00F61FBE">
        <w:rPr>
          <w:rFonts w:asciiTheme="minorHAnsi" w:hAnsiTheme="minorHAnsi"/>
          <w:noProof/>
          <w:sz w:val="24"/>
          <w:szCs w:val="24"/>
          <w:lang w:eastAsia="ja-JP" w:bidi="ar-SA"/>
        </w:rPr>
        <w:tab/>
      </w:r>
      <w:r w:rsidR="00F61FBE">
        <w:rPr>
          <w:noProof/>
        </w:rPr>
        <w:t>Σκοποί ενότητας</w:t>
      </w:r>
      <w:r w:rsidR="00F61FBE">
        <w:rPr>
          <w:noProof/>
        </w:rPr>
        <w:tab/>
      </w:r>
      <w:r w:rsidR="00F61FBE">
        <w:rPr>
          <w:noProof/>
        </w:rPr>
        <w:fldChar w:fldCharType="begin"/>
      </w:r>
      <w:r w:rsidR="00F61FBE">
        <w:rPr>
          <w:noProof/>
        </w:rPr>
        <w:instrText xml:space="preserve"> PAGEREF _Toc303516072 \h </w:instrText>
      </w:r>
      <w:r w:rsidR="00F61FBE">
        <w:rPr>
          <w:noProof/>
        </w:rPr>
      </w:r>
      <w:r w:rsidR="00F61FBE">
        <w:rPr>
          <w:noProof/>
        </w:rPr>
        <w:fldChar w:fldCharType="separate"/>
      </w:r>
      <w:r w:rsidR="00F61FBE">
        <w:rPr>
          <w:noProof/>
        </w:rPr>
        <w:t>2</w:t>
      </w:r>
      <w:r w:rsidR="00F61FBE">
        <w:rPr>
          <w:noProof/>
        </w:rPr>
        <w:fldChar w:fldCharType="end"/>
      </w:r>
    </w:p>
    <w:p w14:paraId="590F3531" w14:textId="77777777" w:rsidR="00F61FBE" w:rsidRDefault="00F61FBE">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Τα είδη των αποφαντικών προτάσεων και το τετράγωνο των εναντίων</w:t>
      </w:r>
      <w:r>
        <w:rPr>
          <w:noProof/>
        </w:rPr>
        <w:tab/>
      </w:r>
      <w:r>
        <w:rPr>
          <w:noProof/>
        </w:rPr>
        <w:fldChar w:fldCharType="begin"/>
      </w:r>
      <w:r>
        <w:rPr>
          <w:noProof/>
        </w:rPr>
        <w:instrText xml:space="preserve"> PAGEREF _Toc303516073 \h </w:instrText>
      </w:r>
      <w:r>
        <w:rPr>
          <w:noProof/>
        </w:rPr>
      </w:r>
      <w:r>
        <w:rPr>
          <w:noProof/>
        </w:rPr>
        <w:fldChar w:fldCharType="separate"/>
      </w:r>
      <w:r>
        <w:rPr>
          <w:noProof/>
        </w:rPr>
        <w:t>2</w:t>
      </w:r>
      <w:r>
        <w:rPr>
          <w:noProof/>
        </w:rPr>
        <w:fldChar w:fldCharType="end"/>
      </w:r>
    </w:p>
    <w:p w14:paraId="37788D9D" w14:textId="77777777" w:rsidR="00F61FBE" w:rsidRDefault="00F61FBE">
      <w:pPr>
        <w:pStyle w:val="TOC1"/>
        <w:tabs>
          <w:tab w:val="left" w:pos="407"/>
          <w:tab w:val="right" w:leader="dot" w:pos="9854"/>
        </w:tabs>
        <w:rPr>
          <w:rFonts w:asciiTheme="minorHAnsi" w:hAnsiTheme="minorHAnsi"/>
          <w:noProof/>
          <w:sz w:val="24"/>
          <w:szCs w:val="24"/>
          <w:lang w:eastAsia="ja-JP" w:bidi="ar-SA"/>
        </w:rPr>
      </w:pPr>
      <w:r w:rsidRPr="002478D4">
        <w:rPr>
          <w:rFonts w:asciiTheme="minorHAnsi" w:eastAsia="Times New Roman" w:hAnsiTheme="minorHAnsi" w:cstheme="minorHAnsi"/>
          <w:noProof/>
        </w:rPr>
        <w:t>3.</w:t>
      </w:r>
      <w:r>
        <w:rPr>
          <w:rFonts w:asciiTheme="minorHAnsi" w:hAnsiTheme="minorHAnsi"/>
          <w:noProof/>
          <w:sz w:val="24"/>
          <w:szCs w:val="24"/>
          <w:lang w:eastAsia="ja-JP" w:bidi="ar-SA"/>
        </w:rPr>
        <w:tab/>
      </w:r>
      <w:r w:rsidRPr="002478D4">
        <w:rPr>
          <w:rFonts w:asciiTheme="minorHAnsi" w:eastAsia="Times New Roman" w:hAnsiTheme="minorHAnsi" w:cstheme="minorHAnsi"/>
          <w:noProof/>
        </w:rPr>
        <w:t>Τα λογικά έργα του Αριστοτέλη και ο ορισμός του συλλογισμού</w:t>
      </w:r>
      <w:r>
        <w:rPr>
          <w:noProof/>
        </w:rPr>
        <w:tab/>
      </w:r>
      <w:r>
        <w:rPr>
          <w:noProof/>
        </w:rPr>
        <w:fldChar w:fldCharType="begin"/>
      </w:r>
      <w:r>
        <w:rPr>
          <w:noProof/>
        </w:rPr>
        <w:instrText xml:space="preserve"> PAGEREF _Toc303516074 \h </w:instrText>
      </w:r>
      <w:r>
        <w:rPr>
          <w:noProof/>
        </w:rPr>
      </w:r>
      <w:r>
        <w:rPr>
          <w:noProof/>
        </w:rPr>
        <w:fldChar w:fldCharType="separate"/>
      </w:r>
      <w:r>
        <w:rPr>
          <w:noProof/>
        </w:rPr>
        <w:t>3</w:t>
      </w:r>
      <w:r>
        <w:rPr>
          <w:noProof/>
        </w:rPr>
        <w:fldChar w:fldCharType="end"/>
      </w:r>
    </w:p>
    <w:p w14:paraId="26DDA0B2" w14:textId="77777777" w:rsidR="00F61FBE" w:rsidRDefault="00F61FBE">
      <w:pPr>
        <w:pStyle w:val="TOC2"/>
        <w:tabs>
          <w:tab w:val="left" w:pos="749"/>
          <w:tab w:val="right" w:leader="dot" w:pos="9854"/>
        </w:tabs>
        <w:rPr>
          <w:noProof/>
          <w:sz w:val="24"/>
          <w:szCs w:val="24"/>
          <w:lang w:val="en-US" w:eastAsia="ja-JP"/>
        </w:rPr>
      </w:pPr>
      <w:r w:rsidRPr="002478D4">
        <w:rPr>
          <w:noProof/>
          <w:lang w:val="en-US" w:eastAsia="en-US" w:bidi="en-US"/>
        </w:rPr>
        <w:t>3.1</w:t>
      </w:r>
      <w:r>
        <w:rPr>
          <w:noProof/>
          <w:sz w:val="24"/>
          <w:szCs w:val="24"/>
          <w:lang w:val="en-US" w:eastAsia="ja-JP"/>
        </w:rPr>
        <w:tab/>
      </w:r>
      <w:r>
        <w:rPr>
          <w:noProof/>
          <w:lang w:eastAsia="en-US" w:bidi="en-US"/>
        </w:rPr>
        <w:t>Όργανον: Τα λογικά έργα του Αριστοτέλη</w:t>
      </w:r>
      <w:r>
        <w:rPr>
          <w:noProof/>
        </w:rPr>
        <w:tab/>
      </w:r>
      <w:r>
        <w:rPr>
          <w:noProof/>
        </w:rPr>
        <w:fldChar w:fldCharType="begin"/>
      </w:r>
      <w:r>
        <w:rPr>
          <w:noProof/>
        </w:rPr>
        <w:instrText xml:space="preserve"> PAGEREF _Toc303516075 \h </w:instrText>
      </w:r>
      <w:r>
        <w:rPr>
          <w:noProof/>
        </w:rPr>
      </w:r>
      <w:r>
        <w:rPr>
          <w:noProof/>
        </w:rPr>
        <w:fldChar w:fldCharType="separate"/>
      </w:r>
      <w:r>
        <w:rPr>
          <w:noProof/>
        </w:rPr>
        <w:t>4</w:t>
      </w:r>
      <w:r>
        <w:rPr>
          <w:noProof/>
        </w:rPr>
        <w:fldChar w:fldCharType="end"/>
      </w:r>
    </w:p>
    <w:p w14:paraId="1F6A8C48" w14:textId="77777777" w:rsidR="00F61FBE" w:rsidRDefault="00F61FBE">
      <w:pPr>
        <w:pStyle w:val="TOC2"/>
        <w:tabs>
          <w:tab w:val="left" w:pos="749"/>
          <w:tab w:val="right" w:leader="dot" w:pos="9854"/>
        </w:tabs>
        <w:rPr>
          <w:noProof/>
          <w:sz w:val="24"/>
          <w:szCs w:val="24"/>
          <w:lang w:val="en-US" w:eastAsia="ja-JP"/>
        </w:rPr>
      </w:pPr>
      <w:r w:rsidRPr="002478D4">
        <w:rPr>
          <w:noProof/>
          <w:lang w:val="en-US" w:eastAsia="en-US" w:bidi="en-US"/>
        </w:rPr>
        <w:t>3.2</w:t>
      </w:r>
      <w:r>
        <w:rPr>
          <w:noProof/>
          <w:sz w:val="24"/>
          <w:szCs w:val="24"/>
          <w:lang w:val="en-US" w:eastAsia="ja-JP"/>
        </w:rPr>
        <w:tab/>
      </w:r>
      <w:r>
        <w:rPr>
          <w:noProof/>
          <w:lang w:eastAsia="en-US" w:bidi="en-US"/>
        </w:rPr>
        <w:t>Αριστοτελικός συλλογισμός</w:t>
      </w:r>
      <w:r>
        <w:rPr>
          <w:noProof/>
        </w:rPr>
        <w:tab/>
      </w:r>
      <w:r>
        <w:rPr>
          <w:noProof/>
        </w:rPr>
        <w:fldChar w:fldCharType="begin"/>
      </w:r>
      <w:r>
        <w:rPr>
          <w:noProof/>
        </w:rPr>
        <w:instrText xml:space="preserve"> PAGEREF _Toc303516076 \h </w:instrText>
      </w:r>
      <w:r>
        <w:rPr>
          <w:noProof/>
        </w:rPr>
      </w:r>
      <w:r>
        <w:rPr>
          <w:noProof/>
        </w:rPr>
        <w:fldChar w:fldCharType="separate"/>
      </w:r>
      <w:r>
        <w:rPr>
          <w:noProof/>
        </w:rPr>
        <w:t>4</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905A5A">
          <w:type w:val="continuous"/>
          <w:pgSz w:w="11906" w:h="16838" w:code="9"/>
          <w:pgMar w:top="1134" w:right="1021" w:bottom="1134" w:left="1021" w:header="709" w:footer="709" w:gutter="0"/>
          <w:cols w:space="708"/>
          <w:titlePg/>
          <w:docGrid w:linePitch="360"/>
        </w:sectPr>
      </w:pPr>
    </w:p>
    <w:p w14:paraId="3D7A2706" w14:textId="77777777" w:rsidR="00E74B63" w:rsidRDefault="00E74B63" w:rsidP="00E74B63">
      <w:pPr>
        <w:pStyle w:val="Heading1"/>
      </w:pPr>
      <w:bookmarkStart w:id="0" w:name="_Toc337755246"/>
      <w:bookmarkStart w:id="1" w:name="_Toc303516072"/>
      <w:r>
        <w:lastRenderedPageBreak/>
        <w:t>Σκοποί ενότητας</w:t>
      </w:r>
      <w:bookmarkEnd w:id="0"/>
      <w:bookmarkEnd w:id="1"/>
    </w:p>
    <w:p w14:paraId="71096792" w14:textId="4DA9D5F3" w:rsidR="00520187" w:rsidRDefault="00520187" w:rsidP="00520187">
      <w:r>
        <w:t xml:space="preserve">Σκοπός της ενότητας είναι να </w:t>
      </w:r>
      <w:r w:rsidR="0065399D">
        <w:t>εξηγήσει</w:t>
      </w:r>
      <w:r>
        <w:t xml:space="preserve">: </w:t>
      </w:r>
    </w:p>
    <w:p w14:paraId="12ACCE2A" w14:textId="099B4DA9" w:rsidR="00A3134F" w:rsidRPr="001B3EE9" w:rsidRDefault="008926B1" w:rsidP="001B3EE9">
      <w:pPr>
        <w:rPr>
          <w:lang w:val="en-US"/>
        </w:rPr>
      </w:pPr>
      <w:r>
        <w:t xml:space="preserve">(α) </w:t>
      </w:r>
      <w:r w:rsidR="00F61FBE" w:rsidRPr="001B3EE9">
        <w:t>Να διαιρεθούν τα βασικά είδη αποφαντικών προτάσεων και να δειχθεί ποιες είναι οι λογικές μεταξύ τους σχέσεις (στο τετράγωνο των εναντίων)</w:t>
      </w:r>
    </w:p>
    <w:p w14:paraId="0A6DCB99" w14:textId="25FEF6A8" w:rsidR="00A3134F" w:rsidRPr="001B3EE9" w:rsidRDefault="001B3EE9" w:rsidP="001B3EE9">
      <w:pPr>
        <w:rPr>
          <w:lang w:val="en-US"/>
        </w:rPr>
      </w:pPr>
      <w:r>
        <w:t xml:space="preserve">(β) </w:t>
      </w:r>
      <w:r w:rsidR="00F61FBE" w:rsidRPr="001B3EE9">
        <w:t>Να εξεταστεί ο ορισμός του αριστοτελικού συλλογισμού</w:t>
      </w:r>
    </w:p>
    <w:p w14:paraId="5FE8066C" w14:textId="23A563BF" w:rsidR="00520187" w:rsidRDefault="002855B8" w:rsidP="001B3EE9">
      <w:r>
        <w:t xml:space="preserve"> </w:t>
      </w:r>
      <w:r w:rsidR="0065399D">
        <w:t xml:space="preserve"> </w:t>
      </w:r>
    </w:p>
    <w:p w14:paraId="37F2A4C6" w14:textId="062B9B75" w:rsidR="0065399D" w:rsidRDefault="001B3EE9" w:rsidP="0065399D">
      <w:pPr>
        <w:pStyle w:val="Heading1"/>
      </w:pPr>
      <w:bookmarkStart w:id="2" w:name="_Toc303516073"/>
      <w:r>
        <w:t>Τα είδη των αποφαντικών προτάσεων και το τετράγωνο των εναντίων</w:t>
      </w:r>
      <w:bookmarkEnd w:id="2"/>
    </w:p>
    <w:p w14:paraId="597F4E02" w14:textId="77777777" w:rsidR="00C8390E" w:rsidRDefault="00C8390E" w:rsidP="00C8390E">
      <w:pPr>
        <w:spacing w:line="100" w:lineRule="atLeast"/>
        <w:rPr>
          <w:i/>
          <w:iCs/>
        </w:rPr>
      </w:pPr>
    </w:p>
    <w:p w14:paraId="3F2337B3" w14:textId="2E81140D" w:rsidR="001B3EE9" w:rsidRPr="00EA13DD" w:rsidRDefault="001B3EE9" w:rsidP="001B3EE9">
      <w:pPr>
        <w:spacing w:line="100" w:lineRule="atLeast"/>
        <w:rPr>
          <w:sz w:val="20"/>
          <w:szCs w:val="20"/>
        </w:rPr>
      </w:pPr>
      <w:r w:rsidRPr="00EA13DD">
        <w:rPr>
          <w:sz w:val="20"/>
          <w:szCs w:val="20"/>
        </w:rPr>
        <w:t xml:space="preserve">Το τετράγωνο συντίθεται από τους ακόλουθους τέσσερις τύπους </w:t>
      </w:r>
      <w:r>
        <w:rPr>
          <w:sz w:val="20"/>
          <w:szCs w:val="20"/>
        </w:rPr>
        <w:t xml:space="preserve">αποφαντικών </w:t>
      </w:r>
      <w:r w:rsidRPr="00EA13DD">
        <w:rPr>
          <w:sz w:val="20"/>
          <w:szCs w:val="20"/>
        </w:rPr>
        <w:t xml:space="preserve">προτάσεων (βλ. Πίνακα 1). Οι τύποι αυτοί παράγωνται από τέσσερις αρχές: </w:t>
      </w:r>
    </w:p>
    <w:p w14:paraId="451C9223" w14:textId="77777777" w:rsidR="001B3EE9" w:rsidRPr="00EA13DD" w:rsidRDefault="001B3EE9" w:rsidP="001B3EE9">
      <w:pPr>
        <w:spacing w:line="100" w:lineRule="atLeast"/>
        <w:rPr>
          <w:sz w:val="20"/>
          <w:szCs w:val="20"/>
        </w:rPr>
      </w:pPr>
      <w:r w:rsidRPr="00EA13DD">
        <w:rPr>
          <w:sz w:val="20"/>
          <w:szCs w:val="20"/>
        </w:rPr>
        <w:t xml:space="preserve">(α) κάθε απλή απόφανση συντίθεται από ένα υποκείμενο και ένα Κατηγορούμενο (Υ, Κ στο εξής), </w:t>
      </w:r>
    </w:p>
    <w:p w14:paraId="741F26D2" w14:textId="77777777" w:rsidR="001B3EE9" w:rsidRPr="00EA13DD" w:rsidRDefault="001B3EE9" w:rsidP="001B3EE9">
      <w:pPr>
        <w:spacing w:line="100" w:lineRule="atLeast"/>
        <w:rPr>
          <w:sz w:val="20"/>
          <w:szCs w:val="20"/>
        </w:rPr>
      </w:pPr>
      <w:r w:rsidRPr="00EA13DD">
        <w:rPr>
          <w:sz w:val="20"/>
          <w:szCs w:val="20"/>
        </w:rPr>
        <w:t xml:space="preserve">(β) υπάρχουν δύο τρόποι να αποδωθεί ένα κατηγορούμενο σε ένα υποκείμενο: είτε καθολικά (π.χ. </w:t>
      </w:r>
      <w:r w:rsidRPr="00EA13DD">
        <w:rPr>
          <w:i/>
          <w:iCs/>
          <w:sz w:val="20"/>
          <w:szCs w:val="20"/>
        </w:rPr>
        <w:t>κάθε άνθρωπος είναι λευκός</w:t>
      </w:r>
      <w:r w:rsidRPr="00EA13DD">
        <w:rPr>
          <w:sz w:val="20"/>
          <w:szCs w:val="20"/>
        </w:rPr>
        <w:t xml:space="preserve">) είτε μη καθολικά (π.χ. </w:t>
      </w:r>
      <w:r w:rsidRPr="00EA13DD">
        <w:rPr>
          <w:i/>
          <w:iCs/>
          <w:sz w:val="20"/>
          <w:szCs w:val="20"/>
        </w:rPr>
        <w:t>κάποιος άνθρωπος είναι λευκός</w:t>
      </w:r>
      <w:r w:rsidRPr="00EA13DD">
        <w:rPr>
          <w:sz w:val="20"/>
          <w:szCs w:val="20"/>
        </w:rPr>
        <w:t xml:space="preserve">).  </w:t>
      </w:r>
    </w:p>
    <w:p w14:paraId="6A214BE2" w14:textId="77777777" w:rsidR="001B3EE9" w:rsidRPr="00EA13DD" w:rsidRDefault="001B3EE9" w:rsidP="001B3EE9">
      <w:pPr>
        <w:spacing w:line="100" w:lineRule="atLeast"/>
        <w:rPr>
          <w:sz w:val="20"/>
          <w:szCs w:val="20"/>
        </w:rPr>
      </w:pPr>
      <w:r w:rsidRPr="00EA13DD">
        <w:rPr>
          <w:sz w:val="20"/>
          <w:szCs w:val="20"/>
        </w:rPr>
        <w:t xml:space="preserve">(γ) κάθε σύνθετη πρόταση μπορεί να αναλυθεί σε απλές, </w:t>
      </w:r>
    </w:p>
    <w:p w14:paraId="1A691836" w14:textId="77777777" w:rsidR="001B3EE9" w:rsidRPr="00EA13DD" w:rsidRDefault="001B3EE9" w:rsidP="001B3EE9">
      <w:pPr>
        <w:spacing w:line="100" w:lineRule="atLeast"/>
        <w:rPr>
          <w:sz w:val="20"/>
          <w:szCs w:val="20"/>
        </w:rPr>
      </w:pPr>
      <w:r w:rsidRPr="00EA13DD">
        <w:rPr>
          <w:sz w:val="20"/>
          <w:szCs w:val="20"/>
        </w:rPr>
        <w:t xml:space="preserve">(δ) υπάρχουν δύο είδη αποφαντικών προτάσεων: οι καταφατικές (π.χ. κάποιος άνθρωπος είναι λευκός) και οι αποφατικές ή αρνητικές (π.χ. κάποιος άνθρωπος ΔΕΝ είναι λευκός). </w:t>
      </w:r>
    </w:p>
    <w:p w14:paraId="4CD293CD" w14:textId="77777777" w:rsidR="001B3EE9" w:rsidRPr="00EA13DD" w:rsidRDefault="001B3EE9" w:rsidP="001B3EE9">
      <w:pPr>
        <w:spacing w:line="100" w:lineRule="atLeast"/>
        <w:rPr>
          <w:sz w:val="20"/>
          <w:szCs w:val="20"/>
        </w:rPr>
      </w:pPr>
    </w:p>
    <w:p w14:paraId="457D048D" w14:textId="77777777" w:rsidR="001B3EE9" w:rsidRPr="001B3EE9" w:rsidRDefault="001B3EE9" w:rsidP="001B3EE9">
      <w:pPr>
        <w:spacing w:line="100" w:lineRule="atLeast"/>
        <w:rPr>
          <w:rFonts w:cstheme="minorHAnsi"/>
          <w:sz w:val="20"/>
          <w:szCs w:val="20"/>
        </w:rPr>
      </w:pPr>
      <w:r w:rsidRPr="00EA13DD">
        <w:rPr>
          <w:sz w:val="20"/>
          <w:szCs w:val="20"/>
        </w:rPr>
        <w:t>Οι προτάσεις αυτές συμβολίζονται με τα δύο πρώτα φωνήεντα της λατινικής λέξης</w:t>
      </w:r>
      <w:r w:rsidRPr="00EA13DD">
        <w:rPr>
          <w:i/>
          <w:iCs/>
          <w:sz w:val="20"/>
          <w:szCs w:val="20"/>
        </w:rPr>
        <w:t xml:space="preserve"> affirmo</w:t>
      </w:r>
      <w:r w:rsidRPr="00EA13DD">
        <w:rPr>
          <w:sz w:val="20"/>
          <w:szCs w:val="20"/>
        </w:rPr>
        <w:t xml:space="preserve"> (βεβαιώνω, καταφάσκω) για τις </w:t>
      </w:r>
      <w:r w:rsidRPr="00EA13DD">
        <w:rPr>
          <w:i/>
          <w:iCs/>
          <w:sz w:val="20"/>
          <w:szCs w:val="20"/>
        </w:rPr>
        <w:t>καθολικές καταφατικές</w:t>
      </w:r>
      <w:r w:rsidRPr="00EA13DD">
        <w:rPr>
          <w:sz w:val="20"/>
          <w:szCs w:val="20"/>
        </w:rPr>
        <w:t xml:space="preserve"> προτάσεις και </w:t>
      </w:r>
      <w:r w:rsidRPr="00EA13DD">
        <w:rPr>
          <w:i/>
          <w:iCs/>
          <w:sz w:val="20"/>
          <w:szCs w:val="20"/>
        </w:rPr>
        <w:t>καθέκαστον καταφατικές</w:t>
      </w:r>
      <w:r w:rsidRPr="00EA13DD">
        <w:rPr>
          <w:sz w:val="20"/>
          <w:szCs w:val="20"/>
        </w:rPr>
        <w:t xml:space="preserve"> προτάσεις.  και τα δύο πρώτα </w:t>
      </w:r>
      <w:r w:rsidRPr="001B3EE9">
        <w:rPr>
          <w:rFonts w:cstheme="minorHAnsi"/>
          <w:sz w:val="20"/>
          <w:szCs w:val="20"/>
        </w:rPr>
        <w:t xml:space="preserve">φωνήεντα των λατινικών λέξεων </w:t>
      </w:r>
      <w:r w:rsidRPr="001B3EE9">
        <w:rPr>
          <w:rFonts w:cstheme="minorHAnsi"/>
          <w:i/>
          <w:iCs/>
          <w:sz w:val="20"/>
          <w:szCs w:val="20"/>
        </w:rPr>
        <w:t>nego</w:t>
      </w:r>
      <w:r w:rsidRPr="001B3EE9">
        <w:rPr>
          <w:rFonts w:cstheme="minorHAnsi"/>
          <w:sz w:val="20"/>
          <w:szCs w:val="20"/>
        </w:rPr>
        <w:t xml:space="preserve"> (αρνούμαι αποφάσκω) για τις </w:t>
      </w:r>
      <w:r w:rsidRPr="001B3EE9">
        <w:rPr>
          <w:rFonts w:cstheme="minorHAnsi"/>
          <w:i/>
          <w:iCs/>
          <w:sz w:val="20"/>
          <w:szCs w:val="20"/>
        </w:rPr>
        <w:t xml:space="preserve">καθολικές καταφατικές </w:t>
      </w:r>
      <w:r w:rsidRPr="001B3EE9">
        <w:rPr>
          <w:rFonts w:cstheme="minorHAnsi"/>
          <w:sz w:val="20"/>
          <w:szCs w:val="20"/>
        </w:rPr>
        <w:t xml:space="preserve">προτάσεις και </w:t>
      </w:r>
      <w:r w:rsidRPr="001B3EE9">
        <w:rPr>
          <w:rFonts w:cstheme="minorHAnsi"/>
          <w:i/>
          <w:iCs/>
          <w:sz w:val="20"/>
          <w:szCs w:val="20"/>
        </w:rPr>
        <w:t>καθέκαστον καταφατικές</w:t>
      </w:r>
      <w:r w:rsidRPr="001B3EE9">
        <w:rPr>
          <w:rFonts w:cstheme="minorHAnsi"/>
          <w:sz w:val="20"/>
          <w:szCs w:val="20"/>
        </w:rPr>
        <w:t xml:space="preserve"> προτάσεις</w:t>
      </w:r>
    </w:p>
    <w:tbl>
      <w:tblPr>
        <w:tblW w:w="0" w:type="auto"/>
        <w:tblInd w:w="550" w:type="dxa"/>
        <w:tblLayout w:type="fixed"/>
        <w:tblCellMar>
          <w:top w:w="90" w:type="dxa"/>
          <w:left w:w="90" w:type="dxa"/>
          <w:bottom w:w="90" w:type="dxa"/>
          <w:right w:w="90" w:type="dxa"/>
        </w:tblCellMar>
        <w:tblLook w:val="0000" w:firstRow="0" w:lastRow="0" w:firstColumn="0" w:lastColumn="0" w:noHBand="0" w:noVBand="0"/>
      </w:tblPr>
      <w:tblGrid>
        <w:gridCol w:w="929"/>
        <w:gridCol w:w="2082"/>
        <w:gridCol w:w="3268"/>
      </w:tblGrid>
      <w:tr w:rsidR="001B3EE9" w:rsidRPr="001B3EE9" w14:paraId="57E93A5C" w14:textId="77777777" w:rsidTr="00734C9B">
        <w:tc>
          <w:tcPr>
            <w:tcW w:w="929" w:type="dxa"/>
            <w:shd w:val="clear" w:color="auto" w:fill="auto"/>
            <w:vAlign w:val="center"/>
          </w:tcPr>
          <w:p w14:paraId="68247055" w14:textId="77777777" w:rsidR="001B3EE9" w:rsidRPr="001B3EE9" w:rsidRDefault="001B3EE9" w:rsidP="00734C9B">
            <w:pPr>
              <w:pStyle w:val="a"/>
              <w:snapToGrid w:val="0"/>
              <w:spacing w:line="100" w:lineRule="atLeast"/>
              <w:ind w:left="1" w:right="-90" w:firstLine="0"/>
              <w:rPr>
                <w:rStyle w:val="Emphasis"/>
                <w:rFonts w:asciiTheme="minorHAnsi" w:hAnsiTheme="minorHAnsi" w:cstheme="minorHAnsi"/>
                <w:sz w:val="20"/>
              </w:rPr>
            </w:pPr>
            <w:r w:rsidRPr="001B3EE9">
              <w:rPr>
                <w:rStyle w:val="Emphasis"/>
                <w:rFonts w:asciiTheme="minorHAnsi" w:hAnsiTheme="minorHAnsi" w:cstheme="minorHAnsi"/>
                <w:sz w:val="20"/>
              </w:rPr>
              <w:t xml:space="preserve">Σύμβολο  </w:t>
            </w:r>
          </w:p>
        </w:tc>
        <w:tc>
          <w:tcPr>
            <w:tcW w:w="2082" w:type="dxa"/>
            <w:shd w:val="clear" w:color="auto" w:fill="auto"/>
            <w:vAlign w:val="center"/>
          </w:tcPr>
          <w:p w14:paraId="58F66849" w14:textId="77777777" w:rsidR="001B3EE9" w:rsidRPr="001B3EE9" w:rsidRDefault="001B3EE9" w:rsidP="00734C9B">
            <w:pPr>
              <w:pStyle w:val="a"/>
              <w:snapToGrid w:val="0"/>
              <w:spacing w:line="100" w:lineRule="atLeast"/>
              <w:rPr>
                <w:rStyle w:val="Emphasis"/>
                <w:rFonts w:asciiTheme="minorHAnsi" w:hAnsiTheme="minorHAnsi" w:cstheme="minorHAnsi"/>
                <w:sz w:val="20"/>
              </w:rPr>
            </w:pPr>
            <w:r w:rsidRPr="001B3EE9">
              <w:rPr>
                <w:rStyle w:val="Emphasis"/>
                <w:rFonts w:asciiTheme="minorHAnsi" w:hAnsiTheme="minorHAnsi" w:cstheme="minorHAnsi"/>
                <w:sz w:val="20"/>
              </w:rPr>
              <w:t xml:space="preserve">Τύπος </w:t>
            </w:r>
          </w:p>
        </w:tc>
        <w:tc>
          <w:tcPr>
            <w:tcW w:w="3268" w:type="dxa"/>
            <w:shd w:val="clear" w:color="auto" w:fill="auto"/>
            <w:vAlign w:val="center"/>
          </w:tcPr>
          <w:p w14:paraId="000B9895" w14:textId="77777777" w:rsidR="001B3EE9" w:rsidRPr="001B3EE9" w:rsidRDefault="001B3EE9" w:rsidP="00734C9B">
            <w:pPr>
              <w:pStyle w:val="a"/>
              <w:snapToGrid w:val="0"/>
              <w:spacing w:line="100" w:lineRule="atLeast"/>
              <w:rPr>
                <w:rStyle w:val="Emphasis"/>
                <w:rFonts w:asciiTheme="minorHAnsi" w:hAnsiTheme="minorHAnsi" w:cstheme="minorHAnsi"/>
                <w:sz w:val="20"/>
              </w:rPr>
            </w:pPr>
            <w:r w:rsidRPr="001B3EE9">
              <w:rPr>
                <w:rStyle w:val="Emphasis"/>
                <w:rFonts w:asciiTheme="minorHAnsi" w:hAnsiTheme="minorHAnsi" w:cstheme="minorHAnsi"/>
                <w:sz w:val="20"/>
              </w:rPr>
              <w:t xml:space="preserve">Τίτλος </w:t>
            </w:r>
          </w:p>
        </w:tc>
      </w:tr>
      <w:tr w:rsidR="001B3EE9" w:rsidRPr="001B3EE9" w14:paraId="1D4CFD84" w14:textId="77777777" w:rsidTr="00734C9B">
        <w:tc>
          <w:tcPr>
            <w:tcW w:w="929" w:type="dxa"/>
            <w:shd w:val="clear" w:color="auto" w:fill="auto"/>
            <w:vAlign w:val="center"/>
          </w:tcPr>
          <w:p w14:paraId="2970B809" w14:textId="77777777" w:rsidR="001B3EE9" w:rsidRPr="001B3EE9" w:rsidRDefault="001B3EE9" w:rsidP="00734C9B">
            <w:pPr>
              <w:pStyle w:val="a"/>
              <w:snapToGrid w:val="0"/>
              <w:spacing w:line="100" w:lineRule="atLeast"/>
              <w:jc w:val="center"/>
              <w:rPr>
                <w:rStyle w:val="Strong"/>
                <w:rFonts w:asciiTheme="minorHAnsi" w:hAnsiTheme="minorHAnsi" w:cstheme="minorHAnsi"/>
                <w:sz w:val="20"/>
              </w:rPr>
            </w:pPr>
            <w:r w:rsidRPr="001B3EE9">
              <w:rPr>
                <w:rStyle w:val="Strong"/>
                <w:rFonts w:asciiTheme="minorHAnsi" w:hAnsiTheme="minorHAnsi" w:cstheme="minorHAnsi"/>
                <w:sz w:val="20"/>
              </w:rPr>
              <w:t>A</w:t>
            </w:r>
          </w:p>
        </w:tc>
        <w:tc>
          <w:tcPr>
            <w:tcW w:w="2082" w:type="dxa"/>
            <w:shd w:val="clear" w:color="auto" w:fill="auto"/>
            <w:vAlign w:val="center"/>
          </w:tcPr>
          <w:p w14:paraId="645105DD" w14:textId="77777777" w:rsidR="001B3EE9" w:rsidRPr="001B3EE9" w:rsidRDefault="001B3EE9" w:rsidP="00734C9B">
            <w:pPr>
              <w:pStyle w:val="a"/>
              <w:snapToGrid w:val="0"/>
              <w:spacing w:line="100" w:lineRule="atLeast"/>
              <w:ind w:firstLine="0"/>
              <w:rPr>
                <w:rStyle w:val="Emphasis"/>
                <w:rFonts w:asciiTheme="minorHAnsi" w:hAnsiTheme="minorHAnsi" w:cstheme="minorHAnsi"/>
                <w:sz w:val="20"/>
              </w:rPr>
            </w:pPr>
            <w:r w:rsidRPr="001B3EE9">
              <w:rPr>
                <w:rFonts w:asciiTheme="minorHAnsi" w:hAnsiTheme="minorHAnsi" w:cstheme="minorHAnsi"/>
                <w:sz w:val="20"/>
              </w:rPr>
              <w:t xml:space="preserve">Κάθε Υ είναι </w:t>
            </w:r>
            <w:r w:rsidRPr="001B3EE9">
              <w:rPr>
                <w:rStyle w:val="Emphasis"/>
                <w:rFonts w:asciiTheme="minorHAnsi" w:hAnsiTheme="minorHAnsi" w:cstheme="minorHAnsi"/>
                <w:sz w:val="20"/>
              </w:rPr>
              <w:t>Κ</w:t>
            </w:r>
          </w:p>
        </w:tc>
        <w:tc>
          <w:tcPr>
            <w:tcW w:w="3268" w:type="dxa"/>
            <w:shd w:val="clear" w:color="auto" w:fill="auto"/>
            <w:vAlign w:val="center"/>
          </w:tcPr>
          <w:p w14:paraId="135ACBE6" w14:textId="77777777" w:rsidR="001B3EE9" w:rsidRPr="001B3EE9" w:rsidRDefault="001B3EE9" w:rsidP="00734C9B">
            <w:pPr>
              <w:pStyle w:val="a"/>
              <w:snapToGrid w:val="0"/>
              <w:spacing w:line="100" w:lineRule="atLeast"/>
              <w:ind w:firstLine="0"/>
              <w:rPr>
                <w:rFonts w:asciiTheme="minorHAnsi" w:hAnsiTheme="minorHAnsi" w:cstheme="minorHAnsi"/>
                <w:sz w:val="20"/>
              </w:rPr>
            </w:pPr>
            <w:r w:rsidRPr="001B3EE9">
              <w:rPr>
                <w:rFonts w:asciiTheme="minorHAnsi" w:hAnsiTheme="minorHAnsi" w:cstheme="minorHAnsi"/>
                <w:sz w:val="20"/>
              </w:rPr>
              <w:t xml:space="preserve">Καθολική καταφατική </w:t>
            </w:r>
          </w:p>
        </w:tc>
      </w:tr>
      <w:tr w:rsidR="001B3EE9" w:rsidRPr="001B3EE9" w14:paraId="3EA3532B" w14:textId="77777777" w:rsidTr="00734C9B">
        <w:tc>
          <w:tcPr>
            <w:tcW w:w="929" w:type="dxa"/>
            <w:shd w:val="clear" w:color="auto" w:fill="auto"/>
            <w:vAlign w:val="center"/>
          </w:tcPr>
          <w:p w14:paraId="2DA664F4" w14:textId="77777777" w:rsidR="001B3EE9" w:rsidRPr="001B3EE9" w:rsidRDefault="001B3EE9" w:rsidP="00734C9B">
            <w:pPr>
              <w:pStyle w:val="a"/>
              <w:snapToGrid w:val="0"/>
              <w:spacing w:line="100" w:lineRule="atLeast"/>
              <w:jc w:val="center"/>
              <w:rPr>
                <w:rStyle w:val="Strong"/>
                <w:rFonts w:asciiTheme="minorHAnsi" w:hAnsiTheme="minorHAnsi" w:cstheme="minorHAnsi"/>
                <w:sz w:val="20"/>
              </w:rPr>
            </w:pPr>
            <w:r w:rsidRPr="001B3EE9">
              <w:rPr>
                <w:rStyle w:val="Strong"/>
                <w:rFonts w:asciiTheme="minorHAnsi" w:hAnsiTheme="minorHAnsi" w:cstheme="minorHAnsi"/>
                <w:sz w:val="20"/>
              </w:rPr>
              <w:t>E</w:t>
            </w:r>
          </w:p>
        </w:tc>
        <w:tc>
          <w:tcPr>
            <w:tcW w:w="2082" w:type="dxa"/>
            <w:shd w:val="clear" w:color="auto" w:fill="auto"/>
            <w:vAlign w:val="center"/>
          </w:tcPr>
          <w:p w14:paraId="637BC0BA" w14:textId="77777777" w:rsidR="001B3EE9" w:rsidRPr="001B3EE9" w:rsidRDefault="001B3EE9" w:rsidP="00734C9B">
            <w:pPr>
              <w:pStyle w:val="a"/>
              <w:snapToGrid w:val="0"/>
              <w:spacing w:line="100" w:lineRule="atLeast"/>
              <w:ind w:firstLine="0"/>
              <w:rPr>
                <w:rFonts w:asciiTheme="minorHAnsi" w:hAnsiTheme="minorHAnsi" w:cstheme="minorHAnsi"/>
                <w:sz w:val="20"/>
              </w:rPr>
            </w:pPr>
            <w:r w:rsidRPr="001B3EE9">
              <w:rPr>
                <w:rFonts w:asciiTheme="minorHAnsi" w:hAnsiTheme="minorHAnsi" w:cstheme="minorHAnsi"/>
                <w:sz w:val="20"/>
              </w:rPr>
              <w:t>Κανένα Υ δεν είναι Κ</w:t>
            </w:r>
          </w:p>
        </w:tc>
        <w:tc>
          <w:tcPr>
            <w:tcW w:w="3268" w:type="dxa"/>
            <w:shd w:val="clear" w:color="auto" w:fill="auto"/>
            <w:vAlign w:val="center"/>
          </w:tcPr>
          <w:p w14:paraId="1D9D827A" w14:textId="77777777" w:rsidR="001B3EE9" w:rsidRPr="001B3EE9" w:rsidRDefault="001B3EE9" w:rsidP="00734C9B">
            <w:pPr>
              <w:pStyle w:val="a"/>
              <w:snapToGrid w:val="0"/>
              <w:spacing w:line="100" w:lineRule="atLeast"/>
              <w:ind w:firstLine="0"/>
              <w:rPr>
                <w:rFonts w:asciiTheme="minorHAnsi" w:hAnsiTheme="minorHAnsi" w:cstheme="minorHAnsi"/>
                <w:sz w:val="20"/>
              </w:rPr>
            </w:pPr>
            <w:r w:rsidRPr="001B3EE9">
              <w:rPr>
                <w:rFonts w:asciiTheme="minorHAnsi" w:hAnsiTheme="minorHAnsi" w:cstheme="minorHAnsi"/>
                <w:sz w:val="20"/>
              </w:rPr>
              <w:t xml:space="preserve">Καθολική αποφατική (ή αρνητική)  </w:t>
            </w:r>
          </w:p>
        </w:tc>
      </w:tr>
      <w:tr w:rsidR="001B3EE9" w:rsidRPr="001B3EE9" w14:paraId="540216E4" w14:textId="77777777" w:rsidTr="00734C9B">
        <w:tc>
          <w:tcPr>
            <w:tcW w:w="929" w:type="dxa"/>
            <w:shd w:val="clear" w:color="auto" w:fill="auto"/>
            <w:vAlign w:val="center"/>
          </w:tcPr>
          <w:p w14:paraId="1ABA7217" w14:textId="77777777" w:rsidR="001B3EE9" w:rsidRPr="001B3EE9" w:rsidRDefault="001B3EE9" w:rsidP="00734C9B">
            <w:pPr>
              <w:pStyle w:val="a"/>
              <w:snapToGrid w:val="0"/>
              <w:spacing w:line="100" w:lineRule="atLeast"/>
              <w:jc w:val="center"/>
              <w:rPr>
                <w:rStyle w:val="Strong"/>
                <w:rFonts w:asciiTheme="minorHAnsi" w:hAnsiTheme="minorHAnsi" w:cstheme="minorHAnsi"/>
                <w:sz w:val="20"/>
              </w:rPr>
            </w:pPr>
            <w:r w:rsidRPr="001B3EE9">
              <w:rPr>
                <w:rStyle w:val="Strong"/>
                <w:rFonts w:asciiTheme="minorHAnsi" w:hAnsiTheme="minorHAnsi" w:cstheme="minorHAnsi"/>
                <w:sz w:val="20"/>
              </w:rPr>
              <w:t>I</w:t>
            </w:r>
          </w:p>
        </w:tc>
        <w:tc>
          <w:tcPr>
            <w:tcW w:w="2082" w:type="dxa"/>
            <w:shd w:val="clear" w:color="auto" w:fill="auto"/>
            <w:vAlign w:val="center"/>
          </w:tcPr>
          <w:p w14:paraId="7DB78B2F" w14:textId="77777777" w:rsidR="001B3EE9" w:rsidRPr="001B3EE9" w:rsidRDefault="001B3EE9" w:rsidP="00734C9B">
            <w:pPr>
              <w:pStyle w:val="a"/>
              <w:snapToGrid w:val="0"/>
              <w:spacing w:line="100" w:lineRule="atLeast"/>
              <w:ind w:firstLine="0"/>
              <w:rPr>
                <w:rFonts w:asciiTheme="minorHAnsi" w:hAnsiTheme="minorHAnsi" w:cstheme="minorHAnsi"/>
                <w:sz w:val="20"/>
              </w:rPr>
            </w:pPr>
            <w:r w:rsidRPr="001B3EE9">
              <w:rPr>
                <w:rFonts w:asciiTheme="minorHAnsi" w:hAnsiTheme="minorHAnsi" w:cstheme="minorHAnsi"/>
                <w:sz w:val="20"/>
              </w:rPr>
              <w:t>Κάποιο Υ είναι Κ</w:t>
            </w:r>
          </w:p>
        </w:tc>
        <w:tc>
          <w:tcPr>
            <w:tcW w:w="3268" w:type="dxa"/>
            <w:shd w:val="clear" w:color="auto" w:fill="auto"/>
            <w:vAlign w:val="center"/>
          </w:tcPr>
          <w:p w14:paraId="05637813" w14:textId="77777777" w:rsidR="001B3EE9" w:rsidRPr="001B3EE9" w:rsidRDefault="001B3EE9" w:rsidP="00734C9B">
            <w:pPr>
              <w:pStyle w:val="a"/>
              <w:snapToGrid w:val="0"/>
              <w:spacing w:line="100" w:lineRule="atLeast"/>
              <w:ind w:firstLine="0"/>
              <w:rPr>
                <w:rFonts w:asciiTheme="minorHAnsi" w:hAnsiTheme="minorHAnsi" w:cstheme="minorHAnsi"/>
                <w:sz w:val="20"/>
              </w:rPr>
            </w:pPr>
            <w:r w:rsidRPr="001B3EE9">
              <w:rPr>
                <w:rFonts w:asciiTheme="minorHAnsi" w:hAnsiTheme="minorHAnsi" w:cstheme="minorHAnsi"/>
                <w:sz w:val="20"/>
              </w:rPr>
              <w:t xml:space="preserve">Μη καθολική  καταφατική </w:t>
            </w:r>
          </w:p>
        </w:tc>
      </w:tr>
      <w:tr w:rsidR="001B3EE9" w:rsidRPr="001B3EE9" w14:paraId="3E427A57" w14:textId="77777777" w:rsidTr="00734C9B">
        <w:tc>
          <w:tcPr>
            <w:tcW w:w="929" w:type="dxa"/>
            <w:shd w:val="clear" w:color="auto" w:fill="auto"/>
            <w:vAlign w:val="center"/>
          </w:tcPr>
          <w:p w14:paraId="6F350630" w14:textId="77777777" w:rsidR="001B3EE9" w:rsidRPr="001B3EE9" w:rsidRDefault="001B3EE9" w:rsidP="00734C9B">
            <w:pPr>
              <w:pStyle w:val="a"/>
              <w:snapToGrid w:val="0"/>
              <w:spacing w:line="100" w:lineRule="atLeast"/>
              <w:jc w:val="center"/>
              <w:rPr>
                <w:rStyle w:val="Strong"/>
                <w:rFonts w:asciiTheme="minorHAnsi" w:hAnsiTheme="minorHAnsi" w:cstheme="minorHAnsi"/>
                <w:sz w:val="20"/>
              </w:rPr>
            </w:pPr>
            <w:r w:rsidRPr="001B3EE9">
              <w:rPr>
                <w:rStyle w:val="Strong"/>
                <w:rFonts w:asciiTheme="minorHAnsi" w:hAnsiTheme="minorHAnsi" w:cstheme="minorHAnsi"/>
                <w:sz w:val="20"/>
              </w:rPr>
              <w:t>O</w:t>
            </w:r>
          </w:p>
        </w:tc>
        <w:tc>
          <w:tcPr>
            <w:tcW w:w="2082" w:type="dxa"/>
            <w:shd w:val="clear" w:color="auto" w:fill="auto"/>
            <w:vAlign w:val="center"/>
          </w:tcPr>
          <w:p w14:paraId="603B45B7" w14:textId="77777777" w:rsidR="001B3EE9" w:rsidRPr="001B3EE9" w:rsidRDefault="001B3EE9" w:rsidP="00734C9B">
            <w:pPr>
              <w:pStyle w:val="a"/>
              <w:snapToGrid w:val="0"/>
              <w:spacing w:line="100" w:lineRule="atLeast"/>
              <w:ind w:firstLine="0"/>
              <w:rPr>
                <w:rFonts w:asciiTheme="minorHAnsi" w:hAnsiTheme="minorHAnsi" w:cstheme="minorHAnsi"/>
                <w:sz w:val="20"/>
              </w:rPr>
            </w:pPr>
            <w:r w:rsidRPr="001B3EE9">
              <w:rPr>
                <w:rFonts w:asciiTheme="minorHAnsi" w:hAnsiTheme="minorHAnsi" w:cstheme="minorHAnsi"/>
                <w:sz w:val="20"/>
              </w:rPr>
              <w:t>Κάποιο Υ δεν είναι Κ</w:t>
            </w:r>
          </w:p>
        </w:tc>
        <w:tc>
          <w:tcPr>
            <w:tcW w:w="3268" w:type="dxa"/>
            <w:shd w:val="clear" w:color="auto" w:fill="auto"/>
            <w:vAlign w:val="center"/>
          </w:tcPr>
          <w:p w14:paraId="5CEE5512" w14:textId="77777777" w:rsidR="001B3EE9" w:rsidRPr="001B3EE9" w:rsidRDefault="001B3EE9" w:rsidP="00734C9B">
            <w:pPr>
              <w:pStyle w:val="a"/>
              <w:snapToGrid w:val="0"/>
              <w:spacing w:line="100" w:lineRule="atLeast"/>
              <w:ind w:firstLine="0"/>
              <w:rPr>
                <w:rFonts w:asciiTheme="minorHAnsi" w:hAnsiTheme="minorHAnsi" w:cstheme="minorHAnsi"/>
                <w:sz w:val="20"/>
              </w:rPr>
            </w:pPr>
            <w:r w:rsidRPr="001B3EE9">
              <w:rPr>
                <w:rFonts w:asciiTheme="minorHAnsi" w:hAnsiTheme="minorHAnsi" w:cstheme="minorHAnsi"/>
                <w:sz w:val="20"/>
              </w:rPr>
              <w:t xml:space="preserve">Μη καθολική αποφατική (ή αρνητική) </w:t>
            </w:r>
          </w:p>
        </w:tc>
      </w:tr>
    </w:tbl>
    <w:p w14:paraId="175C3D8A" w14:textId="77777777" w:rsidR="001B3EE9" w:rsidRPr="001B3EE9" w:rsidRDefault="001B3EE9" w:rsidP="001B3EE9">
      <w:pPr>
        <w:pStyle w:val="BodyText"/>
        <w:spacing w:line="100" w:lineRule="atLeast"/>
        <w:rPr>
          <w:rFonts w:asciiTheme="minorHAnsi" w:hAnsiTheme="minorHAnsi" w:cstheme="minorHAnsi"/>
          <w:i/>
          <w:iCs/>
          <w:sz w:val="20"/>
          <w:szCs w:val="20"/>
        </w:rPr>
      </w:pPr>
      <w:r w:rsidRPr="001B3EE9">
        <w:rPr>
          <w:rFonts w:asciiTheme="minorHAnsi" w:hAnsiTheme="minorHAnsi" w:cstheme="minorHAnsi"/>
          <w:sz w:val="20"/>
          <w:szCs w:val="20"/>
        </w:rPr>
        <w:tab/>
      </w:r>
      <w:r w:rsidRPr="001B3EE9">
        <w:rPr>
          <w:rFonts w:asciiTheme="minorHAnsi" w:hAnsiTheme="minorHAnsi" w:cstheme="minorHAnsi"/>
          <w:sz w:val="20"/>
          <w:szCs w:val="20"/>
        </w:rPr>
        <w:tab/>
      </w:r>
      <w:r w:rsidRPr="001B3EE9">
        <w:rPr>
          <w:rFonts w:asciiTheme="minorHAnsi" w:hAnsiTheme="minorHAnsi" w:cstheme="minorHAnsi"/>
          <w:sz w:val="20"/>
          <w:szCs w:val="20"/>
        </w:rPr>
        <w:tab/>
      </w:r>
      <w:r w:rsidRPr="001B3EE9">
        <w:rPr>
          <w:rFonts w:asciiTheme="minorHAnsi" w:hAnsiTheme="minorHAnsi" w:cstheme="minorHAnsi"/>
          <w:sz w:val="20"/>
          <w:szCs w:val="20"/>
        </w:rPr>
        <w:tab/>
      </w:r>
      <w:r w:rsidRPr="001B3EE9">
        <w:rPr>
          <w:rFonts w:asciiTheme="minorHAnsi" w:hAnsiTheme="minorHAnsi" w:cstheme="minorHAnsi"/>
          <w:sz w:val="20"/>
          <w:szCs w:val="20"/>
        </w:rPr>
        <w:tab/>
      </w:r>
      <w:r w:rsidRPr="001B3EE9">
        <w:rPr>
          <w:rFonts w:asciiTheme="minorHAnsi" w:hAnsiTheme="minorHAnsi" w:cstheme="minorHAnsi"/>
          <w:sz w:val="20"/>
          <w:szCs w:val="20"/>
        </w:rPr>
        <w:tab/>
      </w:r>
      <w:r w:rsidRPr="001B3EE9">
        <w:rPr>
          <w:rFonts w:asciiTheme="minorHAnsi" w:hAnsiTheme="minorHAnsi" w:cstheme="minorHAnsi"/>
          <w:sz w:val="20"/>
          <w:szCs w:val="20"/>
        </w:rPr>
        <w:tab/>
      </w:r>
      <w:r w:rsidRPr="001B3EE9">
        <w:rPr>
          <w:rFonts w:asciiTheme="minorHAnsi" w:hAnsiTheme="minorHAnsi" w:cstheme="minorHAnsi"/>
          <w:sz w:val="20"/>
          <w:szCs w:val="20"/>
        </w:rPr>
        <w:tab/>
      </w:r>
      <w:r w:rsidRPr="001B3EE9">
        <w:rPr>
          <w:rFonts w:asciiTheme="minorHAnsi" w:hAnsiTheme="minorHAnsi" w:cstheme="minorHAnsi"/>
          <w:sz w:val="20"/>
          <w:szCs w:val="20"/>
        </w:rPr>
        <w:tab/>
      </w:r>
      <w:r w:rsidRPr="001B3EE9">
        <w:rPr>
          <w:rFonts w:asciiTheme="minorHAnsi" w:hAnsiTheme="minorHAnsi" w:cstheme="minorHAnsi"/>
          <w:i/>
          <w:iCs/>
          <w:sz w:val="20"/>
          <w:szCs w:val="20"/>
        </w:rPr>
        <w:t>Πίνακας 1</w:t>
      </w:r>
    </w:p>
    <w:p w14:paraId="28EB101D" w14:textId="77777777" w:rsidR="001B3EE9" w:rsidRPr="001B3EE9" w:rsidRDefault="001B3EE9" w:rsidP="001B3EE9">
      <w:pPr>
        <w:pStyle w:val="BodyText"/>
        <w:spacing w:line="100" w:lineRule="atLeast"/>
        <w:rPr>
          <w:rFonts w:asciiTheme="minorHAnsi" w:hAnsiTheme="minorHAnsi" w:cstheme="minorHAnsi"/>
          <w:sz w:val="20"/>
          <w:szCs w:val="20"/>
        </w:rPr>
      </w:pPr>
    </w:p>
    <w:p w14:paraId="5CD5F6C2" w14:textId="77777777" w:rsidR="001B3EE9" w:rsidRPr="001B3EE9" w:rsidRDefault="001B3EE9" w:rsidP="001B3EE9">
      <w:pPr>
        <w:pStyle w:val="BodyText"/>
        <w:spacing w:line="100" w:lineRule="atLeast"/>
        <w:rPr>
          <w:rFonts w:asciiTheme="minorHAnsi" w:hAnsiTheme="minorHAnsi" w:cstheme="minorHAnsi"/>
          <w:sz w:val="20"/>
          <w:szCs w:val="20"/>
        </w:rPr>
      </w:pPr>
    </w:p>
    <w:p w14:paraId="17686298" w14:textId="77777777" w:rsidR="001B3EE9" w:rsidRPr="001B3EE9" w:rsidRDefault="001B3EE9" w:rsidP="001B3EE9">
      <w:pPr>
        <w:pStyle w:val="BodyText"/>
        <w:spacing w:line="100" w:lineRule="atLeast"/>
        <w:rPr>
          <w:rFonts w:asciiTheme="minorHAnsi" w:hAnsiTheme="minorHAnsi" w:cstheme="minorHAnsi"/>
          <w:sz w:val="20"/>
          <w:szCs w:val="20"/>
        </w:rPr>
      </w:pPr>
    </w:p>
    <w:p w14:paraId="48B19A1E" w14:textId="77777777" w:rsidR="001B3EE9" w:rsidRPr="001B3EE9" w:rsidRDefault="001B3EE9" w:rsidP="001B3EE9">
      <w:pPr>
        <w:pStyle w:val="BodyText"/>
        <w:spacing w:line="100" w:lineRule="atLeast"/>
        <w:rPr>
          <w:rFonts w:asciiTheme="minorHAnsi" w:hAnsiTheme="minorHAnsi" w:cstheme="minorHAnsi"/>
          <w:sz w:val="20"/>
          <w:szCs w:val="20"/>
        </w:rPr>
      </w:pPr>
      <w:r w:rsidRPr="001B3EE9">
        <w:rPr>
          <w:rFonts w:asciiTheme="minorHAnsi" w:hAnsiTheme="minorHAnsi" w:cstheme="minorHAnsi"/>
          <w:sz w:val="20"/>
          <w:szCs w:val="20"/>
        </w:rPr>
        <w:t>Το διάγραμμα των σχέσεων ανάμεσα στους τέσσερις τύπους προτάσεων έχει ως εξής:</w:t>
      </w:r>
    </w:p>
    <w:p w14:paraId="60725992" w14:textId="77777777" w:rsidR="001B3EE9" w:rsidRPr="001B3EE9" w:rsidRDefault="001B3EE9" w:rsidP="001B3EE9">
      <w:pPr>
        <w:pStyle w:val="BodyText"/>
        <w:spacing w:line="100" w:lineRule="atLeast"/>
        <w:rPr>
          <w:rFonts w:asciiTheme="minorHAnsi" w:hAnsiTheme="minorHAnsi" w:cstheme="minorHAnsi"/>
        </w:rPr>
      </w:pPr>
      <w:r w:rsidRPr="001B3EE9">
        <w:rPr>
          <w:rFonts w:asciiTheme="minorHAnsi" w:hAnsiTheme="minorHAnsi" w:cstheme="minorHAnsi"/>
        </w:rPr>
        <w:tab/>
        <w:t xml:space="preserve">Κάθε Υ είναι Κ </w:t>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t>Κανένα Υ δεν είναι Κ</w:t>
      </w:r>
    </w:p>
    <w:p w14:paraId="1DE32CBA"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b/>
          <w:bCs/>
        </w:rPr>
        <w:t>Α</w:t>
      </w:r>
      <w:r w:rsidRPr="001B3EE9">
        <w:rPr>
          <w:rFonts w:asciiTheme="minorHAnsi" w:hAnsiTheme="minorHAnsi" w:cstheme="minorHAnsi"/>
        </w:rPr>
        <w:t xml:space="preserve"> _____________ </w:t>
      </w:r>
      <w:r w:rsidRPr="001B3EE9">
        <w:rPr>
          <w:rFonts w:asciiTheme="minorHAnsi" w:hAnsiTheme="minorHAnsi" w:cstheme="minorHAnsi"/>
          <w:b/>
          <w:bCs/>
        </w:rPr>
        <w:t>ενάντιες</w:t>
      </w:r>
      <w:r w:rsidRPr="001B3EE9">
        <w:rPr>
          <w:rFonts w:asciiTheme="minorHAnsi" w:hAnsiTheme="minorHAnsi" w:cstheme="minorHAnsi"/>
        </w:rPr>
        <w:t xml:space="preserve"> (contraries) _____________ </w:t>
      </w:r>
      <w:r w:rsidRPr="001B3EE9">
        <w:rPr>
          <w:rFonts w:asciiTheme="minorHAnsi" w:hAnsiTheme="minorHAnsi" w:cstheme="minorHAnsi"/>
          <w:b/>
          <w:bCs/>
        </w:rPr>
        <w:t>E</w:t>
      </w:r>
    </w:p>
    <w:p w14:paraId="2F37AA9F"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b/>
          <w:bCs/>
        </w:rPr>
        <w:tab/>
      </w:r>
      <w:r w:rsidRPr="001B3EE9">
        <w:rPr>
          <w:rFonts w:asciiTheme="minorHAnsi" w:hAnsiTheme="minorHAnsi" w:cstheme="minorHAnsi"/>
          <w:b/>
          <w:bCs/>
        </w:rPr>
        <w:tab/>
        <w:t xml:space="preserve">     α</w:t>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t>κες</w:t>
      </w:r>
      <w:r w:rsidRPr="001B3EE9">
        <w:rPr>
          <w:rFonts w:asciiTheme="minorHAnsi" w:hAnsiTheme="minorHAnsi" w:cstheme="minorHAnsi"/>
          <w:b/>
          <w:bCs/>
        </w:rPr>
        <w:tab/>
        <w:t xml:space="preserve">         </w:t>
      </w:r>
    </w:p>
    <w:p w14:paraId="05996171"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t xml:space="preserve">   ν</w:t>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t xml:space="preserve">  </w:t>
      </w:r>
      <w:r w:rsidRPr="001B3EE9">
        <w:rPr>
          <w:rFonts w:asciiTheme="minorHAnsi" w:hAnsiTheme="minorHAnsi" w:cstheme="minorHAnsi"/>
          <w:b/>
          <w:bCs/>
        </w:rPr>
        <w:tab/>
      </w:r>
      <w:r w:rsidRPr="001B3EE9">
        <w:rPr>
          <w:rFonts w:asciiTheme="minorHAnsi" w:hAnsiTheme="minorHAnsi" w:cstheme="minorHAnsi"/>
          <w:b/>
          <w:bCs/>
        </w:rPr>
        <w:tab/>
        <w:t xml:space="preserve">   ι</w:t>
      </w:r>
    </w:p>
    <w:p w14:paraId="683BF10F"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t>τ</w:t>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t xml:space="preserve">     τ</w:t>
      </w:r>
    </w:p>
    <w:p w14:paraId="5E9BB173"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r>
      <w:r w:rsidRPr="001B3EE9">
        <w:rPr>
          <w:rFonts w:asciiTheme="minorHAnsi" w:hAnsiTheme="minorHAnsi" w:cstheme="minorHAnsi"/>
          <w:b/>
          <w:bCs/>
        </w:rPr>
        <w:tab/>
        <w:t xml:space="preserve">         ι</w:t>
      </w:r>
      <w:r w:rsidRPr="001B3EE9">
        <w:rPr>
          <w:rFonts w:asciiTheme="minorHAnsi" w:hAnsiTheme="minorHAnsi" w:cstheme="minorHAnsi"/>
          <w:b/>
          <w:bCs/>
        </w:rPr>
        <w:tab/>
      </w:r>
      <w:r w:rsidRPr="001B3EE9">
        <w:rPr>
          <w:rFonts w:asciiTheme="minorHAnsi" w:hAnsiTheme="minorHAnsi" w:cstheme="minorHAnsi"/>
          <w:b/>
          <w:bCs/>
        </w:rPr>
        <w:tab/>
        <w:t xml:space="preserve">       α</w:t>
      </w:r>
    </w:p>
    <w:p w14:paraId="15F3834A" w14:textId="77777777" w:rsidR="001B3EE9" w:rsidRPr="001B3EE9" w:rsidRDefault="001B3EE9" w:rsidP="001B3EE9">
      <w:pPr>
        <w:pStyle w:val="BodyText"/>
        <w:spacing w:line="100" w:lineRule="atLeast"/>
        <w:rPr>
          <w:rFonts w:asciiTheme="minorHAnsi" w:hAnsiTheme="minorHAnsi" w:cstheme="minorHAnsi"/>
        </w:rPr>
      </w:pPr>
      <w:r w:rsidRPr="001B3EE9">
        <w:rPr>
          <w:rFonts w:asciiTheme="minorHAnsi" w:hAnsiTheme="minorHAnsi" w:cstheme="minorHAnsi"/>
          <w:b/>
          <w:bCs/>
        </w:rPr>
        <w:t>υπάλληλες</w:t>
      </w:r>
      <w:r w:rsidRPr="001B3EE9">
        <w:rPr>
          <w:rFonts w:asciiTheme="minorHAnsi" w:hAnsiTheme="minorHAnsi" w:cstheme="minorHAnsi"/>
        </w:rPr>
        <w:t xml:space="preserve"> (subalterns) </w:t>
      </w:r>
      <w:r w:rsidRPr="001B3EE9">
        <w:rPr>
          <w:rFonts w:asciiTheme="minorHAnsi" w:hAnsiTheme="minorHAnsi" w:cstheme="minorHAnsi"/>
        </w:rPr>
        <w:tab/>
      </w:r>
      <w:r w:rsidRPr="001B3EE9">
        <w:rPr>
          <w:rFonts w:asciiTheme="minorHAnsi" w:hAnsiTheme="minorHAnsi" w:cstheme="minorHAnsi"/>
        </w:rPr>
        <w:tab/>
        <w:t xml:space="preserve">       </w:t>
      </w:r>
      <w:r w:rsidRPr="001B3EE9">
        <w:rPr>
          <w:rFonts w:asciiTheme="minorHAnsi" w:hAnsiTheme="minorHAnsi" w:cstheme="minorHAnsi"/>
          <w:b/>
          <w:bCs/>
        </w:rPr>
        <w:t xml:space="preserve"> φ</w:t>
      </w:r>
      <w:r w:rsidRPr="001B3EE9">
        <w:rPr>
          <w:rFonts w:asciiTheme="minorHAnsi" w:hAnsiTheme="minorHAnsi" w:cstheme="minorHAnsi"/>
          <w:b/>
          <w:bCs/>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b/>
          <w:bCs/>
        </w:rPr>
        <w:t>υπάλληλες</w:t>
      </w:r>
    </w:p>
    <w:p w14:paraId="3A0060AF" w14:textId="77777777" w:rsidR="001B3EE9" w:rsidRPr="001B3EE9" w:rsidRDefault="001B3EE9" w:rsidP="001B3EE9">
      <w:pPr>
        <w:pStyle w:val="BodyText"/>
        <w:spacing w:line="100" w:lineRule="atLeast"/>
        <w:rPr>
          <w:rFonts w:asciiTheme="minorHAnsi" w:hAnsiTheme="minorHAnsi" w:cstheme="minorHAnsi"/>
        </w:rPr>
      </w:pPr>
    </w:p>
    <w:p w14:paraId="3B89F942" w14:textId="77777777" w:rsidR="001B3EE9" w:rsidRPr="001B3EE9" w:rsidRDefault="001B3EE9" w:rsidP="001B3EE9">
      <w:pPr>
        <w:pStyle w:val="BodyText"/>
        <w:spacing w:line="100" w:lineRule="atLeast"/>
        <w:rPr>
          <w:rFonts w:asciiTheme="minorHAnsi" w:hAnsiTheme="minorHAnsi" w:cstheme="minorHAnsi"/>
        </w:rPr>
      </w:pP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t xml:space="preserve">       α</w:t>
      </w:r>
    </w:p>
    <w:p w14:paraId="372C3118"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t xml:space="preserve">      </w:t>
      </w:r>
      <w:r w:rsidRPr="001B3EE9">
        <w:rPr>
          <w:rFonts w:asciiTheme="minorHAnsi" w:hAnsiTheme="minorHAnsi" w:cstheme="minorHAnsi"/>
          <w:b/>
          <w:bCs/>
        </w:rPr>
        <w:t xml:space="preserve"> ι</w:t>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t xml:space="preserve">     </w:t>
      </w:r>
      <w:r w:rsidRPr="001B3EE9">
        <w:rPr>
          <w:rFonts w:asciiTheme="minorHAnsi" w:hAnsiTheme="minorHAnsi" w:cstheme="minorHAnsi"/>
          <w:b/>
          <w:bCs/>
        </w:rPr>
        <w:t>τ</w:t>
      </w:r>
    </w:p>
    <w:p w14:paraId="35643093"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t xml:space="preserve">         </w:t>
      </w:r>
      <w:r w:rsidRPr="001B3EE9">
        <w:rPr>
          <w:rFonts w:asciiTheme="minorHAnsi" w:hAnsiTheme="minorHAnsi" w:cstheme="minorHAnsi"/>
          <w:b/>
          <w:bCs/>
        </w:rPr>
        <w:t>τ</w:t>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t xml:space="preserve">   </w:t>
      </w:r>
      <w:r w:rsidRPr="001B3EE9">
        <w:rPr>
          <w:rFonts w:asciiTheme="minorHAnsi" w:hAnsiTheme="minorHAnsi" w:cstheme="minorHAnsi"/>
          <w:b/>
          <w:bCs/>
        </w:rPr>
        <w:t>ι</w:t>
      </w:r>
    </w:p>
    <w:p w14:paraId="5FA83C7C"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b/>
          <w:bCs/>
        </w:rPr>
        <w:t>ν</w:t>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b/>
          <w:bCs/>
        </w:rPr>
        <w:t>κ</w:t>
      </w:r>
    </w:p>
    <w:p w14:paraId="54254D05" w14:textId="77777777" w:rsidR="001B3EE9" w:rsidRPr="001B3EE9" w:rsidRDefault="001B3EE9" w:rsidP="001B3EE9">
      <w:pPr>
        <w:pStyle w:val="BodyText"/>
        <w:spacing w:line="100" w:lineRule="atLeast"/>
        <w:rPr>
          <w:rFonts w:asciiTheme="minorHAnsi" w:hAnsiTheme="minorHAnsi" w:cstheme="minorHAnsi"/>
        </w:rPr>
      </w:pPr>
      <w:r w:rsidRPr="001B3EE9">
        <w:rPr>
          <w:rFonts w:asciiTheme="minorHAnsi" w:hAnsiTheme="minorHAnsi" w:cstheme="minorHAnsi"/>
        </w:rPr>
        <w:tab/>
      </w:r>
      <w:r w:rsidRPr="001B3EE9">
        <w:rPr>
          <w:rFonts w:asciiTheme="minorHAnsi" w:hAnsiTheme="minorHAnsi" w:cstheme="minorHAnsi"/>
        </w:rPr>
        <w:tab/>
        <w:t xml:space="preserve">   </w:t>
      </w:r>
      <w:r w:rsidRPr="001B3EE9">
        <w:rPr>
          <w:rFonts w:asciiTheme="minorHAnsi" w:hAnsiTheme="minorHAnsi" w:cstheme="minorHAnsi"/>
          <w:b/>
          <w:bCs/>
        </w:rPr>
        <w:t>α</w:t>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t xml:space="preserve">         </w:t>
      </w:r>
      <w:r w:rsidRPr="001B3EE9">
        <w:rPr>
          <w:rFonts w:asciiTheme="minorHAnsi" w:hAnsiTheme="minorHAnsi" w:cstheme="minorHAnsi"/>
          <w:b/>
          <w:bCs/>
        </w:rPr>
        <w:t xml:space="preserve">ες </w:t>
      </w:r>
      <w:r w:rsidRPr="001B3EE9">
        <w:rPr>
          <w:rFonts w:asciiTheme="minorHAnsi" w:hAnsiTheme="minorHAnsi" w:cstheme="minorHAnsi"/>
        </w:rPr>
        <w:t>(contradictories)</w:t>
      </w:r>
      <w:r w:rsidRPr="001B3EE9">
        <w:rPr>
          <w:rFonts w:asciiTheme="minorHAnsi" w:hAnsiTheme="minorHAnsi" w:cstheme="minorHAnsi"/>
        </w:rPr>
        <w:tab/>
      </w:r>
    </w:p>
    <w:p w14:paraId="360888D7" w14:textId="77777777" w:rsidR="001B3EE9" w:rsidRPr="001B3EE9" w:rsidRDefault="001B3EE9" w:rsidP="001B3EE9">
      <w:pPr>
        <w:pStyle w:val="BodyText"/>
        <w:spacing w:line="100" w:lineRule="atLeast"/>
        <w:rPr>
          <w:rFonts w:asciiTheme="minorHAnsi" w:hAnsiTheme="minorHAnsi" w:cstheme="minorHAnsi"/>
          <w:b/>
          <w:bCs/>
        </w:rPr>
      </w:pP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b/>
          <w:bCs/>
        </w:rPr>
        <w:t>I</w:t>
      </w:r>
      <w:r w:rsidRPr="001B3EE9">
        <w:rPr>
          <w:rFonts w:asciiTheme="minorHAnsi" w:hAnsiTheme="minorHAnsi" w:cstheme="minorHAnsi"/>
        </w:rPr>
        <w:t xml:space="preserve"> _____________ </w:t>
      </w:r>
      <w:r w:rsidRPr="001B3EE9">
        <w:rPr>
          <w:rFonts w:asciiTheme="minorHAnsi" w:hAnsiTheme="minorHAnsi" w:cstheme="minorHAnsi"/>
          <w:b/>
          <w:bCs/>
        </w:rPr>
        <w:t>υπενάντιες</w:t>
      </w:r>
      <w:r w:rsidRPr="001B3EE9">
        <w:rPr>
          <w:rFonts w:asciiTheme="minorHAnsi" w:hAnsiTheme="minorHAnsi" w:cstheme="minorHAnsi"/>
        </w:rPr>
        <w:t xml:space="preserve"> (subcontraries) _____________ </w:t>
      </w:r>
      <w:r w:rsidRPr="001B3EE9">
        <w:rPr>
          <w:rFonts w:asciiTheme="minorHAnsi" w:hAnsiTheme="minorHAnsi" w:cstheme="minorHAnsi"/>
          <w:b/>
          <w:bCs/>
        </w:rPr>
        <w:t>O</w:t>
      </w:r>
    </w:p>
    <w:p w14:paraId="007679A6" w14:textId="77777777" w:rsidR="001B3EE9" w:rsidRPr="001B3EE9" w:rsidRDefault="001B3EE9" w:rsidP="001B3EE9">
      <w:pPr>
        <w:pStyle w:val="BodyText"/>
        <w:spacing w:line="100" w:lineRule="atLeast"/>
        <w:rPr>
          <w:rFonts w:asciiTheme="minorHAnsi" w:hAnsiTheme="minorHAnsi" w:cstheme="minorHAnsi"/>
        </w:rPr>
      </w:pPr>
      <w:r w:rsidRPr="001B3EE9">
        <w:rPr>
          <w:rFonts w:asciiTheme="minorHAnsi" w:hAnsiTheme="minorHAnsi" w:cstheme="minorHAnsi"/>
        </w:rPr>
        <w:tab/>
        <w:t>Κάποιο Υ είναι Κ</w:t>
      </w:r>
      <w:r w:rsidRPr="001B3EE9">
        <w:rPr>
          <w:rFonts w:asciiTheme="minorHAnsi" w:hAnsiTheme="minorHAnsi" w:cstheme="minorHAnsi"/>
        </w:rPr>
        <w:tab/>
      </w:r>
      <w:r w:rsidRPr="001B3EE9">
        <w:rPr>
          <w:rFonts w:asciiTheme="minorHAnsi" w:hAnsiTheme="minorHAnsi" w:cstheme="minorHAnsi"/>
        </w:rPr>
        <w:tab/>
      </w:r>
      <w:r w:rsidRPr="001B3EE9">
        <w:rPr>
          <w:rFonts w:asciiTheme="minorHAnsi" w:hAnsiTheme="minorHAnsi" w:cstheme="minorHAnsi"/>
        </w:rPr>
        <w:tab/>
        <w:t>Κάποιο Υ δεν είναι Κ (</w:t>
      </w:r>
      <w:r w:rsidRPr="001B3EE9">
        <w:rPr>
          <w:rFonts w:asciiTheme="minorHAnsi" w:hAnsiTheme="minorHAnsi" w:cstheme="minorHAnsi"/>
          <w:i/>
          <w:iCs/>
        </w:rPr>
        <w:t xml:space="preserve">ή Δεν ισχύει ότι κάθε </w:t>
      </w:r>
      <w:r w:rsidRPr="001B3EE9">
        <w:rPr>
          <w:rFonts w:asciiTheme="minorHAnsi" w:hAnsiTheme="minorHAnsi" w:cstheme="minorHAnsi"/>
        </w:rPr>
        <w:t xml:space="preserve">Υ είναι Κ) </w:t>
      </w:r>
    </w:p>
    <w:p w14:paraId="5C258B1A" w14:textId="77777777" w:rsidR="001B3EE9" w:rsidRPr="001B3EE9" w:rsidRDefault="001B3EE9" w:rsidP="001B3EE9">
      <w:pPr>
        <w:pStyle w:val="BodyText"/>
        <w:spacing w:line="100" w:lineRule="atLeast"/>
        <w:rPr>
          <w:rFonts w:asciiTheme="minorHAnsi" w:hAnsiTheme="minorHAnsi" w:cstheme="minorHAnsi"/>
          <w:sz w:val="20"/>
          <w:szCs w:val="20"/>
        </w:rPr>
      </w:pPr>
      <w:r w:rsidRPr="001B3EE9">
        <w:rPr>
          <w:rFonts w:asciiTheme="minorHAnsi" w:hAnsiTheme="minorHAnsi" w:cstheme="minorHAnsi"/>
          <w:sz w:val="20"/>
          <w:szCs w:val="20"/>
        </w:rPr>
        <w:t xml:space="preserve">Οι θέσεις που ενσωματώνονται στο διάγραμμα είναι οι εξής: </w:t>
      </w:r>
    </w:p>
    <w:p w14:paraId="27564E52" w14:textId="77777777" w:rsidR="001B3EE9" w:rsidRPr="001B3EE9" w:rsidRDefault="001B3EE9" w:rsidP="001B3EE9">
      <w:pPr>
        <w:pStyle w:val="BodyText"/>
        <w:numPr>
          <w:ilvl w:val="0"/>
          <w:numId w:val="15"/>
        </w:numPr>
        <w:tabs>
          <w:tab w:val="clear" w:pos="432"/>
          <w:tab w:val="left" w:pos="0"/>
          <w:tab w:val="num" w:pos="707"/>
        </w:tabs>
        <w:spacing w:line="100" w:lineRule="atLeast"/>
        <w:ind w:left="707" w:hanging="283"/>
        <w:jc w:val="both"/>
        <w:rPr>
          <w:rFonts w:asciiTheme="minorHAnsi" w:hAnsiTheme="minorHAnsi" w:cstheme="minorHAnsi"/>
          <w:sz w:val="20"/>
          <w:szCs w:val="20"/>
        </w:rPr>
      </w:pPr>
      <w:r w:rsidRPr="001B3EE9">
        <w:rPr>
          <w:rFonts w:asciiTheme="minorHAnsi" w:hAnsiTheme="minorHAnsi" w:cstheme="minorHAnsi"/>
          <w:sz w:val="20"/>
          <w:szCs w:val="20"/>
        </w:rPr>
        <w:t xml:space="preserve">Οι προτάσεις ‘Κάθε Υ είναι Κ’ και ‘Κάποιο Υ δεν είναι Κ’ είναι αντιφατικές (contradictories). </w:t>
      </w:r>
    </w:p>
    <w:p w14:paraId="350777FB" w14:textId="77777777" w:rsidR="001B3EE9" w:rsidRPr="001B3EE9" w:rsidRDefault="001B3EE9" w:rsidP="001B3EE9">
      <w:pPr>
        <w:pStyle w:val="BodyText"/>
        <w:numPr>
          <w:ilvl w:val="0"/>
          <w:numId w:val="16"/>
        </w:numPr>
        <w:tabs>
          <w:tab w:val="left" w:pos="0"/>
        </w:tabs>
        <w:spacing w:line="100" w:lineRule="atLeast"/>
        <w:jc w:val="both"/>
        <w:rPr>
          <w:rFonts w:asciiTheme="minorHAnsi" w:hAnsiTheme="minorHAnsi" w:cstheme="minorHAnsi"/>
          <w:sz w:val="20"/>
          <w:szCs w:val="20"/>
        </w:rPr>
      </w:pPr>
      <w:r w:rsidRPr="001B3EE9">
        <w:rPr>
          <w:rFonts w:asciiTheme="minorHAnsi" w:hAnsiTheme="minorHAnsi" w:cstheme="minorHAnsi"/>
          <w:sz w:val="20"/>
          <w:szCs w:val="20"/>
        </w:rPr>
        <w:t xml:space="preserve">Οι προτάσεις ‘Κανένα Υ δεν είναι Κ’ και ᾽Κάποιο Υ είναι Κ’ είναι επίσης αντιφατικές. </w:t>
      </w:r>
    </w:p>
    <w:p w14:paraId="7A92AA01" w14:textId="77777777" w:rsidR="001B3EE9" w:rsidRPr="001B3EE9" w:rsidRDefault="001B3EE9" w:rsidP="001B3EE9">
      <w:pPr>
        <w:pStyle w:val="BodyText"/>
        <w:numPr>
          <w:ilvl w:val="0"/>
          <w:numId w:val="17"/>
        </w:numPr>
        <w:tabs>
          <w:tab w:val="left" w:pos="0"/>
        </w:tabs>
        <w:spacing w:line="100" w:lineRule="atLeast"/>
        <w:jc w:val="both"/>
        <w:rPr>
          <w:rFonts w:asciiTheme="minorHAnsi" w:hAnsiTheme="minorHAnsi" w:cstheme="minorHAnsi"/>
          <w:sz w:val="20"/>
          <w:szCs w:val="20"/>
        </w:rPr>
      </w:pPr>
      <w:r w:rsidRPr="001B3EE9">
        <w:rPr>
          <w:rFonts w:asciiTheme="minorHAnsi" w:hAnsiTheme="minorHAnsi" w:cstheme="minorHAnsi"/>
          <w:sz w:val="20"/>
          <w:szCs w:val="20"/>
        </w:rPr>
        <w:t xml:space="preserve">Οι προτάσεις ‘Κάθε Υ είναι Κ’  και ‘Κανένα Υ δεν είναι Κ’ είναι αντίθετες (contraries). </w:t>
      </w:r>
    </w:p>
    <w:p w14:paraId="6790CFB0" w14:textId="77777777" w:rsidR="001B3EE9" w:rsidRPr="001B3EE9" w:rsidRDefault="001B3EE9" w:rsidP="001B3EE9">
      <w:pPr>
        <w:pStyle w:val="BodyText"/>
        <w:numPr>
          <w:ilvl w:val="0"/>
          <w:numId w:val="18"/>
        </w:numPr>
        <w:tabs>
          <w:tab w:val="left" w:pos="0"/>
        </w:tabs>
        <w:spacing w:line="100" w:lineRule="atLeast"/>
        <w:jc w:val="both"/>
        <w:rPr>
          <w:rFonts w:asciiTheme="minorHAnsi" w:hAnsiTheme="minorHAnsi" w:cstheme="minorHAnsi"/>
          <w:sz w:val="20"/>
          <w:szCs w:val="20"/>
        </w:rPr>
      </w:pPr>
      <w:r w:rsidRPr="001B3EE9">
        <w:rPr>
          <w:rFonts w:asciiTheme="minorHAnsi" w:hAnsiTheme="minorHAnsi" w:cstheme="minorHAnsi"/>
          <w:sz w:val="20"/>
          <w:szCs w:val="20"/>
        </w:rPr>
        <w:t xml:space="preserve">Οι προτάσεις ‘Κάποιο Υ είναι Κ’ και ‘Κάποιο Υ δεν είναι Κ’ είναι υπενάντιες (subcontraries). </w:t>
      </w:r>
    </w:p>
    <w:p w14:paraId="397C7F5C" w14:textId="77777777" w:rsidR="001B3EE9" w:rsidRPr="001B3EE9" w:rsidRDefault="001B3EE9" w:rsidP="001B3EE9">
      <w:pPr>
        <w:pStyle w:val="BodyText"/>
        <w:numPr>
          <w:ilvl w:val="0"/>
          <w:numId w:val="19"/>
        </w:numPr>
        <w:tabs>
          <w:tab w:val="left" w:pos="0"/>
        </w:tabs>
        <w:spacing w:line="100" w:lineRule="atLeast"/>
        <w:jc w:val="both"/>
        <w:rPr>
          <w:rFonts w:asciiTheme="minorHAnsi" w:hAnsiTheme="minorHAnsi" w:cstheme="minorHAnsi"/>
          <w:sz w:val="20"/>
          <w:szCs w:val="20"/>
        </w:rPr>
      </w:pPr>
      <w:r w:rsidRPr="001B3EE9">
        <w:rPr>
          <w:rFonts w:asciiTheme="minorHAnsi" w:hAnsiTheme="minorHAnsi" w:cstheme="minorHAnsi"/>
          <w:sz w:val="20"/>
          <w:szCs w:val="20"/>
        </w:rPr>
        <w:t xml:space="preserve">Η πρόταση ‘Κάποιο Υ είναι Κ’ είναι υπάλληλη της πρότασης ‘Κάθε Υ είναι Κ’. </w:t>
      </w:r>
    </w:p>
    <w:p w14:paraId="782EBFE4" w14:textId="77777777" w:rsidR="001B3EE9" w:rsidRPr="001B3EE9" w:rsidRDefault="001B3EE9" w:rsidP="001B3EE9">
      <w:pPr>
        <w:pStyle w:val="BodyText"/>
        <w:numPr>
          <w:ilvl w:val="0"/>
          <w:numId w:val="20"/>
        </w:numPr>
        <w:tabs>
          <w:tab w:val="left" w:pos="0"/>
        </w:tabs>
        <w:spacing w:line="100" w:lineRule="atLeast"/>
        <w:jc w:val="both"/>
        <w:rPr>
          <w:rFonts w:asciiTheme="minorHAnsi" w:hAnsiTheme="minorHAnsi" w:cstheme="minorHAnsi"/>
          <w:sz w:val="20"/>
          <w:szCs w:val="20"/>
        </w:rPr>
      </w:pPr>
      <w:r w:rsidRPr="001B3EE9">
        <w:rPr>
          <w:rFonts w:asciiTheme="minorHAnsi" w:hAnsiTheme="minorHAnsi" w:cstheme="minorHAnsi"/>
          <w:sz w:val="20"/>
          <w:szCs w:val="20"/>
        </w:rPr>
        <w:t xml:space="preserve">Η πρόταση ‘Κάποιο Υ δεν είναι Κ’ είναι υπάλληλη της πρότασης ‘Κανένα Υ δεν είναι Κ’. </w:t>
      </w:r>
    </w:p>
    <w:p w14:paraId="34847501" w14:textId="77777777" w:rsidR="001B3EE9" w:rsidRPr="001B3EE9" w:rsidRDefault="001B3EE9" w:rsidP="001B3EE9">
      <w:pPr>
        <w:pStyle w:val="BodyText"/>
        <w:spacing w:line="100" w:lineRule="atLeast"/>
        <w:rPr>
          <w:rFonts w:asciiTheme="minorHAnsi" w:hAnsiTheme="minorHAnsi" w:cstheme="minorHAnsi"/>
          <w:sz w:val="20"/>
          <w:szCs w:val="20"/>
        </w:rPr>
      </w:pPr>
      <w:r w:rsidRPr="001B3EE9">
        <w:rPr>
          <w:rFonts w:asciiTheme="minorHAnsi" w:hAnsiTheme="minorHAnsi" w:cstheme="minorHAnsi"/>
          <w:sz w:val="20"/>
          <w:szCs w:val="20"/>
        </w:rPr>
        <w:t xml:space="preserve">Αυτές οι σχέσεις εξηγούνται από τον Αριστοτέλη με βάση τις ακόλουθες αρχές: </w:t>
      </w:r>
    </w:p>
    <w:p w14:paraId="588985D9" w14:textId="77777777" w:rsidR="001B3EE9" w:rsidRPr="001B3EE9" w:rsidRDefault="001B3EE9" w:rsidP="001B3EE9">
      <w:pPr>
        <w:pStyle w:val="BodyText"/>
        <w:numPr>
          <w:ilvl w:val="0"/>
          <w:numId w:val="21"/>
        </w:numPr>
        <w:tabs>
          <w:tab w:val="left" w:pos="0"/>
        </w:tabs>
        <w:spacing w:line="100" w:lineRule="atLeast"/>
        <w:rPr>
          <w:rFonts w:asciiTheme="minorHAnsi" w:hAnsiTheme="minorHAnsi" w:cstheme="minorHAnsi"/>
          <w:sz w:val="20"/>
          <w:szCs w:val="20"/>
        </w:rPr>
      </w:pPr>
      <w:r w:rsidRPr="001B3EE9">
        <w:rPr>
          <w:rFonts w:asciiTheme="minorHAnsi" w:hAnsiTheme="minorHAnsi" w:cstheme="minorHAnsi"/>
          <w:sz w:val="20"/>
          <w:szCs w:val="20"/>
        </w:rPr>
        <w:t xml:space="preserve">Δύο προτάσεις είναι αντιφατικές εάν και μόνο εάν είναι αδύνατον να είναι και οι δύο αληθείς, και είναι αδύνατον να είναι και οι δύο ψευδείς. (ΑΡΑ: Πάντα η μία θα πρέπει να είναι ψευδής και η άλλη αληθής). </w:t>
      </w:r>
    </w:p>
    <w:p w14:paraId="2EE0B18C" w14:textId="77777777" w:rsidR="001B3EE9" w:rsidRPr="001B3EE9" w:rsidRDefault="001B3EE9" w:rsidP="001B3EE9">
      <w:pPr>
        <w:pStyle w:val="BodyText"/>
        <w:numPr>
          <w:ilvl w:val="0"/>
          <w:numId w:val="22"/>
        </w:numPr>
        <w:tabs>
          <w:tab w:val="left" w:pos="0"/>
        </w:tabs>
        <w:spacing w:line="100" w:lineRule="atLeast"/>
        <w:rPr>
          <w:rFonts w:asciiTheme="minorHAnsi" w:hAnsiTheme="minorHAnsi" w:cstheme="minorHAnsi"/>
          <w:sz w:val="20"/>
          <w:szCs w:val="20"/>
        </w:rPr>
      </w:pPr>
      <w:r w:rsidRPr="001B3EE9">
        <w:rPr>
          <w:rFonts w:asciiTheme="minorHAnsi" w:hAnsiTheme="minorHAnsi" w:cstheme="minorHAnsi"/>
          <w:sz w:val="20"/>
          <w:szCs w:val="20"/>
        </w:rPr>
        <w:t xml:space="preserve">Δύο προτάσεις είναι ενάντιες εάν και μόνο εάν είναι αδύνατον να είναι και οι δύο αληθείς, αλλά είναι δυνατόν να είναι και οι δύο ψευδείς. </w:t>
      </w:r>
    </w:p>
    <w:p w14:paraId="7D0807EB" w14:textId="77777777" w:rsidR="001B3EE9" w:rsidRPr="001B3EE9" w:rsidRDefault="001B3EE9" w:rsidP="001B3EE9">
      <w:pPr>
        <w:pStyle w:val="BodyText"/>
        <w:numPr>
          <w:ilvl w:val="0"/>
          <w:numId w:val="23"/>
        </w:numPr>
        <w:tabs>
          <w:tab w:val="left" w:pos="0"/>
        </w:tabs>
        <w:spacing w:line="100" w:lineRule="atLeast"/>
        <w:rPr>
          <w:rFonts w:asciiTheme="minorHAnsi" w:hAnsiTheme="minorHAnsi" w:cstheme="minorHAnsi"/>
          <w:sz w:val="20"/>
          <w:szCs w:val="20"/>
        </w:rPr>
      </w:pPr>
      <w:r w:rsidRPr="001B3EE9">
        <w:rPr>
          <w:rFonts w:asciiTheme="minorHAnsi" w:hAnsiTheme="minorHAnsi" w:cstheme="minorHAnsi"/>
          <w:sz w:val="20"/>
          <w:szCs w:val="20"/>
        </w:rPr>
        <w:t xml:space="preserve">Δύο προτάσεις είναι υπενάντιες εάν και μόνο εάν είναι αδύνατο να είναι και οι δύο ψευδείς αλλά είναι δυνατόν να είναι και οι δύο αληθείς. </w:t>
      </w:r>
    </w:p>
    <w:p w14:paraId="3824CE30" w14:textId="77777777" w:rsidR="001B3EE9" w:rsidRPr="001B3EE9" w:rsidRDefault="001B3EE9" w:rsidP="001B3EE9">
      <w:pPr>
        <w:pStyle w:val="BodyText"/>
        <w:numPr>
          <w:ilvl w:val="0"/>
          <w:numId w:val="24"/>
        </w:numPr>
        <w:spacing w:before="240" w:after="0" w:line="100" w:lineRule="atLeast"/>
        <w:rPr>
          <w:rFonts w:asciiTheme="minorHAnsi" w:hAnsiTheme="minorHAnsi" w:cstheme="minorHAnsi"/>
          <w:sz w:val="20"/>
          <w:szCs w:val="20"/>
        </w:rPr>
      </w:pPr>
      <w:r w:rsidRPr="001B3EE9">
        <w:rPr>
          <w:rFonts w:asciiTheme="minorHAnsi" w:hAnsiTheme="minorHAnsi" w:cstheme="minorHAnsi"/>
          <w:sz w:val="20"/>
          <w:szCs w:val="20"/>
        </w:rPr>
        <w:t>Μία πρόταση (Α) είναι υπάλληλη σε μία άλλη (Β) εάν και μόνο εάν η Α πρέπει να είναι αληθής εάν η υπεράλληλη της, η Β είναι αληθής.</w:t>
      </w:r>
    </w:p>
    <w:p w14:paraId="7706DF2D" w14:textId="77777777" w:rsidR="001B3EE9" w:rsidRPr="001B3EE9" w:rsidRDefault="001B3EE9" w:rsidP="001B3EE9">
      <w:pPr>
        <w:rPr>
          <w:rFonts w:cstheme="minorHAnsi"/>
          <w:sz w:val="20"/>
          <w:szCs w:val="20"/>
        </w:rPr>
      </w:pPr>
    </w:p>
    <w:p w14:paraId="428246E5" w14:textId="713ACE04" w:rsidR="002C0337" w:rsidRPr="001B3EE9" w:rsidRDefault="00F61FBE" w:rsidP="002C0337">
      <w:pPr>
        <w:pStyle w:val="Heading1"/>
        <w:rPr>
          <w:rFonts w:asciiTheme="minorHAnsi" w:eastAsia="Times New Roman" w:hAnsiTheme="minorHAnsi" w:cstheme="minorHAnsi"/>
          <w:lang w:eastAsia="en-US" w:bidi="en-US"/>
        </w:rPr>
      </w:pPr>
      <w:bookmarkStart w:id="3" w:name="_Toc303516074"/>
      <w:r>
        <w:rPr>
          <w:rFonts w:asciiTheme="minorHAnsi" w:eastAsia="Times New Roman" w:hAnsiTheme="minorHAnsi" w:cstheme="minorHAnsi"/>
          <w:lang w:eastAsia="en-US" w:bidi="en-US"/>
        </w:rPr>
        <w:t>Τα λογικά έργα του Αριστοτέλη και ο</w:t>
      </w:r>
      <w:r w:rsidR="001B3EE9" w:rsidRPr="001B3EE9">
        <w:rPr>
          <w:rFonts w:asciiTheme="minorHAnsi" w:eastAsia="Times New Roman" w:hAnsiTheme="minorHAnsi" w:cstheme="minorHAnsi"/>
          <w:lang w:eastAsia="en-US" w:bidi="en-US"/>
        </w:rPr>
        <w:t xml:space="preserve"> ορισμός του συλλογισμού</w:t>
      </w:r>
      <w:bookmarkEnd w:id="3"/>
      <w:r w:rsidR="001B3EE9" w:rsidRPr="001B3EE9">
        <w:rPr>
          <w:rFonts w:asciiTheme="minorHAnsi" w:eastAsia="Times New Roman" w:hAnsiTheme="minorHAnsi" w:cstheme="minorHAnsi"/>
          <w:lang w:eastAsia="en-US" w:bidi="en-US"/>
        </w:rPr>
        <w:t xml:space="preserve"> </w:t>
      </w:r>
    </w:p>
    <w:p w14:paraId="72C569F8" w14:textId="77777777" w:rsidR="001B3EE9" w:rsidRDefault="001B3EE9" w:rsidP="001B3EE9">
      <w:pPr>
        <w:rPr>
          <w:rFonts w:cstheme="minorHAnsi"/>
          <w:lang w:eastAsia="en-US" w:bidi="en-US"/>
        </w:rPr>
      </w:pPr>
    </w:p>
    <w:p w14:paraId="65962232" w14:textId="77777777" w:rsidR="00A3134F" w:rsidRPr="00F61FBE" w:rsidRDefault="00F61FBE" w:rsidP="00F61FBE">
      <w:pPr>
        <w:pStyle w:val="Heading2"/>
        <w:rPr>
          <w:lang w:val="en-US" w:eastAsia="en-US" w:bidi="en-US"/>
        </w:rPr>
      </w:pPr>
      <w:bookmarkStart w:id="4" w:name="_Toc303516075"/>
      <w:r w:rsidRPr="00F61FBE">
        <w:rPr>
          <w:lang w:eastAsia="en-US" w:bidi="en-US"/>
        </w:rPr>
        <w:lastRenderedPageBreak/>
        <w:t>Όργανον: Τα λογικά έργα του Αριστοτέλη</w:t>
      </w:r>
      <w:bookmarkEnd w:id="4"/>
    </w:p>
    <w:p w14:paraId="4BAAC303" w14:textId="77777777" w:rsidR="00A3134F" w:rsidRPr="00F61FBE" w:rsidRDefault="00F61FBE" w:rsidP="00F61FBE">
      <w:pPr>
        <w:rPr>
          <w:rFonts w:cstheme="minorHAnsi"/>
          <w:lang w:val="en-US" w:eastAsia="en-US" w:bidi="en-US"/>
        </w:rPr>
      </w:pPr>
      <w:r w:rsidRPr="00F61FBE">
        <w:rPr>
          <w:rFonts w:cstheme="minorHAnsi"/>
          <w:lang w:eastAsia="en-US" w:bidi="en-US"/>
        </w:rPr>
        <w:t>Το ΟΡΓΑΝΟΝ είναι το όνομα που δίνουμε στη συλλογή των λογικών έργων του Αριστοτέλη. Περιλαμβάνει τα έργα:</w:t>
      </w:r>
    </w:p>
    <w:p w14:paraId="710824AD" w14:textId="77777777" w:rsidR="00A3134F" w:rsidRPr="00F61FBE" w:rsidRDefault="00F61FBE" w:rsidP="00F61FBE">
      <w:pPr>
        <w:rPr>
          <w:rFonts w:cstheme="minorHAnsi"/>
          <w:lang w:val="en-US" w:eastAsia="en-US" w:bidi="en-US"/>
        </w:rPr>
      </w:pPr>
      <w:r w:rsidRPr="00F61FBE">
        <w:rPr>
          <w:rFonts w:cstheme="minorHAnsi"/>
          <w:i/>
          <w:lang w:eastAsia="en-US" w:bidi="en-US"/>
        </w:rPr>
        <w:t>Τοπικά</w:t>
      </w:r>
      <w:r w:rsidRPr="00F61FBE">
        <w:rPr>
          <w:rFonts w:cstheme="minorHAnsi"/>
          <w:lang w:eastAsia="en-US" w:bidi="en-US"/>
        </w:rPr>
        <w:t>, 8 βιβλία (διαλεκτική)</w:t>
      </w:r>
    </w:p>
    <w:p w14:paraId="76451AD4" w14:textId="77777777" w:rsidR="00F61FBE" w:rsidRDefault="00F61FBE" w:rsidP="00F61FBE">
      <w:pPr>
        <w:rPr>
          <w:rFonts w:cstheme="minorHAnsi"/>
          <w:lang w:val="en-US" w:eastAsia="en-US" w:bidi="en-US"/>
        </w:rPr>
      </w:pPr>
      <w:r w:rsidRPr="00F61FBE">
        <w:rPr>
          <w:rFonts w:cstheme="minorHAnsi"/>
          <w:i/>
          <w:lang w:eastAsia="en-US" w:bidi="en-US"/>
        </w:rPr>
        <w:t>Κατηγορίες</w:t>
      </w:r>
      <w:r w:rsidRPr="00F61FBE">
        <w:rPr>
          <w:rFonts w:cstheme="minorHAnsi"/>
          <w:lang w:eastAsia="en-US" w:bidi="en-US"/>
        </w:rPr>
        <w:t xml:space="preserve"> (απλοί όροι και τα όντα στα οποία αναφέρονται) </w:t>
      </w:r>
    </w:p>
    <w:p w14:paraId="0655F98D" w14:textId="7988E439" w:rsidR="00F61FBE" w:rsidRDefault="00F61FBE" w:rsidP="00F61FBE">
      <w:pPr>
        <w:rPr>
          <w:rFonts w:cstheme="minorHAnsi"/>
          <w:lang w:val="en-US" w:eastAsia="en-US" w:bidi="en-US"/>
        </w:rPr>
      </w:pPr>
      <w:r w:rsidRPr="00F61FBE">
        <w:rPr>
          <w:rFonts w:cstheme="minorHAnsi"/>
          <w:i/>
          <w:lang w:eastAsia="en-US" w:bidi="en-US"/>
        </w:rPr>
        <w:t>Περί Ερμηνείας</w:t>
      </w:r>
      <w:r w:rsidRPr="00F61FBE">
        <w:rPr>
          <w:rFonts w:cstheme="minorHAnsi"/>
          <w:lang w:eastAsia="en-US" w:bidi="en-US"/>
        </w:rPr>
        <w:t xml:space="preserve"> (η σύνθεση </w:t>
      </w:r>
      <w:r>
        <w:rPr>
          <w:rFonts w:cstheme="minorHAnsi"/>
          <w:lang w:eastAsia="en-US" w:bidi="en-US"/>
        </w:rPr>
        <w:t xml:space="preserve">των </w:t>
      </w:r>
      <w:r w:rsidRPr="00F61FBE">
        <w:rPr>
          <w:rFonts w:cstheme="minorHAnsi"/>
          <w:lang w:eastAsia="en-US" w:bidi="en-US"/>
        </w:rPr>
        <w:t>προτάσεων</w:t>
      </w:r>
      <w:r>
        <w:rPr>
          <w:rFonts w:cstheme="minorHAnsi"/>
          <w:lang w:eastAsia="en-US" w:bidi="en-US"/>
        </w:rPr>
        <w:t xml:space="preserve"> από τους απλούς όρους</w:t>
      </w:r>
      <w:r w:rsidRPr="00F61FBE">
        <w:rPr>
          <w:rFonts w:cstheme="minorHAnsi"/>
          <w:lang w:eastAsia="en-US" w:bidi="en-US"/>
        </w:rPr>
        <w:t>)</w:t>
      </w:r>
    </w:p>
    <w:p w14:paraId="4D8D0147" w14:textId="5096E3D4" w:rsidR="00A3134F" w:rsidRPr="00F61FBE" w:rsidRDefault="00F61FBE" w:rsidP="00F61FBE">
      <w:pPr>
        <w:rPr>
          <w:rFonts w:cstheme="minorHAnsi"/>
          <w:lang w:val="en-US" w:eastAsia="en-US" w:bidi="en-US"/>
        </w:rPr>
      </w:pPr>
      <w:r w:rsidRPr="00F61FBE">
        <w:rPr>
          <w:rFonts w:cstheme="minorHAnsi"/>
          <w:lang w:eastAsia="en-US" w:bidi="en-US"/>
        </w:rPr>
        <w:t>Αναλυτικά Πρότερα (η σύνθεση συλλογισμών</w:t>
      </w:r>
      <w:r>
        <w:rPr>
          <w:rFonts w:cstheme="minorHAnsi"/>
          <w:lang w:eastAsia="en-US" w:bidi="en-US"/>
        </w:rPr>
        <w:t xml:space="preserve"> από τις απλές προτάσεις</w:t>
      </w:r>
      <w:r w:rsidRPr="00F61FBE">
        <w:rPr>
          <w:rFonts w:cstheme="minorHAnsi"/>
          <w:lang w:eastAsia="en-US" w:bidi="en-US"/>
        </w:rPr>
        <w:t>)</w:t>
      </w:r>
    </w:p>
    <w:p w14:paraId="3576CFB2" w14:textId="77777777" w:rsidR="00A3134F" w:rsidRPr="00F61FBE" w:rsidRDefault="00F61FBE" w:rsidP="00F61FBE">
      <w:pPr>
        <w:rPr>
          <w:rFonts w:cstheme="minorHAnsi"/>
          <w:lang w:val="en-US" w:eastAsia="en-US" w:bidi="en-US"/>
        </w:rPr>
      </w:pPr>
      <w:r w:rsidRPr="00F61FBE">
        <w:rPr>
          <w:rFonts w:cstheme="minorHAnsi"/>
          <w:lang w:eastAsia="en-US" w:bidi="en-US"/>
        </w:rPr>
        <w:t xml:space="preserve">Αναλυτικά Ύστερα (από ποιους συλλογισμους οδηγούμαστε σε επιστημονική γνώση) </w:t>
      </w:r>
    </w:p>
    <w:p w14:paraId="2A0A9D68" w14:textId="77777777" w:rsidR="00A3134F" w:rsidRPr="00F61FBE" w:rsidRDefault="00F61FBE" w:rsidP="00F61FBE">
      <w:pPr>
        <w:pStyle w:val="Heading2"/>
        <w:rPr>
          <w:lang w:val="en-US" w:eastAsia="en-US" w:bidi="en-US"/>
        </w:rPr>
      </w:pPr>
      <w:bookmarkStart w:id="5" w:name="_Toc303516076"/>
      <w:r w:rsidRPr="00F61FBE">
        <w:rPr>
          <w:lang w:eastAsia="en-US" w:bidi="en-US"/>
        </w:rPr>
        <w:t>Αριστοτελικός συλλογισμός</w:t>
      </w:r>
      <w:bookmarkEnd w:id="5"/>
    </w:p>
    <w:p w14:paraId="74456C08" w14:textId="77777777" w:rsidR="00A3134F" w:rsidRPr="00F61FBE" w:rsidRDefault="00F61FBE" w:rsidP="00F61FBE">
      <w:pPr>
        <w:rPr>
          <w:rFonts w:cstheme="minorHAnsi"/>
          <w:lang w:val="en-US" w:eastAsia="en-US" w:bidi="en-US"/>
        </w:rPr>
      </w:pPr>
      <w:r w:rsidRPr="00F61FBE">
        <w:rPr>
          <w:rFonts w:cstheme="minorHAnsi"/>
          <w:lang w:eastAsia="en-US" w:bidi="en-US"/>
        </w:rPr>
        <w:t xml:space="preserve">Ο ορισμός του Αριστοτέλη για τον συλλογισμό είναι ο ακόλουθος: </w:t>
      </w:r>
      <w:r w:rsidRPr="00F61FBE">
        <w:rPr>
          <w:rFonts w:cstheme="minorHAnsi"/>
          <w:lang w:val="en-US" w:eastAsia="en-US" w:bidi="en-US"/>
        </w:rPr>
        <w:t xml:space="preserve">Ο συλλογισμός είναι ένας </w:t>
      </w:r>
      <w:r w:rsidRPr="00F61FBE">
        <w:rPr>
          <w:rFonts w:cstheme="minorHAnsi"/>
          <w:i/>
          <w:iCs/>
          <w:lang w:val="en-US" w:eastAsia="en-US" w:bidi="en-US"/>
        </w:rPr>
        <w:t>λόγος</w:t>
      </w:r>
      <w:r w:rsidRPr="00F61FBE">
        <w:rPr>
          <w:rFonts w:cstheme="minorHAnsi"/>
          <w:lang w:val="en-US" w:eastAsia="en-US" w:bidi="en-US"/>
        </w:rPr>
        <w:t xml:space="preserve"> τέτοιος ώστε εάν τεθεί κάτι, κάτι διαφορετικό από όσα έχουν τεθεί προκύπτει αναγκαία από το γεγονός ότι αυτά έχουν έτσι.  (</w:t>
      </w:r>
      <w:r w:rsidRPr="00F61FBE">
        <w:rPr>
          <w:rFonts w:cstheme="minorHAnsi"/>
          <w:i/>
          <w:iCs/>
          <w:lang w:val="en-US" w:eastAsia="en-US" w:bidi="en-US"/>
        </w:rPr>
        <w:t xml:space="preserve">Aναλυτικά </w:t>
      </w:r>
      <w:r w:rsidRPr="00F61FBE">
        <w:rPr>
          <w:rFonts w:cstheme="minorHAnsi"/>
          <w:i/>
          <w:iCs/>
          <w:lang w:eastAsia="en-US" w:bidi="en-US"/>
        </w:rPr>
        <w:t>Π</w:t>
      </w:r>
      <w:r w:rsidRPr="00F61FBE">
        <w:rPr>
          <w:rFonts w:cstheme="minorHAnsi"/>
          <w:i/>
          <w:iCs/>
          <w:lang w:val="en-US" w:eastAsia="en-US" w:bidi="en-US"/>
        </w:rPr>
        <w:t>ρότερα</w:t>
      </w:r>
      <w:r w:rsidRPr="00F61FBE">
        <w:rPr>
          <w:rFonts w:cstheme="minorHAnsi"/>
          <w:lang w:val="en-US" w:eastAsia="en-US" w:bidi="en-US"/>
        </w:rPr>
        <w:t xml:space="preserve"> 24b18-22</w:t>
      </w:r>
      <w:r w:rsidRPr="00F61FBE">
        <w:rPr>
          <w:rFonts w:cstheme="minorHAnsi"/>
          <w:lang w:eastAsia="en-US" w:bidi="en-US"/>
        </w:rPr>
        <w:t>)</w:t>
      </w:r>
    </w:p>
    <w:p w14:paraId="264E532A" w14:textId="77777777" w:rsidR="00A3134F" w:rsidRPr="00F61FBE" w:rsidRDefault="00F61FBE" w:rsidP="00F61FBE">
      <w:pPr>
        <w:rPr>
          <w:rFonts w:cstheme="minorHAnsi"/>
          <w:lang w:val="en-US" w:eastAsia="en-US" w:bidi="en-US"/>
        </w:rPr>
      </w:pPr>
      <w:r w:rsidRPr="00F61FBE">
        <w:rPr>
          <w:rFonts w:cstheme="minorHAnsi"/>
          <w:lang w:eastAsia="en-US" w:bidi="en-US"/>
        </w:rPr>
        <w:t>Ο αριστοτελικός συλλογισμός δεν είναι άμεσος αλλά έμμεσος: συνάγει τη σύνδεση δύο όρων μέσω της σχέσης του με έναν τρίτο όρο. Π.χ. Τα Α είναι Β, Τα Β είναι Γ</w:t>
      </w:r>
      <w:r w:rsidRPr="00F61FBE">
        <w:rPr>
          <w:rFonts w:cstheme="minorHAnsi"/>
          <w:lang w:val="en-US" w:eastAsia="en-US" w:bidi="en-US"/>
        </w:rPr>
        <w:t xml:space="preserve">/ </w:t>
      </w:r>
      <w:r w:rsidRPr="00F61FBE">
        <w:rPr>
          <w:rFonts w:cstheme="minorHAnsi"/>
          <w:lang w:eastAsia="en-US" w:bidi="en-US"/>
        </w:rPr>
        <w:t>Άρα τα Α είναι Γ</w:t>
      </w:r>
    </w:p>
    <w:p w14:paraId="25D9273C" w14:textId="77777777" w:rsidR="00A3134F" w:rsidRPr="00F61FBE" w:rsidRDefault="00F61FBE" w:rsidP="00F61FBE">
      <w:pPr>
        <w:rPr>
          <w:rFonts w:cstheme="minorHAnsi"/>
          <w:lang w:val="en-US" w:eastAsia="en-US" w:bidi="en-US"/>
        </w:rPr>
      </w:pPr>
      <w:r w:rsidRPr="00F61FBE">
        <w:rPr>
          <w:rFonts w:cstheme="minorHAnsi"/>
          <w:lang w:eastAsia="en-US" w:bidi="en-US"/>
        </w:rPr>
        <w:t xml:space="preserve">Ο αριστοτελικός συλλογισμός περιέχει μόνο καθολικούς (όχι ατομικούς) όρους. </w:t>
      </w:r>
    </w:p>
    <w:p w14:paraId="2A10A37A" w14:textId="23172209" w:rsidR="00F61FBE" w:rsidRDefault="00F61FB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49816CF7" w14:textId="77777777" w:rsidR="00A567CE" w:rsidRDefault="00A567CE" w:rsidP="002C0337">
      <w:pPr>
        <w:rPr>
          <w:rFonts w:ascii="Arial" w:eastAsia="Times New Roman" w:hAnsi="Arial" w:cs="Times New Roman"/>
          <w:b/>
          <w:sz w:val="24"/>
          <w:szCs w:val="32"/>
          <w:lang w:eastAsia="en-US" w:bidi="en-US"/>
        </w:rPr>
      </w:pPr>
    </w:p>
    <w:p w14:paraId="3D7A2835" w14:textId="326D66E1"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39A93D00"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Αριστοτέλης: Ενότητα</w:t>
      </w:r>
      <w:r w:rsidR="00C373D6">
        <w:t xml:space="preserve"> 7 Το τετράγωνο των εναντίων / Ο ορισμός του συλλογισμού</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F84F08">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F84F08">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F84F08">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84F08">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84F08">
      <w:pPr>
        <w:pStyle w:val="ListParagraph"/>
        <w:numPr>
          <w:ilvl w:val="0"/>
          <w:numId w:val="3"/>
        </w:numPr>
      </w:pPr>
      <w:r w:rsidRPr="000613E6">
        <w:t>το Σημείωμα Αναφοράς</w:t>
      </w:r>
    </w:p>
    <w:p w14:paraId="3D7A2846" w14:textId="77777777" w:rsidR="000613E6" w:rsidRPr="000613E6" w:rsidRDefault="000613E6" w:rsidP="00F84F08">
      <w:pPr>
        <w:pStyle w:val="ListParagraph"/>
        <w:numPr>
          <w:ilvl w:val="0"/>
          <w:numId w:val="3"/>
        </w:numPr>
      </w:pPr>
      <w:r w:rsidRPr="000613E6">
        <w:t>το Σημείωμα Αδειοδότησης</w:t>
      </w:r>
    </w:p>
    <w:p w14:paraId="3D7A2847" w14:textId="77777777" w:rsidR="000613E6" w:rsidRPr="000613E6" w:rsidRDefault="000613E6" w:rsidP="00F84F08">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F84F08">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0D4F1F33"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A84961">
        <w:rPr>
          <w:rFonts w:ascii="Arial" w:eastAsia="Times New Roman" w:hAnsi="Arial" w:cs="Arial"/>
          <w:b/>
          <w:bCs/>
          <w:lang w:eastAsia="en-US" w:bidi="en-US"/>
        </w:rPr>
        <w:t>Πατρών</w:t>
      </w:r>
      <w:bookmarkStart w:id="6" w:name="_GoBack"/>
      <w:bookmarkEnd w:id="6"/>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2C0337" w:rsidRDefault="002C0337" w:rsidP="00936ACC">
      <w:pPr>
        <w:spacing w:after="0" w:line="240" w:lineRule="auto"/>
      </w:pPr>
      <w:r>
        <w:separator/>
      </w:r>
    </w:p>
  </w:endnote>
  <w:endnote w:type="continuationSeparator" w:id="0">
    <w:p w14:paraId="48E863F7" w14:textId="77777777" w:rsidR="002C0337" w:rsidRDefault="002C033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2C0337" w:rsidRDefault="002C033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A84961">
      <w:rPr>
        <w:noProof/>
        <w:sz w:val="20"/>
        <w:szCs w:val="20"/>
      </w:rPr>
      <w:t>6</w:t>
    </w:r>
    <w:r w:rsidRPr="006D1C8D">
      <w:rPr>
        <w:sz w:val="20"/>
        <w:szCs w:val="20"/>
      </w:rPr>
      <w:fldChar w:fldCharType="end"/>
    </w:r>
  </w:p>
  <w:p w14:paraId="3D7A2872" w14:textId="77777777" w:rsidR="002C0337" w:rsidRDefault="002C033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2C0337" w:rsidRDefault="002C0337" w:rsidP="00936ACC">
      <w:pPr>
        <w:spacing w:after="0" w:line="240" w:lineRule="auto"/>
      </w:pPr>
      <w:r>
        <w:separator/>
      </w:r>
    </w:p>
  </w:footnote>
  <w:footnote w:type="continuationSeparator" w:id="0">
    <w:p w14:paraId="28A0EF4A" w14:textId="77777777" w:rsidR="002C0337" w:rsidRDefault="002C033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C0337" w:rsidRDefault="002C033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2">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3">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4">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5">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1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9">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21">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22">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23">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24">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8"/>
  </w:num>
  <w:num w:numId="3">
    <w:abstractNumId w:val="16"/>
  </w:num>
  <w:num w:numId="4">
    <w:abstractNumId w:val="17"/>
  </w:num>
  <w:num w:numId="5">
    <w:abstractNumId w:val="13"/>
  </w:num>
  <w:num w:numId="6">
    <w:abstractNumId w:val="12"/>
  </w:num>
  <w:num w:numId="7">
    <w:abstractNumId w:val="23"/>
  </w:num>
  <w:num w:numId="8">
    <w:abstractNumId w:val="24"/>
  </w:num>
  <w:num w:numId="9">
    <w:abstractNumId w:val="20"/>
  </w:num>
  <w:num w:numId="10">
    <w:abstractNumId w:val="21"/>
  </w:num>
  <w:num w:numId="11">
    <w:abstractNumId w:val="0"/>
  </w:num>
  <w:num w:numId="12">
    <w:abstractNumId w:val="19"/>
  </w:num>
  <w:num w:numId="13">
    <w:abstractNumId w:val="14"/>
  </w:num>
  <w:num w:numId="14">
    <w:abstractNumId w:val="11"/>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61157"/>
    <w:rsid w:val="000613E6"/>
    <w:rsid w:val="000B38AC"/>
    <w:rsid w:val="000C028F"/>
    <w:rsid w:val="000C09DE"/>
    <w:rsid w:val="000C351D"/>
    <w:rsid w:val="00101D73"/>
    <w:rsid w:val="001269D3"/>
    <w:rsid w:val="001422F2"/>
    <w:rsid w:val="001463AF"/>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5097"/>
    <w:rsid w:val="002C0337"/>
    <w:rsid w:val="002D2893"/>
    <w:rsid w:val="0030267F"/>
    <w:rsid w:val="00306292"/>
    <w:rsid w:val="003419A7"/>
    <w:rsid w:val="00366815"/>
    <w:rsid w:val="00425DED"/>
    <w:rsid w:val="00447B5C"/>
    <w:rsid w:val="00455F2D"/>
    <w:rsid w:val="00487898"/>
    <w:rsid w:val="004A32A0"/>
    <w:rsid w:val="004D46EA"/>
    <w:rsid w:val="004E5677"/>
    <w:rsid w:val="004F1281"/>
    <w:rsid w:val="004F1500"/>
    <w:rsid w:val="00505B91"/>
    <w:rsid w:val="00506A71"/>
    <w:rsid w:val="005148A1"/>
    <w:rsid w:val="00515C17"/>
    <w:rsid w:val="00520187"/>
    <w:rsid w:val="00523364"/>
    <w:rsid w:val="00524AFE"/>
    <w:rsid w:val="00597812"/>
    <w:rsid w:val="005B369E"/>
    <w:rsid w:val="005F21DE"/>
    <w:rsid w:val="0062078B"/>
    <w:rsid w:val="0065399D"/>
    <w:rsid w:val="00663791"/>
    <w:rsid w:val="006710C6"/>
    <w:rsid w:val="006E3323"/>
    <w:rsid w:val="006E566C"/>
    <w:rsid w:val="006F00D2"/>
    <w:rsid w:val="006F6CFC"/>
    <w:rsid w:val="007417F7"/>
    <w:rsid w:val="007447A7"/>
    <w:rsid w:val="00754A57"/>
    <w:rsid w:val="00775413"/>
    <w:rsid w:val="007D3B3E"/>
    <w:rsid w:val="007F1E1A"/>
    <w:rsid w:val="007F715D"/>
    <w:rsid w:val="0080647F"/>
    <w:rsid w:val="00835A7A"/>
    <w:rsid w:val="008652EA"/>
    <w:rsid w:val="00890D31"/>
    <w:rsid w:val="008926B1"/>
    <w:rsid w:val="008A125D"/>
    <w:rsid w:val="008D57C2"/>
    <w:rsid w:val="008E03A3"/>
    <w:rsid w:val="00905A5A"/>
    <w:rsid w:val="00936ACC"/>
    <w:rsid w:val="00980EA3"/>
    <w:rsid w:val="009A18C7"/>
    <w:rsid w:val="009B7825"/>
    <w:rsid w:val="009D45C7"/>
    <w:rsid w:val="009D6F08"/>
    <w:rsid w:val="009E3630"/>
    <w:rsid w:val="009E7634"/>
    <w:rsid w:val="00A11D55"/>
    <w:rsid w:val="00A158E2"/>
    <w:rsid w:val="00A3134F"/>
    <w:rsid w:val="00A567CE"/>
    <w:rsid w:val="00A61962"/>
    <w:rsid w:val="00A7430B"/>
    <w:rsid w:val="00A84961"/>
    <w:rsid w:val="00AA6DE5"/>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A4514"/>
    <w:rsid w:val="00CB6859"/>
    <w:rsid w:val="00D55733"/>
    <w:rsid w:val="00D65E1A"/>
    <w:rsid w:val="00D84ACC"/>
    <w:rsid w:val="00D865F8"/>
    <w:rsid w:val="00DC73E4"/>
    <w:rsid w:val="00DD4EAA"/>
    <w:rsid w:val="00DE7FC2"/>
    <w:rsid w:val="00E02C38"/>
    <w:rsid w:val="00E1262E"/>
    <w:rsid w:val="00E27D50"/>
    <w:rsid w:val="00E434F6"/>
    <w:rsid w:val="00E45945"/>
    <w:rsid w:val="00E66314"/>
    <w:rsid w:val="00E7374C"/>
    <w:rsid w:val="00E74B63"/>
    <w:rsid w:val="00EC31A8"/>
    <w:rsid w:val="00ED1322"/>
    <w:rsid w:val="00ED3166"/>
    <w:rsid w:val="00EE385C"/>
    <w:rsid w:val="00F05893"/>
    <w:rsid w:val="00F159A1"/>
    <w:rsid w:val="00F229D0"/>
    <w:rsid w:val="00F273C1"/>
    <w:rsid w:val="00F61FBE"/>
    <w:rsid w:val="00F84F08"/>
    <w:rsid w:val="00F96306"/>
    <w:rsid w:val="00FA230B"/>
    <w:rsid w:val="00FB069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3C8284B-9D54-C14B-8862-33EFF94E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6</TotalTime>
  <Pages>6</Pages>
  <Words>1085</Words>
  <Characters>6186</Characters>
  <Application>Microsoft Macintosh Word</Application>
  <DocSecurity>0</DocSecurity>
  <Lines>51</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6</cp:revision>
  <cp:lastPrinted>2014-03-06T00:53:00Z</cp:lastPrinted>
  <dcterms:created xsi:type="dcterms:W3CDTF">2015-09-10T11:12:00Z</dcterms:created>
  <dcterms:modified xsi:type="dcterms:W3CDTF">2015-09-18T06:54:00Z</dcterms:modified>
</cp:coreProperties>
</file>