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46" w:rsidRPr="00BA0590" w:rsidRDefault="00256EEC" w:rsidP="00B66319">
      <w:pPr>
        <w:spacing w:after="0" w:line="240" w:lineRule="auto"/>
        <w:jc w:val="center"/>
        <w:rPr>
          <w:rFonts w:cstheme="minorHAnsi"/>
          <w:b/>
          <w:i/>
          <w:sz w:val="24"/>
          <w:szCs w:val="24"/>
        </w:rPr>
      </w:pPr>
      <w:bookmarkStart w:id="0" w:name="_GoBack"/>
      <w:bookmarkEnd w:id="0"/>
      <w:r w:rsidRPr="00BA0590">
        <w:rPr>
          <w:rFonts w:cstheme="minorHAnsi"/>
          <w:b/>
          <w:i/>
          <w:sz w:val="24"/>
          <w:szCs w:val="24"/>
        </w:rPr>
        <w:t>ΑΔΕΝΟΚΑΡΚΙΝΩΜΑ ΣΤΟΜΑΧΟΥ</w:t>
      </w:r>
    </w:p>
    <w:p w:rsidR="00BA0590" w:rsidRPr="00BA0590" w:rsidRDefault="00BA0590" w:rsidP="00B66319">
      <w:pPr>
        <w:spacing w:after="0" w:line="240" w:lineRule="auto"/>
        <w:jc w:val="center"/>
        <w:rPr>
          <w:rFonts w:cstheme="minorHAnsi"/>
          <w:b/>
          <w:sz w:val="24"/>
          <w:szCs w:val="24"/>
        </w:rPr>
      </w:pPr>
      <w:r w:rsidRPr="00BA0590">
        <w:rPr>
          <w:rFonts w:cstheme="minorHAnsi"/>
          <w:b/>
          <w:sz w:val="24"/>
          <w:szCs w:val="24"/>
        </w:rPr>
        <w:t>Γ. Σκρουμπής</w:t>
      </w:r>
    </w:p>
    <w:p w:rsidR="00BA0590" w:rsidRPr="00BA0590" w:rsidRDefault="00BA0590" w:rsidP="00B66319">
      <w:pPr>
        <w:spacing w:after="0" w:line="240" w:lineRule="auto"/>
        <w:jc w:val="center"/>
        <w:rPr>
          <w:rFonts w:cstheme="minorHAnsi"/>
          <w:b/>
          <w:sz w:val="24"/>
          <w:szCs w:val="24"/>
        </w:rPr>
      </w:pPr>
      <w:r w:rsidRPr="00BA0590">
        <w:rPr>
          <w:rFonts w:cstheme="minorHAnsi"/>
          <w:b/>
          <w:i/>
          <w:sz w:val="24"/>
          <w:szCs w:val="24"/>
        </w:rPr>
        <w:t>Αναπληρωτής Καθηγητής Χειρουργικής</w:t>
      </w:r>
    </w:p>
    <w:p w:rsidR="00BA0590" w:rsidRPr="00BA0590" w:rsidRDefault="00BA0590" w:rsidP="00B66319">
      <w:pPr>
        <w:spacing w:after="0" w:line="240" w:lineRule="auto"/>
        <w:jc w:val="center"/>
        <w:rPr>
          <w:rFonts w:cstheme="minorHAnsi"/>
          <w:b/>
          <w:sz w:val="24"/>
          <w:szCs w:val="24"/>
        </w:rPr>
      </w:pPr>
      <w:r w:rsidRPr="00BA0590">
        <w:rPr>
          <w:rFonts w:cstheme="minorHAnsi"/>
          <w:b/>
          <w:i/>
          <w:sz w:val="24"/>
          <w:szCs w:val="24"/>
        </w:rPr>
        <w:t>Πανεπιστημίου Πατρών</w:t>
      </w:r>
    </w:p>
    <w:p w:rsidR="00BA0590" w:rsidRPr="00BA0590" w:rsidRDefault="00BA0590" w:rsidP="00B66319">
      <w:pPr>
        <w:spacing w:after="0" w:line="240" w:lineRule="auto"/>
        <w:jc w:val="both"/>
        <w:rPr>
          <w:rFonts w:cstheme="minorHAnsi"/>
          <w:b/>
          <w:sz w:val="24"/>
          <w:szCs w:val="24"/>
        </w:rPr>
      </w:pPr>
    </w:p>
    <w:p w:rsidR="00BA0590" w:rsidRPr="00BA0590" w:rsidRDefault="00BA0590" w:rsidP="00B66319">
      <w:pPr>
        <w:spacing w:after="0" w:line="240" w:lineRule="auto"/>
        <w:jc w:val="both"/>
        <w:rPr>
          <w:rFonts w:cstheme="minorHAnsi"/>
          <w:b/>
          <w:sz w:val="24"/>
          <w:szCs w:val="24"/>
        </w:rPr>
      </w:pPr>
      <w:r w:rsidRPr="00BA0590">
        <w:rPr>
          <w:rFonts w:cstheme="minorHAnsi"/>
          <w:b/>
          <w:sz w:val="24"/>
          <w:szCs w:val="24"/>
        </w:rPr>
        <w:t>ΕΠΙΔΗΜΙΟΛΟΓΙΑ</w:t>
      </w:r>
    </w:p>
    <w:p w:rsidR="00BA0590" w:rsidRPr="00BA0590" w:rsidRDefault="00BA0590" w:rsidP="00B66319">
      <w:pPr>
        <w:spacing w:after="0" w:line="240" w:lineRule="auto"/>
        <w:jc w:val="both"/>
        <w:rPr>
          <w:rFonts w:cstheme="minorHAnsi"/>
          <w:sz w:val="24"/>
          <w:szCs w:val="24"/>
        </w:rPr>
      </w:pPr>
      <w:r w:rsidRPr="00BA0590">
        <w:rPr>
          <w:rFonts w:cstheme="minorHAnsi"/>
          <w:sz w:val="24"/>
          <w:szCs w:val="24"/>
        </w:rPr>
        <w:t>Το αδενοκαρκίνωμα του στομάχου αποτελεί την πιο συχνή κακοήθεια που προσβάλλει το στόμαχο. Είναι υπεύθυνο για το 95% των γαστρικών νεοπλασμάτων, ενώ το λέμφωμα και το λειομυοσάρκωμα για το 5%. Προσβάλλει κυρίως άτομα 60-80 ετών αλλά δεν είναι ασύνηθες και σε νεαρότερα άτομα. Υπερέχει στους άνδρες με αναλογία 2:1 και έχει την πέμπτη πιο φτωχή 5ετή επιβίωση μετά τον καρκίνο του παγκρέατος, ήπατος, οισοφάγου και πνεύμονα.</w:t>
      </w:r>
    </w:p>
    <w:p w:rsidR="00BA0590" w:rsidRPr="00BA0590" w:rsidRDefault="00BA0590" w:rsidP="00B66319">
      <w:pPr>
        <w:spacing w:after="0" w:line="240" w:lineRule="auto"/>
        <w:rPr>
          <w:rFonts w:cstheme="minorHAnsi"/>
          <w:sz w:val="24"/>
          <w:szCs w:val="24"/>
        </w:rPr>
      </w:pPr>
      <w:r w:rsidRPr="00BA0590">
        <w:rPr>
          <w:rFonts w:cstheme="minorHAnsi"/>
          <w:sz w:val="24"/>
          <w:szCs w:val="24"/>
        </w:rPr>
        <w:t>Αν και η θνητότητα από γαστρικό καρκίνο έχει ελαττωθεί τον τελευταίο αιώνα, το αδενοκαρκίνωμα στομάχου εξακολουθεί να αποτελεί τη 14</w:t>
      </w:r>
      <w:r w:rsidRPr="00BA0590">
        <w:rPr>
          <w:rFonts w:cstheme="minorHAnsi"/>
          <w:sz w:val="24"/>
          <w:szCs w:val="24"/>
          <w:vertAlign w:val="superscript"/>
        </w:rPr>
        <w:t>η</w:t>
      </w:r>
      <w:r w:rsidRPr="00BA0590">
        <w:rPr>
          <w:rFonts w:cstheme="minorHAnsi"/>
          <w:sz w:val="24"/>
          <w:szCs w:val="24"/>
        </w:rPr>
        <w:t xml:space="preserve"> αιτία θανάτου από κακοήθεια (ΗΠΑ). Είναι πολύ συχνό σε ανατολικές χώρες (Ιαπωνία). Το αδενοκαρκίνωμα αποτελεί το 95% των κακοήθων γαστρικών όγκων με το λέμφωμα, </w:t>
      </w:r>
      <w:r w:rsidRPr="00BA0590">
        <w:rPr>
          <w:rFonts w:cstheme="minorHAnsi"/>
          <w:sz w:val="24"/>
          <w:szCs w:val="24"/>
          <w:lang w:val="en-US"/>
        </w:rPr>
        <w:t>GIST</w:t>
      </w:r>
      <w:r w:rsidRPr="00BA0590">
        <w:rPr>
          <w:rFonts w:cstheme="minorHAnsi"/>
          <w:sz w:val="24"/>
          <w:szCs w:val="24"/>
        </w:rPr>
        <w:t xml:space="preserve">, καρκινοειδή και </w:t>
      </w:r>
      <w:r w:rsidRPr="00BA0590">
        <w:rPr>
          <w:rFonts w:cstheme="minorHAnsi"/>
          <w:sz w:val="24"/>
          <w:szCs w:val="24"/>
          <w:lang w:val="en-US"/>
        </w:rPr>
        <w:t>squamous</w:t>
      </w:r>
      <w:r w:rsidRPr="00BA0590">
        <w:rPr>
          <w:rFonts w:cstheme="minorHAnsi"/>
          <w:sz w:val="24"/>
          <w:szCs w:val="24"/>
        </w:rPr>
        <w:t>-</w:t>
      </w:r>
      <w:r w:rsidRPr="00BA0590">
        <w:rPr>
          <w:rFonts w:cstheme="minorHAnsi"/>
          <w:sz w:val="24"/>
          <w:szCs w:val="24"/>
          <w:lang w:val="en-US"/>
        </w:rPr>
        <w:t>cell</w:t>
      </w:r>
      <w:r w:rsidRPr="00BA0590">
        <w:rPr>
          <w:rFonts w:cstheme="minorHAnsi"/>
          <w:sz w:val="24"/>
          <w:szCs w:val="24"/>
        </w:rPr>
        <w:t xml:space="preserve"> να αποτελούν το άλλο 5%. Τα τελευταία 30 χρόνια παρατηρείται αύξηση της συχνότητας των όγκων της καρδιοοισοφαγικής συμβολής παράλληλα με την αύξηση του αδενοκαρκινώματος του οισοφάγου, καθώς και πιο επιθετικών μορφών (</w:t>
      </w:r>
      <w:r w:rsidRPr="00BA0590">
        <w:rPr>
          <w:rFonts w:cstheme="minorHAnsi"/>
          <w:sz w:val="24"/>
          <w:szCs w:val="24"/>
          <w:lang w:val="en-US"/>
        </w:rPr>
        <w:t>diffuse</w:t>
      </w:r>
      <w:r w:rsidRPr="00BA0590">
        <w:rPr>
          <w:rFonts w:cstheme="minorHAnsi"/>
          <w:sz w:val="24"/>
          <w:szCs w:val="24"/>
        </w:rPr>
        <w:t xml:space="preserve"> </w:t>
      </w:r>
      <w:r w:rsidRPr="00BA0590">
        <w:rPr>
          <w:rFonts w:cstheme="minorHAnsi"/>
          <w:sz w:val="24"/>
          <w:szCs w:val="24"/>
          <w:lang w:val="en-US"/>
        </w:rPr>
        <w:t>type</w:t>
      </w:r>
      <w:r w:rsidRPr="00BA0590">
        <w:rPr>
          <w:rFonts w:cstheme="minorHAnsi"/>
          <w:sz w:val="24"/>
          <w:szCs w:val="24"/>
        </w:rPr>
        <w:t xml:space="preserve">). </w:t>
      </w:r>
    </w:p>
    <w:p w:rsidR="00BA0590" w:rsidRPr="00BA0590" w:rsidRDefault="00BA0590" w:rsidP="00B66319">
      <w:pPr>
        <w:spacing w:after="0" w:line="240" w:lineRule="auto"/>
        <w:jc w:val="both"/>
        <w:rPr>
          <w:rFonts w:cstheme="minorHAnsi"/>
          <w:b/>
          <w:sz w:val="24"/>
          <w:szCs w:val="24"/>
        </w:rPr>
      </w:pPr>
    </w:p>
    <w:p w:rsidR="00BA0590" w:rsidRPr="00BA0590" w:rsidRDefault="00BA0590" w:rsidP="00B66319">
      <w:pPr>
        <w:spacing w:after="0" w:line="240" w:lineRule="auto"/>
        <w:jc w:val="both"/>
        <w:rPr>
          <w:rFonts w:cstheme="minorHAnsi"/>
          <w:b/>
          <w:sz w:val="24"/>
          <w:szCs w:val="24"/>
        </w:rPr>
      </w:pPr>
      <w:r w:rsidRPr="00BA0590">
        <w:rPr>
          <w:rFonts w:cstheme="minorHAnsi"/>
          <w:b/>
          <w:sz w:val="24"/>
          <w:szCs w:val="24"/>
        </w:rPr>
        <w:t>ΠΑΘΟΓΕΝΕΙΑ ΚΑΙ ΠΑΡΑΓΟΝΤΕΣ ΚΙΝΔΥΝΟΥ</w:t>
      </w:r>
    </w:p>
    <w:p w:rsidR="00BA0590" w:rsidRPr="00BA0590" w:rsidRDefault="00BA0590" w:rsidP="00B66319">
      <w:pPr>
        <w:spacing w:after="0" w:line="240" w:lineRule="auto"/>
        <w:jc w:val="both"/>
        <w:rPr>
          <w:rFonts w:cstheme="minorHAnsi"/>
          <w:sz w:val="24"/>
          <w:szCs w:val="24"/>
        </w:rPr>
      </w:pPr>
      <w:r w:rsidRPr="00BA0590">
        <w:rPr>
          <w:rFonts w:cstheme="minorHAnsi"/>
          <w:sz w:val="24"/>
          <w:szCs w:val="24"/>
        </w:rPr>
        <w:t xml:space="preserve">Δεν υπάρχουν σαφείς αιτιολογικοί παράγοντες, ωστόσο το περιβάλλον διαδραματίζει σπουδαίο ρόλο. Η </w:t>
      </w:r>
      <w:r w:rsidRPr="00BA0590">
        <w:rPr>
          <w:rFonts w:cstheme="minorHAnsi"/>
          <w:b/>
          <w:sz w:val="24"/>
          <w:szCs w:val="24"/>
        </w:rPr>
        <w:t xml:space="preserve">διατροφή </w:t>
      </w:r>
      <w:r w:rsidRPr="00BA0590">
        <w:rPr>
          <w:rFonts w:cstheme="minorHAnsi"/>
          <w:sz w:val="24"/>
          <w:szCs w:val="24"/>
        </w:rPr>
        <w:t xml:space="preserve">συχνά ευθύνεται για την εμφάνιση αδενοκαρκινώματος στομάχου, καθώς μια δίαιτα πλούσια σε νιτρώδη, η υπερβολική κατανάλωση άλατος, οι καπνιστές τροφές και η μειωμένη κατανάλωση φρέσκων φρούτων και λαχανικών προδιαθέτουν σε κακοήθη εξαλλαγή. Η λοίμωξη με </w:t>
      </w:r>
      <w:r w:rsidRPr="00BA0590">
        <w:rPr>
          <w:rFonts w:cstheme="minorHAnsi"/>
          <w:b/>
          <w:sz w:val="24"/>
          <w:szCs w:val="24"/>
        </w:rPr>
        <w:t>ελικοβακτηρίδιο του πυλωρού (</w:t>
      </w:r>
      <w:r w:rsidRPr="00BA0590">
        <w:rPr>
          <w:rFonts w:cstheme="minorHAnsi"/>
          <w:b/>
          <w:sz w:val="24"/>
          <w:szCs w:val="24"/>
          <w:lang w:val="en-US"/>
        </w:rPr>
        <w:t>H</w:t>
      </w:r>
      <w:r w:rsidRPr="00BA0590">
        <w:rPr>
          <w:rFonts w:cstheme="minorHAnsi"/>
          <w:b/>
          <w:sz w:val="24"/>
          <w:szCs w:val="24"/>
        </w:rPr>
        <w:t>.</w:t>
      </w:r>
      <w:r w:rsidRPr="00BA0590">
        <w:rPr>
          <w:rFonts w:cstheme="minorHAnsi"/>
          <w:b/>
          <w:sz w:val="24"/>
          <w:szCs w:val="24"/>
          <w:lang w:val="en-US"/>
        </w:rPr>
        <w:t>pylori</w:t>
      </w:r>
      <w:r w:rsidRPr="00BA0590">
        <w:rPr>
          <w:rFonts w:cstheme="minorHAnsi"/>
          <w:b/>
          <w:sz w:val="24"/>
          <w:szCs w:val="24"/>
        </w:rPr>
        <w:t xml:space="preserve">) </w:t>
      </w:r>
      <w:r w:rsidRPr="00BA0590">
        <w:rPr>
          <w:rFonts w:cstheme="minorHAnsi"/>
          <w:sz w:val="24"/>
          <w:szCs w:val="24"/>
        </w:rPr>
        <w:t xml:space="preserve">είναι συχνά παρούσα σε εντερικού τύπου καρκίνωμα του στομάχου. Επιπλέον, η </w:t>
      </w:r>
      <w:r w:rsidRPr="00BA0590">
        <w:rPr>
          <w:rFonts w:cstheme="minorHAnsi"/>
          <w:b/>
          <w:sz w:val="24"/>
          <w:szCs w:val="24"/>
        </w:rPr>
        <w:t xml:space="preserve">χρόνια γαστρίτιδα και η ατροφική γαστρίτιδα </w:t>
      </w:r>
      <w:r w:rsidRPr="00BA0590">
        <w:rPr>
          <w:rFonts w:cstheme="minorHAnsi"/>
          <w:sz w:val="24"/>
          <w:szCs w:val="24"/>
        </w:rPr>
        <w:t xml:space="preserve">κατά τις οποίες παρατηρείται απώλεια των γαστρικών αδένων του βλεννογόνου του στομάχου, σχετίζονται με κακοήθη αναιμία και επομένως με αυξημένη επίπτωση αδενοκαρκινώματος. Η </w:t>
      </w:r>
      <w:r w:rsidRPr="00BA0590">
        <w:rPr>
          <w:rFonts w:cstheme="minorHAnsi"/>
          <w:b/>
          <w:sz w:val="24"/>
          <w:szCs w:val="24"/>
        </w:rPr>
        <w:t xml:space="preserve">μερική γαστρεκτομή </w:t>
      </w:r>
      <w:r w:rsidRPr="00BA0590">
        <w:rPr>
          <w:rFonts w:cstheme="minorHAnsi"/>
          <w:sz w:val="24"/>
          <w:szCs w:val="24"/>
        </w:rPr>
        <w:t xml:space="preserve">επίσης προδιαθέτει σε </w:t>
      </w:r>
      <w:r w:rsidRPr="00BA0590">
        <w:rPr>
          <w:rFonts w:cstheme="minorHAnsi"/>
          <w:sz w:val="24"/>
          <w:szCs w:val="24"/>
          <w:lang w:val="en-US"/>
        </w:rPr>
        <w:t>Ca</w:t>
      </w:r>
      <w:r w:rsidRPr="00BA0590">
        <w:rPr>
          <w:rFonts w:cstheme="minorHAnsi"/>
          <w:sz w:val="24"/>
          <w:szCs w:val="24"/>
        </w:rPr>
        <w:t xml:space="preserve"> εξαιτίας της παλινδρόμησης χολώδους, αλκαλικού εντερικού υγρού. Η </w:t>
      </w:r>
      <w:r w:rsidRPr="00BA0590">
        <w:rPr>
          <w:rFonts w:cstheme="minorHAnsi"/>
          <w:b/>
          <w:sz w:val="24"/>
          <w:szCs w:val="24"/>
        </w:rPr>
        <w:t xml:space="preserve">νόσος </w:t>
      </w:r>
      <w:r w:rsidRPr="00BA0590">
        <w:rPr>
          <w:rFonts w:cstheme="minorHAnsi"/>
          <w:b/>
          <w:sz w:val="24"/>
          <w:szCs w:val="24"/>
          <w:lang w:val="en-US"/>
        </w:rPr>
        <w:t>Menetrier</w:t>
      </w:r>
      <w:r w:rsidRPr="00BA0590">
        <w:rPr>
          <w:rFonts w:cstheme="minorHAnsi"/>
          <w:sz w:val="24"/>
          <w:szCs w:val="24"/>
        </w:rPr>
        <w:t xml:space="preserve"> κατά την οποία παρατηρείται υπερτροφία των βλεννογονικών πτυχών στο θόλο και στο σώμα αλλά όχι στο άντρο, που έχει ως αποτέλεσμα την υπερέκκριση οξέος και βλέννης υψηλής περιεκτικότητας σε πρωτεΪνη, σχετίζεται με αυξημένη επίπτωση κακοήθειας του στομάχου.  Το </w:t>
      </w:r>
      <w:r w:rsidRPr="00BA0590">
        <w:rPr>
          <w:rFonts w:cstheme="minorHAnsi"/>
          <w:b/>
          <w:sz w:val="24"/>
          <w:szCs w:val="24"/>
        </w:rPr>
        <w:t>γαστρικό αδένωμα</w:t>
      </w:r>
      <w:r w:rsidRPr="00BA0590">
        <w:rPr>
          <w:rFonts w:cstheme="minorHAnsi"/>
          <w:sz w:val="24"/>
          <w:szCs w:val="24"/>
        </w:rPr>
        <w:t xml:space="preserve"> είναι δυνατόν να ενέχει σε ποσοστό 40% καρκινικά κύτταρα κατά τη διάρκεια της διάγνωσης, ενώ κατά 30% μπορεί να υπάρχει ταυτόχρονα παρακείμενος καρκίνος. Ο </w:t>
      </w:r>
      <w:r w:rsidRPr="00BA0590">
        <w:rPr>
          <w:rFonts w:cstheme="minorHAnsi"/>
          <w:b/>
          <w:sz w:val="24"/>
          <w:szCs w:val="24"/>
        </w:rPr>
        <w:t xml:space="preserve">οισοφάγος </w:t>
      </w:r>
      <w:r w:rsidRPr="00BA0590">
        <w:rPr>
          <w:rFonts w:cstheme="minorHAnsi"/>
          <w:b/>
          <w:sz w:val="24"/>
          <w:szCs w:val="24"/>
          <w:lang w:val="en-US"/>
        </w:rPr>
        <w:t>Barrett</w:t>
      </w:r>
      <w:r w:rsidRPr="00BA0590">
        <w:rPr>
          <w:rFonts w:cstheme="minorHAnsi"/>
          <w:b/>
          <w:sz w:val="24"/>
          <w:szCs w:val="24"/>
        </w:rPr>
        <w:t xml:space="preserve"> </w:t>
      </w:r>
      <w:r w:rsidRPr="00BA0590">
        <w:rPr>
          <w:rFonts w:cstheme="minorHAnsi"/>
          <w:sz w:val="24"/>
          <w:szCs w:val="24"/>
        </w:rPr>
        <w:t>είναι μια κατάσταση όπου παρατηρείται κυλινδρική μεταπλασία του πλακώδους επιθηλίου του κατώτερου οισοφάγου, 3</w:t>
      </w:r>
      <w:r w:rsidRPr="00BA0590">
        <w:rPr>
          <w:rFonts w:cstheme="minorHAnsi"/>
          <w:sz w:val="24"/>
          <w:szCs w:val="24"/>
          <w:lang w:val="en-US"/>
        </w:rPr>
        <w:t>cm</w:t>
      </w:r>
      <w:r w:rsidRPr="00BA0590">
        <w:rPr>
          <w:rFonts w:cstheme="minorHAnsi"/>
          <w:sz w:val="24"/>
          <w:szCs w:val="24"/>
        </w:rPr>
        <w:t xml:space="preserve"> άνωθεν της γαστροοισοφαγικής συμβολής, οφείλεται σε χρόνια βλάβη λόγω παλινδρόμησης οξέος και χολής, ενώ ο κίνδυνος αδενοκαρκινώματος στην περιοχή αυτή αυξάνει κατά 40-90 φορές. Τέλος, γενετικοί παράγοντες όπως η </w:t>
      </w:r>
      <w:r w:rsidRPr="00BA0590">
        <w:rPr>
          <w:rFonts w:cstheme="minorHAnsi"/>
          <w:b/>
          <w:sz w:val="24"/>
          <w:szCs w:val="24"/>
        </w:rPr>
        <w:t>ομάδα αίματος Α</w:t>
      </w:r>
      <w:r w:rsidRPr="00BA0590">
        <w:rPr>
          <w:rFonts w:cstheme="minorHAnsi"/>
          <w:sz w:val="24"/>
          <w:szCs w:val="24"/>
        </w:rPr>
        <w:t xml:space="preserve">, το </w:t>
      </w:r>
      <w:r w:rsidRPr="00BA0590">
        <w:rPr>
          <w:rFonts w:cstheme="minorHAnsi"/>
          <w:b/>
          <w:sz w:val="24"/>
          <w:szCs w:val="24"/>
        </w:rPr>
        <w:t>οικογενειακό ιστορικό</w:t>
      </w:r>
      <w:r w:rsidRPr="00BA0590">
        <w:rPr>
          <w:rFonts w:cstheme="minorHAnsi"/>
          <w:sz w:val="24"/>
          <w:szCs w:val="24"/>
        </w:rPr>
        <w:t xml:space="preserve"> γαστρικού καρκίνου (8-10% των ασθενών), η παρουσία του συνδρόμου οικογενούς γαστρικού καρκίνου λόγω </w:t>
      </w:r>
      <w:r w:rsidRPr="00BA0590">
        <w:rPr>
          <w:rFonts w:cstheme="minorHAnsi"/>
          <w:b/>
          <w:sz w:val="24"/>
          <w:szCs w:val="24"/>
        </w:rPr>
        <w:t xml:space="preserve">μετάλλαξης του γονιδίου της </w:t>
      </w:r>
      <w:r w:rsidRPr="00BA0590">
        <w:rPr>
          <w:rFonts w:cstheme="minorHAnsi"/>
          <w:b/>
          <w:sz w:val="24"/>
          <w:szCs w:val="24"/>
          <w:lang w:val="en-US"/>
        </w:rPr>
        <w:t>E</w:t>
      </w:r>
      <w:r w:rsidRPr="00BA0590">
        <w:rPr>
          <w:rFonts w:cstheme="minorHAnsi"/>
          <w:b/>
          <w:sz w:val="24"/>
          <w:szCs w:val="24"/>
        </w:rPr>
        <w:t>-</w:t>
      </w:r>
      <w:r w:rsidRPr="00BA0590">
        <w:rPr>
          <w:rFonts w:cstheme="minorHAnsi"/>
          <w:b/>
          <w:sz w:val="24"/>
          <w:szCs w:val="24"/>
          <w:lang w:val="en-US"/>
        </w:rPr>
        <w:t>cadherin</w:t>
      </w:r>
      <w:r w:rsidRPr="00BA0590">
        <w:rPr>
          <w:rFonts w:cstheme="minorHAnsi"/>
          <w:sz w:val="24"/>
          <w:szCs w:val="24"/>
        </w:rPr>
        <w:t xml:space="preserve"> (</w:t>
      </w:r>
      <w:r w:rsidRPr="00BA0590">
        <w:rPr>
          <w:rFonts w:cstheme="minorHAnsi"/>
          <w:sz w:val="24"/>
          <w:szCs w:val="24"/>
          <w:lang w:val="en-US"/>
        </w:rPr>
        <w:t>CDH</w:t>
      </w:r>
      <w:r w:rsidRPr="00BA0590">
        <w:rPr>
          <w:rFonts w:cstheme="minorHAnsi"/>
          <w:sz w:val="24"/>
          <w:szCs w:val="24"/>
        </w:rPr>
        <w:t xml:space="preserve">1 </w:t>
      </w:r>
      <w:r w:rsidRPr="00BA0590">
        <w:rPr>
          <w:rFonts w:cstheme="minorHAnsi"/>
          <w:sz w:val="24"/>
          <w:szCs w:val="24"/>
          <w:lang w:val="en-US"/>
        </w:rPr>
        <w:t>gene</w:t>
      </w:r>
      <w:r w:rsidRPr="00BA0590">
        <w:rPr>
          <w:rFonts w:cstheme="minorHAnsi"/>
          <w:sz w:val="24"/>
          <w:szCs w:val="24"/>
        </w:rPr>
        <w:t xml:space="preserve"> </w:t>
      </w:r>
      <w:r w:rsidRPr="00BA0590">
        <w:rPr>
          <w:rFonts w:cstheme="minorHAnsi"/>
          <w:sz w:val="24"/>
          <w:szCs w:val="24"/>
          <w:lang w:val="en-US"/>
        </w:rPr>
        <w:t>germ</w:t>
      </w:r>
      <w:r w:rsidRPr="00BA0590">
        <w:rPr>
          <w:rFonts w:cstheme="minorHAnsi"/>
          <w:sz w:val="24"/>
          <w:szCs w:val="24"/>
        </w:rPr>
        <w:t>-</w:t>
      </w:r>
      <w:r w:rsidRPr="00BA0590">
        <w:rPr>
          <w:rFonts w:cstheme="minorHAnsi"/>
          <w:sz w:val="24"/>
          <w:szCs w:val="24"/>
          <w:lang w:val="en-US"/>
        </w:rPr>
        <w:t>line</w:t>
      </w:r>
      <w:r w:rsidRPr="00BA0590">
        <w:rPr>
          <w:rFonts w:cstheme="minorHAnsi"/>
          <w:sz w:val="24"/>
          <w:szCs w:val="24"/>
        </w:rPr>
        <w:t xml:space="preserve"> </w:t>
      </w:r>
      <w:r w:rsidRPr="00BA0590">
        <w:rPr>
          <w:rFonts w:cstheme="minorHAnsi"/>
          <w:sz w:val="24"/>
          <w:szCs w:val="24"/>
          <w:lang w:val="en-US"/>
        </w:rPr>
        <w:t>mutation</w:t>
      </w:r>
      <w:r w:rsidRPr="00BA0590">
        <w:rPr>
          <w:rFonts w:cstheme="minorHAnsi"/>
          <w:sz w:val="24"/>
          <w:szCs w:val="24"/>
        </w:rPr>
        <w:t xml:space="preserve">), η </w:t>
      </w:r>
      <w:r w:rsidRPr="00BA0590">
        <w:rPr>
          <w:rFonts w:cstheme="minorHAnsi"/>
          <w:b/>
          <w:sz w:val="24"/>
          <w:szCs w:val="24"/>
        </w:rPr>
        <w:lastRenderedPageBreak/>
        <w:t>απώλεια αλληλομόρφων</w:t>
      </w:r>
      <w:r w:rsidRPr="00BA0590">
        <w:rPr>
          <w:rFonts w:cstheme="minorHAnsi"/>
          <w:sz w:val="24"/>
          <w:szCs w:val="24"/>
        </w:rPr>
        <w:t xml:space="preserve"> σε πολλούς επίτοπους ορισμένων γονιδίων όπως </w:t>
      </w:r>
      <w:r w:rsidRPr="00BA0590">
        <w:rPr>
          <w:rFonts w:cstheme="minorHAnsi"/>
          <w:sz w:val="24"/>
          <w:szCs w:val="24"/>
          <w:lang w:val="en-US"/>
        </w:rPr>
        <w:t>TGF</w:t>
      </w:r>
      <w:r w:rsidRPr="00BA0590">
        <w:rPr>
          <w:rFonts w:cstheme="minorHAnsi"/>
          <w:sz w:val="24"/>
          <w:szCs w:val="24"/>
        </w:rPr>
        <w:t>β</w:t>
      </w:r>
      <w:r w:rsidRPr="00BA0590">
        <w:rPr>
          <w:rFonts w:cstheme="minorHAnsi"/>
          <w:sz w:val="24"/>
          <w:szCs w:val="24"/>
          <w:lang w:val="en-US"/>
        </w:rPr>
        <w:t>RII</w:t>
      </w:r>
      <w:r w:rsidRPr="00BA0590">
        <w:rPr>
          <w:rFonts w:cstheme="minorHAnsi"/>
          <w:sz w:val="24"/>
          <w:szCs w:val="24"/>
        </w:rPr>
        <w:t xml:space="preserve">, </w:t>
      </w:r>
      <w:r w:rsidRPr="00BA0590">
        <w:rPr>
          <w:rFonts w:cstheme="minorHAnsi"/>
          <w:sz w:val="24"/>
          <w:szCs w:val="24"/>
          <w:lang w:val="en-US"/>
        </w:rPr>
        <w:t>BAX</w:t>
      </w:r>
      <w:r w:rsidRPr="00BA0590">
        <w:rPr>
          <w:rFonts w:cstheme="minorHAnsi"/>
          <w:sz w:val="24"/>
          <w:szCs w:val="24"/>
        </w:rPr>
        <w:t xml:space="preserve"> και </w:t>
      </w:r>
      <w:r w:rsidRPr="00BA0590">
        <w:rPr>
          <w:rFonts w:cstheme="minorHAnsi"/>
          <w:sz w:val="24"/>
          <w:szCs w:val="24"/>
          <w:lang w:val="en-US"/>
        </w:rPr>
        <w:t>IGFRII</w:t>
      </w:r>
      <w:r w:rsidRPr="00BA0590">
        <w:rPr>
          <w:rFonts w:cstheme="minorHAnsi"/>
          <w:sz w:val="24"/>
          <w:szCs w:val="24"/>
        </w:rPr>
        <w:t xml:space="preserve"> και η ύπαρξη του </w:t>
      </w:r>
      <w:r w:rsidRPr="00BA0590">
        <w:rPr>
          <w:rFonts w:cstheme="minorHAnsi"/>
          <w:b/>
          <w:sz w:val="24"/>
          <w:szCs w:val="24"/>
        </w:rPr>
        <w:t xml:space="preserve">συνδρόμου </w:t>
      </w:r>
      <w:r w:rsidRPr="00BA0590">
        <w:rPr>
          <w:rFonts w:cstheme="minorHAnsi"/>
          <w:b/>
          <w:sz w:val="24"/>
          <w:szCs w:val="24"/>
          <w:lang w:val="en-US"/>
        </w:rPr>
        <w:t>Lynch</w:t>
      </w:r>
      <w:r w:rsidRPr="00BA0590">
        <w:rPr>
          <w:rFonts w:cstheme="minorHAnsi"/>
          <w:sz w:val="24"/>
          <w:szCs w:val="24"/>
        </w:rPr>
        <w:t xml:space="preserve"> </w:t>
      </w:r>
      <w:r w:rsidRPr="00BA0590">
        <w:rPr>
          <w:rFonts w:cstheme="minorHAnsi"/>
          <w:sz w:val="24"/>
          <w:szCs w:val="24"/>
          <w:lang w:val="en-US"/>
        </w:rPr>
        <w:t>Hereditary</w:t>
      </w:r>
      <w:r w:rsidRPr="00BA0590">
        <w:rPr>
          <w:rFonts w:cstheme="minorHAnsi"/>
          <w:sz w:val="24"/>
          <w:szCs w:val="24"/>
        </w:rPr>
        <w:t xml:space="preserve"> </w:t>
      </w:r>
      <w:r w:rsidRPr="00BA0590">
        <w:rPr>
          <w:rFonts w:cstheme="minorHAnsi"/>
          <w:sz w:val="24"/>
          <w:szCs w:val="24"/>
          <w:lang w:val="en-US"/>
        </w:rPr>
        <w:t>nonpolyposis</w:t>
      </w:r>
      <w:r w:rsidRPr="00BA0590">
        <w:rPr>
          <w:rFonts w:cstheme="minorHAnsi"/>
          <w:sz w:val="24"/>
          <w:szCs w:val="24"/>
        </w:rPr>
        <w:t xml:space="preserve"> </w:t>
      </w:r>
      <w:r w:rsidRPr="00BA0590">
        <w:rPr>
          <w:rFonts w:cstheme="minorHAnsi"/>
          <w:sz w:val="24"/>
          <w:szCs w:val="24"/>
          <w:lang w:val="en-US"/>
        </w:rPr>
        <w:t>colon</w:t>
      </w:r>
      <w:r w:rsidRPr="00BA0590">
        <w:rPr>
          <w:rFonts w:cstheme="minorHAnsi"/>
          <w:sz w:val="24"/>
          <w:szCs w:val="24"/>
        </w:rPr>
        <w:t xml:space="preserve"> </w:t>
      </w:r>
      <w:r w:rsidRPr="00BA0590">
        <w:rPr>
          <w:rFonts w:cstheme="minorHAnsi"/>
          <w:sz w:val="24"/>
          <w:szCs w:val="24"/>
          <w:lang w:val="en-US"/>
        </w:rPr>
        <w:t>cancer</w:t>
      </w:r>
      <w:r w:rsidRPr="00BA0590">
        <w:rPr>
          <w:rFonts w:cstheme="minorHAnsi"/>
          <w:sz w:val="24"/>
          <w:szCs w:val="24"/>
        </w:rPr>
        <w:t xml:space="preserve"> </w:t>
      </w:r>
      <w:r w:rsidRPr="00BA0590">
        <w:rPr>
          <w:rFonts w:cstheme="minorHAnsi"/>
          <w:sz w:val="24"/>
          <w:szCs w:val="24"/>
          <w:lang w:val="en-US"/>
        </w:rPr>
        <w:t>syndrome</w:t>
      </w:r>
      <w:r w:rsidRPr="00BA0590">
        <w:rPr>
          <w:rFonts w:cstheme="minorHAnsi"/>
          <w:sz w:val="24"/>
          <w:szCs w:val="24"/>
        </w:rPr>
        <w:t>(</w:t>
      </w:r>
      <w:r w:rsidRPr="00BA0590">
        <w:rPr>
          <w:rFonts w:cstheme="minorHAnsi"/>
          <w:sz w:val="24"/>
          <w:szCs w:val="24"/>
          <w:lang w:val="en-US"/>
        </w:rPr>
        <w:t>HNCCS</w:t>
      </w:r>
      <w:r w:rsidRPr="00BA0590">
        <w:rPr>
          <w:rFonts w:cstheme="minorHAnsi"/>
          <w:sz w:val="24"/>
          <w:szCs w:val="24"/>
        </w:rPr>
        <w:t>)-Κληρονομικός καρκίνος κόλου-ορθού χωρίς πολυποδίαση προδιαθέτουν σε αδενοκαρκίνωμα στομάχου.</w:t>
      </w:r>
    </w:p>
    <w:p w:rsidR="00BA0590" w:rsidRPr="00BA0590" w:rsidRDefault="00BA0590" w:rsidP="00B66319">
      <w:pPr>
        <w:spacing w:after="0" w:line="240" w:lineRule="auto"/>
        <w:rPr>
          <w:rFonts w:cstheme="minorHAnsi"/>
          <w:b/>
          <w:sz w:val="24"/>
          <w:szCs w:val="24"/>
        </w:rPr>
      </w:pPr>
      <w:r w:rsidRPr="00BA0590">
        <w:rPr>
          <w:rFonts w:cstheme="minorHAnsi"/>
          <w:b/>
          <w:sz w:val="24"/>
          <w:szCs w:val="24"/>
        </w:rPr>
        <w:t>Παράγοντες κινδύνου</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 xml:space="preserve">Δίαιτα (τροφές πλούσιες σε νιτρώδη και αλάτι. Αντίθετα, πράσινα λαχανικά, αντιοξειδωτικά, βιταμίνες Α και </w:t>
      </w:r>
      <w:r w:rsidRPr="00BA0590">
        <w:rPr>
          <w:rFonts w:cstheme="minorHAnsi"/>
          <w:sz w:val="24"/>
          <w:szCs w:val="24"/>
          <w:lang w:val="en-US"/>
        </w:rPr>
        <w:t>C</w:t>
      </w:r>
      <w:r w:rsidRPr="00BA0590">
        <w:rPr>
          <w:rFonts w:cstheme="minorHAnsi"/>
          <w:sz w:val="24"/>
          <w:szCs w:val="24"/>
        </w:rPr>
        <w:t>, πράσινο τσάι προστατεύουν)</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Κάπνισμα</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Προηγούμενο γαστρικό χειρουργείο</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 xml:space="preserve">Λοίμωξη από </w:t>
      </w:r>
      <w:r w:rsidRPr="00BA0590">
        <w:rPr>
          <w:rFonts w:cstheme="minorHAnsi"/>
          <w:sz w:val="24"/>
          <w:szCs w:val="24"/>
          <w:lang w:val="en-US"/>
        </w:rPr>
        <w:t>H</w:t>
      </w:r>
      <w:r w:rsidRPr="00BA0590">
        <w:rPr>
          <w:rFonts w:cstheme="minorHAnsi"/>
          <w:sz w:val="24"/>
          <w:szCs w:val="24"/>
        </w:rPr>
        <w:t>.</w:t>
      </w:r>
      <w:r w:rsidRPr="00BA0590">
        <w:rPr>
          <w:rFonts w:cstheme="minorHAnsi"/>
          <w:sz w:val="24"/>
          <w:szCs w:val="24"/>
          <w:lang w:val="en-US"/>
        </w:rPr>
        <w:t>pylori</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Απλαστική αναιμία</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Ομάδα αίματος Α</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lang w:val="en-US"/>
        </w:rPr>
        <w:t>HNPCC</w:t>
      </w:r>
      <w:r w:rsidRPr="00BA0590">
        <w:rPr>
          <w:rFonts w:cstheme="minorHAnsi"/>
          <w:sz w:val="24"/>
          <w:szCs w:val="24"/>
        </w:rPr>
        <w:t xml:space="preserve">, </w:t>
      </w:r>
      <w:r w:rsidRPr="00BA0590">
        <w:rPr>
          <w:rFonts w:cstheme="minorHAnsi"/>
          <w:sz w:val="24"/>
          <w:szCs w:val="24"/>
          <w:lang w:val="en-US"/>
        </w:rPr>
        <w:t>FAP</w:t>
      </w:r>
      <w:r w:rsidRPr="00BA0590">
        <w:rPr>
          <w:rFonts w:cstheme="minorHAnsi"/>
          <w:sz w:val="24"/>
          <w:szCs w:val="24"/>
        </w:rPr>
        <w:t xml:space="preserve">, </w:t>
      </w:r>
      <w:r w:rsidRPr="00BA0590">
        <w:rPr>
          <w:rFonts w:cstheme="minorHAnsi"/>
          <w:sz w:val="24"/>
          <w:szCs w:val="24"/>
          <w:lang w:val="en-US"/>
        </w:rPr>
        <w:t>Peutz</w:t>
      </w:r>
      <w:r w:rsidRPr="00BA0590">
        <w:rPr>
          <w:rFonts w:cstheme="minorHAnsi"/>
          <w:sz w:val="24"/>
          <w:szCs w:val="24"/>
        </w:rPr>
        <w:t>-</w:t>
      </w:r>
      <w:r w:rsidRPr="00BA0590">
        <w:rPr>
          <w:rFonts w:cstheme="minorHAnsi"/>
          <w:sz w:val="24"/>
          <w:szCs w:val="24"/>
          <w:lang w:val="en-US"/>
        </w:rPr>
        <w:t>Jeghers</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lang w:val="en-US"/>
        </w:rPr>
        <w:t>Ebstein-Barr</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Παχυσαρκία</w:t>
      </w:r>
    </w:p>
    <w:p w:rsidR="00BA0590" w:rsidRPr="00BA0590" w:rsidRDefault="00BA0590" w:rsidP="00B66319">
      <w:pPr>
        <w:pStyle w:val="a7"/>
        <w:numPr>
          <w:ilvl w:val="0"/>
          <w:numId w:val="11"/>
        </w:numPr>
        <w:spacing w:after="0" w:line="240" w:lineRule="auto"/>
        <w:rPr>
          <w:rFonts w:cstheme="minorHAnsi"/>
          <w:sz w:val="24"/>
          <w:szCs w:val="24"/>
        </w:rPr>
      </w:pPr>
      <w:r w:rsidRPr="00BA0590">
        <w:rPr>
          <w:rFonts w:cstheme="minorHAnsi"/>
          <w:sz w:val="24"/>
          <w:szCs w:val="24"/>
        </w:rPr>
        <w:t>Γονιδιακές μεταλλάξεις (γλυκοπρωτεϊνη Ε-</w:t>
      </w:r>
      <w:r w:rsidRPr="00BA0590">
        <w:rPr>
          <w:rFonts w:cstheme="minorHAnsi"/>
          <w:sz w:val="24"/>
          <w:szCs w:val="24"/>
          <w:lang w:val="en-US"/>
        </w:rPr>
        <w:t>cadherin</w:t>
      </w:r>
      <w:r w:rsidRPr="00BA0590">
        <w:rPr>
          <w:rFonts w:cstheme="minorHAnsi"/>
          <w:sz w:val="24"/>
          <w:szCs w:val="24"/>
        </w:rPr>
        <w:t xml:space="preserve">, </w:t>
      </w:r>
      <w:r w:rsidRPr="00BA0590">
        <w:rPr>
          <w:rFonts w:cstheme="minorHAnsi"/>
          <w:sz w:val="24"/>
          <w:szCs w:val="24"/>
          <w:lang w:val="en-US"/>
        </w:rPr>
        <w:t>p</w:t>
      </w:r>
      <w:r w:rsidRPr="00BA0590">
        <w:rPr>
          <w:rFonts w:cstheme="minorHAnsi"/>
          <w:sz w:val="24"/>
          <w:szCs w:val="24"/>
        </w:rPr>
        <w:t xml:space="preserve">53, </w:t>
      </w:r>
      <w:r w:rsidRPr="00BA0590">
        <w:rPr>
          <w:rFonts w:cstheme="minorHAnsi"/>
          <w:sz w:val="24"/>
          <w:szCs w:val="24"/>
          <w:lang w:val="en-US"/>
        </w:rPr>
        <w:t>BRCA</w:t>
      </w:r>
      <w:r w:rsidRPr="00BA0590">
        <w:rPr>
          <w:rFonts w:cstheme="minorHAnsi"/>
          <w:sz w:val="24"/>
          <w:szCs w:val="24"/>
        </w:rPr>
        <w:t>2)</w:t>
      </w:r>
    </w:p>
    <w:p w:rsidR="00BA0590" w:rsidRPr="00BA0590" w:rsidRDefault="00BA0590" w:rsidP="00B66319">
      <w:pPr>
        <w:spacing w:after="0" w:line="240" w:lineRule="auto"/>
        <w:rPr>
          <w:rFonts w:cstheme="minorHAnsi"/>
          <w:b/>
          <w:sz w:val="24"/>
          <w:szCs w:val="24"/>
        </w:rPr>
      </w:pPr>
      <w:r w:rsidRPr="00BA0590">
        <w:rPr>
          <w:rFonts w:cstheme="minorHAnsi"/>
          <w:b/>
          <w:sz w:val="24"/>
          <w:szCs w:val="24"/>
        </w:rPr>
        <w:t>Ιστολογική εικόνα</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Ταξινόμηση </w:t>
      </w:r>
      <w:r w:rsidRPr="00BA0590">
        <w:rPr>
          <w:rFonts w:cstheme="minorHAnsi"/>
          <w:sz w:val="24"/>
          <w:szCs w:val="24"/>
          <w:lang w:val="en-US"/>
        </w:rPr>
        <w:t>Borrmann</w:t>
      </w:r>
      <w:r w:rsidRPr="00BA0590">
        <w:rPr>
          <w:rFonts w:cstheme="minorHAnsi"/>
          <w:sz w:val="24"/>
          <w:szCs w:val="24"/>
        </w:rPr>
        <w:t xml:space="preserve"> (5 τύποι)</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Ταξινόμηση </w:t>
      </w:r>
      <w:r w:rsidRPr="00BA0590">
        <w:rPr>
          <w:rFonts w:cstheme="minorHAnsi"/>
          <w:sz w:val="24"/>
          <w:szCs w:val="24"/>
          <w:lang w:val="en-US"/>
        </w:rPr>
        <w:t>Lauren</w:t>
      </w:r>
      <w:r w:rsidRPr="00BA0590">
        <w:rPr>
          <w:rFonts w:cstheme="minorHAnsi"/>
          <w:sz w:val="24"/>
          <w:szCs w:val="24"/>
        </w:rPr>
        <w:t xml:space="preserve"> (πιο συχνά χρησιμοποιούμενη)</w:t>
      </w:r>
    </w:p>
    <w:p w:rsidR="00BA0590" w:rsidRPr="00BA0590" w:rsidRDefault="00BA0590" w:rsidP="00B66319">
      <w:pPr>
        <w:pStyle w:val="a7"/>
        <w:numPr>
          <w:ilvl w:val="0"/>
          <w:numId w:val="12"/>
        </w:numPr>
        <w:spacing w:after="0" w:line="240" w:lineRule="auto"/>
        <w:rPr>
          <w:rFonts w:cstheme="minorHAnsi"/>
          <w:sz w:val="24"/>
          <w:szCs w:val="24"/>
        </w:rPr>
      </w:pPr>
      <w:r w:rsidRPr="00BA0590">
        <w:rPr>
          <w:rFonts w:cstheme="minorHAnsi"/>
          <w:i/>
          <w:sz w:val="24"/>
          <w:szCs w:val="24"/>
        </w:rPr>
        <w:t>Εντερικού τύπου</w:t>
      </w:r>
      <w:r w:rsidRPr="00BA0590">
        <w:rPr>
          <w:rFonts w:cstheme="minorHAnsi"/>
          <w:sz w:val="24"/>
          <w:szCs w:val="24"/>
        </w:rPr>
        <w:t xml:space="preserve">. </w:t>
      </w:r>
      <w:r w:rsidRPr="00BA0590">
        <w:rPr>
          <w:rFonts w:cstheme="minorHAnsi"/>
          <w:sz w:val="24"/>
          <w:szCs w:val="24"/>
          <w:lang w:val="en-US"/>
        </w:rPr>
        <w:t>E</w:t>
      </w:r>
      <w:r w:rsidRPr="00BA0590">
        <w:rPr>
          <w:rFonts w:cstheme="minorHAnsi"/>
          <w:sz w:val="24"/>
          <w:szCs w:val="24"/>
        </w:rPr>
        <w:t>ξορμάται από το γαστρικό βλεννογόνο και είναι πιο συχνό σε άνδρες, ηλικιωμένους. Σχετίζεται με άπω όγκους και με την επίδραση περιβαλλοντικών παραγόντων.</w:t>
      </w:r>
    </w:p>
    <w:p w:rsidR="00BA0590" w:rsidRPr="00BA0590" w:rsidRDefault="00BA0590" w:rsidP="00B66319">
      <w:pPr>
        <w:pStyle w:val="a7"/>
        <w:numPr>
          <w:ilvl w:val="0"/>
          <w:numId w:val="12"/>
        </w:numPr>
        <w:spacing w:after="0" w:line="240" w:lineRule="auto"/>
        <w:rPr>
          <w:rFonts w:cstheme="minorHAnsi"/>
          <w:sz w:val="24"/>
          <w:szCs w:val="24"/>
        </w:rPr>
      </w:pPr>
      <w:r w:rsidRPr="00BA0590">
        <w:rPr>
          <w:rFonts w:cstheme="minorHAnsi"/>
          <w:i/>
          <w:sz w:val="24"/>
          <w:szCs w:val="24"/>
        </w:rPr>
        <w:t>Διάχυτου τύπου</w:t>
      </w:r>
      <w:r w:rsidRPr="00BA0590">
        <w:rPr>
          <w:rFonts w:cstheme="minorHAnsi"/>
          <w:sz w:val="24"/>
          <w:szCs w:val="24"/>
        </w:rPr>
        <w:t>. Εξορμάται από τη βασική στιβάδα, σχετίζεται με πιο εγγείς όγκους, με νεότερους ασθενείς, επεκτείνεται διηθώντας υποβλεννογόνια και μεθίσταται γρηγορότερα. Παρουσιάζει αύξηση στη συχνότητά του. Δεν εμφανίζει γαστρικούς αδένες.</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Ταξινόμηση </w:t>
      </w:r>
      <w:r w:rsidRPr="00BA0590">
        <w:rPr>
          <w:rFonts w:cstheme="minorHAnsi"/>
          <w:sz w:val="24"/>
          <w:szCs w:val="24"/>
          <w:lang w:val="en-US"/>
        </w:rPr>
        <w:t>WHO</w:t>
      </w:r>
      <w:r w:rsidRPr="00BA0590">
        <w:rPr>
          <w:rFonts w:cstheme="minorHAnsi"/>
          <w:sz w:val="24"/>
          <w:szCs w:val="24"/>
        </w:rPr>
        <w:t xml:space="preserve"> (αδενοκαρκίνωμα εντερικού ή διαχύτου τύπου, εκ κυττάρων σφραγιστήρος, βλεννώδες, θηλώδες, σωληνώδες)</w:t>
      </w:r>
    </w:p>
    <w:p w:rsidR="00BA0590" w:rsidRPr="00BA0590" w:rsidRDefault="00BA0590" w:rsidP="00B66319">
      <w:pPr>
        <w:spacing w:after="0" w:line="240" w:lineRule="auto"/>
        <w:rPr>
          <w:rFonts w:cstheme="minorHAnsi"/>
          <w:sz w:val="24"/>
          <w:szCs w:val="24"/>
        </w:rPr>
      </w:pPr>
      <w:r w:rsidRPr="00BA0590">
        <w:rPr>
          <w:rFonts w:cstheme="minorHAnsi"/>
          <w:sz w:val="24"/>
          <w:szCs w:val="24"/>
        </w:rPr>
        <w:t>Ειδικές μορφές.</w:t>
      </w:r>
    </w:p>
    <w:p w:rsidR="00BA0590" w:rsidRPr="00BA0590" w:rsidRDefault="00BA0590" w:rsidP="00B66319">
      <w:pPr>
        <w:spacing w:after="0" w:line="240" w:lineRule="auto"/>
        <w:rPr>
          <w:rFonts w:cstheme="minorHAnsi"/>
          <w:sz w:val="24"/>
          <w:szCs w:val="24"/>
        </w:rPr>
      </w:pPr>
      <w:r w:rsidRPr="00BA0590">
        <w:rPr>
          <w:rFonts w:cstheme="minorHAnsi"/>
          <w:i/>
          <w:sz w:val="24"/>
          <w:szCs w:val="24"/>
        </w:rPr>
        <w:t>Πρώιμο γαστρικό καρκίνωμα</w:t>
      </w:r>
      <w:r w:rsidRPr="00BA0590">
        <w:rPr>
          <w:rFonts w:cstheme="minorHAnsi"/>
          <w:sz w:val="24"/>
          <w:szCs w:val="24"/>
        </w:rPr>
        <w:t>. Όγκος που περιορίζεται στο βλεννογόνο ή τον υποβλεννογόνιο. Συχνό στην Ιαπωνία (50%), σπάνιο στις δυτικές χώρες (&lt;10%).</w:t>
      </w:r>
    </w:p>
    <w:p w:rsidR="00BA0590" w:rsidRPr="00BA0590" w:rsidRDefault="00BA0590" w:rsidP="00B66319">
      <w:pPr>
        <w:spacing w:after="0" w:line="240" w:lineRule="auto"/>
        <w:rPr>
          <w:rFonts w:cstheme="minorHAnsi"/>
          <w:sz w:val="24"/>
          <w:szCs w:val="24"/>
        </w:rPr>
      </w:pPr>
      <w:r w:rsidRPr="00BA0590">
        <w:rPr>
          <w:rFonts w:cstheme="minorHAnsi"/>
          <w:i/>
          <w:sz w:val="24"/>
          <w:szCs w:val="24"/>
        </w:rPr>
        <w:t>Πλαστική λινίτιδα</w:t>
      </w:r>
      <w:r w:rsidRPr="00BA0590">
        <w:rPr>
          <w:rFonts w:cstheme="minorHAnsi"/>
          <w:sz w:val="24"/>
          <w:szCs w:val="24"/>
        </w:rPr>
        <w:t>. Προσβολή όλου του στομάχου από τον όγκο, λόγω διήθησης του οργάνου με καρκινικά κύτταρα πέραν της μακροσκοπικά ψηλαφητής μάζας.</w:t>
      </w:r>
    </w:p>
    <w:p w:rsidR="00BA0590" w:rsidRPr="00BA0590" w:rsidRDefault="00BA0590" w:rsidP="00B66319">
      <w:pPr>
        <w:spacing w:after="0" w:line="240" w:lineRule="auto"/>
        <w:rPr>
          <w:rFonts w:cstheme="minorHAnsi"/>
          <w:b/>
          <w:sz w:val="24"/>
          <w:szCs w:val="24"/>
          <w:lang w:val="en-US"/>
        </w:rPr>
      </w:pPr>
      <w:r w:rsidRPr="00BA0590">
        <w:rPr>
          <w:rFonts w:cstheme="minorHAnsi"/>
          <w:b/>
          <w:sz w:val="24"/>
          <w:szCs w:val="24"/>
        </w:rPr>
        <w:t>Σταδιοποίηση</w:t>
      </w:r>
    </w:p>
    <w:p w:rsidR="00BA0590" w:rsidRPr="00BA0590" w:rsidRDefault="00BA0590" w:rsidP="00B66319">
      <w:pPr>
        <w:spacing w:after="0" w:line="240" w:lineRule="auto"/>
        <w:rPr>
          <w:rFonts w:cstheme="minorHAnsi"/>
          <w:sz w:val="24"/>
          <w:szCs w:val="24"/>
          <w:lang w:val="en-US"/>
        </w:rPr>
      </w:pPr>
      <w:r w:rsidRPr="00BA0590">
        <w:rPr>
          <w:rFonts w:cstheme="minorHAnsi"/>
          <w:sz w:val="24"/>
          <w:szCs w:val="24"/>
        </w:rPr>
        <w:t>Τροποποιημένη</w:t>
      </w:r>
      <w:r w:rsidRPr="00BA0590">
        <w:rPr>
          <w:rFonts w:cstheme="minorHAnsi"/>
          <w:sz w:val="24"/>
          <w:szCs w:val="24"/>
          <w:lang w:val="en-US"/>
        </w:rPr>
        <w:t xml:space="preserve"> </w:t>
      </w:r>
      <w:r w:rsidRPr="00BA0590">
        <w:rPr>
          <w:rFonts w:cstheme="minorHAnsi"/>
          <w:sz w:val="24"/>
          <w:szCs w:val="24"/>
        </w:rPr>
        <w:t>ταξινόμηση</w:t>
      </w:r>
      <w:r w:rsidRPr="00BA0590">
        <w:rPr>
          <w:rFonts w:cstheme="minorHAnsi"/>
          <w:sz w:val="24"/>
          <w:szCs w:val="24"/>
          <w:lang w:val="en-US"/>
        </w:rPr>
        <w:t xml:space="preserve"> American Joint Committee on Cancer / International Union against Cancer (AJCC/UICC).</w:t>
      </w:r>
    </w:p>
    <w:tbl>
      <w:tblPr>
        <w:tblW w:w="5615" w:type="pct"/>
        <w:tblCellSpacing w:w="0" w:type="dxa"/>
        <w:tblInd w:w="-978" w:type="dxa"/>
        <w:tblBorders>
          <w:top w:val="outset" w:sz="6" w:space="0" w:color="EFEFEF"/>
          <w:left w:val="outset" w:sz="6" w:space="0" w:color="EFEFEF"/>
          <w:bottom w:val="outset" w:sz="6" w:space="0" w:color="EFEFEF"/>
          <w:right w:val="outset" w:sz="6" w:space="0" w:color="EFEFEF"/>
        </w:tblBorders>
        <w:tblCellMar>
          <w:left w:w="0" w:type="dxa"/>
          <w:right w:w="0" w:type="dxa"/>
        </w:tblCellMar>
        <w:tblLook w:val="04A0"/>
      </w:tblPr>
      <w:tblGrid>
        <w:gridCol w:w="2128"/>
        <w:gridCol w:w="1561"/>
        <w:gridCol w:w="1855"/>
        <w:gridCol w:w="1343"/>
        <w:gridCol w:w="2432"/>
        <w:gridCol w:w="49"/>
      </w:tblGrid>
      <w:tr w:rsidR="00BA0590" w:rsidRPr="00C218E1" w:rsidTr="00B66319">
        <w:trPr>
          <w:gridAfter w:val="1"/>
          <w:wAfter w:w="27" w:type="pct"/>
          <w:trHeight w:val="4142"/>
          <w:tblCellSpacing w:w="0" w:type="dxa"/>
        </w:trPr>
        <w:tc>
          <w:tcPr>
            <w:tcW w:w="1136"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rPr>
            </w:pPr>
            <w:r w:rsidRPr="00BA0590">
              <w:rPr>
                <w:rFonts w:eastAsia="Times New Roman" w:cstheme="minorHAnsi"/>
                <w:color w:val="000000"/>
                <w:sz w:val="24"/>
                <w:szCs w:val="24"/>
              </w:rPr>
              <w:lastRenderedPageBreak/>
              <w:t>Όγκος</w:t>
            </w:r>
          </w:p>
        </w:tc>
        <w:tc>
          <w:tcPr>
            <w:tcW w:w="3838" w:type="pct"/>
            <w:gridSpan w:val="4"/>
            <w:tcBorders>
              <w:top w:val="outset" w:sz="6" w:space="0" w:color="EFEFEF"/>
              <w:left w:val="outset" w:sz="6" w:space="0" w:color="EFEFEF"/>
              <w:right w:val="outset" w:sz="6" w:space="0" w:color="EFEFEF"/>
            </w:tcBorders>
            <w:vAlign w:val="center"/>
            <w:hideMark/>
          </w:tcPr>
          <w:p w:rsidR="00BA0590" w:rsidRPr="00B66319" w:rsidRDefault="00BA0590" w:rsidP="00B66319">
            <w:pPr>
              <w:spacing w:after="0" w:line="240" w:lineRule="auto"/>
              <w:rPr>
                <w:rFonts w:eastAsia="Times New Roman" w:cstheme="minorHAnsi"/>
                <w:color w:val="000000"/>
                <w:sz w:val="24"/>
                <w:szCs w:val="24"/>
                <w:lang w:val="en-US"/>
              </w:rPr>
            </w:pPr>
            <w:r w:rsidRPr="00B66319">
              <w:rPr>
                <w:rFonts w:eastAsia="Times New Roman" w:cstheme="minorHAnsi"/>
                <w:color w:val="000000"/>
                <w:sz w:val="24"/>
                <w:szCs w:val="24"/>
                <w:lang w:val="en-US"/>
              </w:rPr>
              <w:t>Tx Primary tumor cannot be assessed</w:t>
            </w:r>
          </w:p>
          <w:p w:rsidR="00BA0590" w:rsidRPr="00B66319" w:rsidRDefault="00BA0590" w:rsidP="00B66319">
            <w:pPr>
              <w:spacing w:after="0" w:line="240" w:lineRule="auto"/>
              <w:rPr>
                <w:rFonts w:eastAsia="Times New Roman" w:cstheme="minorHAnsi"/>
                <w:color w:val="000000"/>
                <w:sz w:val="24"/>
                <w:szCs w:val="24"/>
                <w:lang w:val="en-US"/>
              </w:rPr>
            </w:pPr>
            <w:r w:rsidRPr="00B66319">
              <w:rPr>
                <w:rFonts w:eastAsia="Times New Roman" w:cstheme="minorHAnsi"/>
                <w:color w:val="000000"/>
                <w:sz w:val="24"/>
                <w:szCs w:val="24"/>
                <w:lang w:val="en-US"/>
              </w:rPr>
              <w:t>T0 No evidence of primary tumor</w:t>
            </w:r>
          </w:p>
          <w:p w:rsidR="00BA0590" w:rsidRPr="00B66319" w:rsidRDefault="00BA0590" w:rsidP="00B66319">
            <w:pPr>
              <w:spacing w:after="0" w:line="240" w:lineRule="auto"/>
              <w:rPr>
                <w:rFonts w:eastAsia="Times New Roman" w:cstheme="minorHAnsi"/>
                <w:color w:val="000000"/>
                <w:sz w:val="24"/>
                <w:szCs w:val="24"/>
                <w:lang w:val="en-US"/>
              </w:rPr>
            </w:pPr>
            <w:r w:rsidRPr="00B66319">
              <w:rPr>
                <w:rFonts w:eastAsia="Times New Roman" w:cstheme="minorHAnsi"/>
                <w:color w:val="000000"/>
                <w:sz w:val="24"/>
                <w:szCs w:val="24"/>
                <w:lang w:val="en-US"/>
              </w:rPr>
              <w:t>Tis Carcinoma in situ: intraepithelial tumor without invasion of lamina propria</w:t>
            </w:r>
          </w:p>
          <w:p w:rsidR="00BA0590" w:rsidRPr="00B66319" w:rsidRDefault="00BA0590" w:rsidP="00B66319">
            <w:pPr>
              <w:spacing w:after="0" w:line="240" w:lineRule="auto"/>
              <w:rPr>
                <w:rFonts w:eastAsia="Times New Roman" w:cstheme="minorHAnsi"/>
                <w:color w:val="000000"/>
                <w:sz w:val="24"/>
                <w:szCs w:val="24"/>
                <w:lang w:val="pt-PT"/>
              </w:rPr>
            </w:pPr>
            <w:r w:rsidRPr="00B66319">
              <w:rPr>
                <w:rFonts w:eastAsia="Times New Roman" w:cstheme="minorHAnsi"/>
                <w:color w:val="000000"/>
                <w:sz w:val="24"/>
                <w:szCs w:val="24"/>
                <w:lang w:val="pt-PT"/>
              </w:rPr>
              <w:t>T1 Tumor invades lamina propria or submucosa</w:t>
            </w:r>
          </w:p>
          <w:p w:rsidR="00BA0590" w:rsidRPr="00B66319" w:rsidRDefault="00BA0590" w:rsidP="00B66319">
            <w:pPr>
              <w:spacing w:after="0" w:line="240" w:lineRule="auto"/>
              <w:rPr>
                <w:rFonts w:eastAsia="Times New Roman" w:cstheme="minorHAnsi"/>
                <w:color w:val="000000"/>
                <w:sz w:val="24"/>
                <w:szCs w:val="24"/>
                <w:lang w:val="pt-PT"/>
              </w:rPr>
            </w:pPr>
            <w:r w:rsidRPr="00B66319">
              <w:rPr>
                <w:rFonts w:eastAsia="Times New Roman" w:cstheme="minorHAnsi"/>
                <w:color w:val="000000"/>
                <w:sz w:val="24"/>
                <w:szCs w:val="24"/>
                <w:lang w:val="pt-PT"/>
              </w:rPr>
              <w:t>T2 Tumor invades muscularis propria or subserosa</w:t>
            </w:r>
          </w:p>
          <w:p w:rsidR="00BA0590" w:rsidRPr="00B66319" w:rsidRDefault="00BA0590" w:rsidP="00B66319">
            <w:pPr>
              <w:spacing w:after="0" w:line="240" w:lineRule="auto"/>
              <w:rPr>
                <w:rFonts w:eastAsia="Times New Roman" w:cstheme="minorHAnsi"/>
                <w:color w:val="000000"/>
                <w:sz w:val="24"/>
                <w:szCs w:val="24"/>
                <w:lang w:val="pt-PT"/>
              </w:rPr>
            </w:pPr>
            <w:r w:rsidRPr="00B66319">
              <w:rPr>
                <w:rFonts w:eastAsia="Times New Roman" w:cstheme="minorHAnsi"/>
                <w:color w:val="000000"/>
                <w:sz w:val="24"/>
                <w:szCs w:val="24"/>
                <w:lang w:val="pt-PT"/>
              </w:rPr>
              <w:t>T2a Tumor invades muscularis propria</w:t>
            </w:r>
          </w:p>
          <w:p w:rsidR="00BA0590" w:rsidRPr="00B66319" w:rsidRDefault="00BA0590" w:rsidP="00B66319">
            <w:pPr>
              <w:spacing w:after="0" w:line="240" w:lineRule="auto"/>
              <w:rPr>
                <w:rFonts w:eastAsia="Times New Roman" w:cstheme="minorHAnsi"/>
                <w:color w:val="000000"/>
                <w:sz w:val="24"/>
                <w:szCs w:val="24"/>
                <w:lang w:val="pt-PT"/>
              </w:rPr>
            </w:pPr>
            <w:r w:rsidRPr="00B66319">
              <w:rPr>
                <w:rFonts w:eastAsia="Times New Roman" w:cstheme="minorHAnsi"/>
                <w:color w:val="000000"/>
                <w:sz w:val="24"/>
                <w:szCs w:val="24"/>
                <w:lang w:val="pt-PT"/>
              </w:rPr>
              <w:t>T2b Tumor invades subserosa</w:t>
            </w:r>
          </w:p>
          <w:p w:rsidR="00BA0590" w:rsidRPr="00B66319" w:rsidRDefault="00BA0590" w:rsidP="00B66319">
            <w:pPr>
              <w:spacing w:after="0" w:line="240" w:lineRule="auto"/>
              <w:rPr>
                <w:rFonts w:eastAsia="Times New Roman" w:cstheme="minorHAnsi"/>
                <w:color w:val="000000"/>
                <w:sz w:val="24"/>
                <w:szCs w:val="24"/>
                <w:lang w:val="en-US"/>
              </w:rPr>
            </w:pPr>
            <w:r w:rsidRPr="00B66319">
              <w:rPr>
                <w:rFonts w:eastAsia="Times New Roman" w:cstheme="minorHAnsi"/>
                <w:color w:val="000000"/>
                <w:sz w:val="24"/>
                <w:szCs w:val="24"/>
                <w:lang w:val="en-US"/>
              </w:rPr>
              <w:t>T3 Tumor invades serosa (visceral peritoneum) without invasion of adjacent structures</w:t>
            </w:r>
          </w:p>
          <w:p w:rsidR="00BA0590" w:rsidRPr="00BA0590" w:rsidRDefault="00BA0590" w:rsidP="00B66319">
            <w:pPr>
              <w:spacing w:after="0" w:line="240" w:lineRule="auto"/>
              <w:rPr>
                <w:rFonts w:eastAsia="Times New Roman" w:cstheme="minorHAnsi"/>
                <w:color w:val="000000"/>
                <w:sz w:val="24"/>
                <w:szCs w:val="24"/>
                <w:lang w:val="en-US"/>
              </w:rPr>
            </w:pPr>
            <w:r w:rsidRPr="00B66319">
              <w:rPr>
                <w:rFonts w:eastAsia="Times New Roman" w:cstheme="minorHAnsi"/>
                <w:color w:val="000000"/>
                <w:sz w:val="24"/>
                <w:szCs w:val="24"/>
                <w:lang w:val="en-US"/>
              </w:rPr>
              <w:t>T4 Tumor invades adjacent structures</w:t>
            </w:r>
          </w:p>
        </w:tc>
      </w:tr>
      <w:tr w:rsidR="00BA0590" w:rsidRPr="00C218E1" w:rsidTr="00B66319">
        <w:trPr>
          <w:gridAfter w:val="1"/>
          <w:wAfter w:w="27" w:type="pct"/>
          <w:trHeight w:val="2194"/>
          <w:tblCellSpacing w:w="0" w:type="dxa"/>
        </w:trPr>
        <w:tc>
          <w:tcPr>
            <w:tcW w:w="1136"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rPr>
            </w:pPr>
            <w:r>
              <w:rPr>
                <w:rFonts w:eastAsia="Times New Roman" w:cstheme="minorHAnsi"/>
                <w:color w:val="000000"/>
                <w:sz w:val="24"/>
                <w:szCs w:val="24"/>
              </w:rPr>
              <w:t>Λεμφα</w:t>
            </w:r>
            <w:r w:rsidRPr="00BA0590">
              <w:rPr>
                <w:rFonts w:eastAsia="Times New Roman" w:cstheme="minorHAnsi"/>
                <w:color w:val="000000"/>
                <w:sz w:val="24"/>
                <w:szCs w:val="24"/>
              </w:rPr>
              <w:t>δένες</w:t>
            </w:r>
          </w:p>
        </w:tc>
        <w:tc>
          <w:tcPr>
            <w:tcW w:w="3838" w:type="pct"/>
            <w:gridSpan w:val="4"/>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lang w:val="en-US"/>
              </w:rPr>
            </w:pPr>
            <w:r w:rsidRPr="00BA0590">
              <w:rPr>
                <w:rFonts w:eastAsia="Times New Roman" w:cstheme="minorHAnsi"/>
                <w:color w:val="000000"/>
                <w:sz w:val="24"/>
                <w:szCs w:val="24"/>
                <w:lang w:val="en-US"/>
              </w:rPr>
              <w:t>Nx regional lymph nodes cannot be assessed</w:t>
            </w:r>
          </w:p>
          <w:p w:rsidR="00BA0590" w:rsidRPr="00BA0590" w:rsidRDefault="00BA0590" w:rsidP="00B66319">
            <w:pPr>
              <w:spacing w:after="0" w:line="240" w:lineRule="auto"/>
              <w:rPr>
                <w:rFonts w:eastAsia="Times New Roman" w:cstheme="minorHAnsi"/>
                <w:color w:val="000000"/>
                <w:sz w:val="24"/>
                <w:szCs w:val="24"/>
                <w:lang w:val="pt-PT"/>
              </w:rPr>
            </w:pPr>
            <w:r w:rsidRPr="00BA0590">
              <w:rPr>
                <w:rFonts w:eastAsia="Times New Roman" w:cstheme="minorHAnsi"/>
                <w:color w:val="000000"/>
                <w:sz w:val="24"/>
                <w:szCs w:val="24"/>
                <w:lang w:val="pt-PT"/>
              </w:rPr>
              <w:t>N0 No regional lymph node metastases</w:t>
            </w:r>
          </w:p>
          <w:p w:rsidR="00BA0590" w:rsidRPr="00BA0590" w:rsidRDefault="00BA0590" w:rsidP="00B66319">
            <w:pPr>
              <w:spacing w:after="0" w:line="240" w:lineRule="auto"/>
              <w:rPr>
                <w:rFonts w:eastAsia="Times New Roman" w:cstheme="minorHAnsi"/>
                <w:color w:val="000000"/>
                <w:sz w:val="24"/>
                <w:szCs w:val="24"/>
                <w:lang w:val="en-US"/>
              </w:rPr>
            </w:pPr>
            <w:r w:rsidRPr="00BA0590">
              <w:rPr>
                <w:rFonts w:eastAsia="Times New Roman" w:cstheme="minorHAnsi"/>
                <w:color w:val="000000"/>
                <w:sz w:val="24"/>
                <w:szCs w:val="24"/>
                <w:lang w:val="en-US"/>
              </w:rPr>
              <w:t>N1 Metastases in 1 to 6 regional lymph nodes</w:t>
            </w:r>
          </w:p>
          <w:p w:rsidR="00BA0590" w:rsidRPr="00BA0590" w:rsidRDefault="00BA0590" w:rsidP="00B66319">
            <w:pPr>
              <w:spacing w:after="0" w:line="240" w:lineRule="auto"/>
              <w:rPr>
                <w:rFonts w:eastAsia="Times New Roman" w:cstheme="minorHAnsi"/>
                <w:color w:val="000000"/>
                <w:sz w:val="24"/>
                <w:szCs w:val="24"/>
                <w:lang w:val="en-US"/>
              </w:rPr>
            </w:pPr>
            <w:r w:rsidRPr="00BA0590">
              <w:rPr>
                <w:rFonts w:eastAsia="Times New Roman" w:cstheme="minorHAnsi"/>
                <w:color w:val="000000"/>
                <w:sz w:val="24"/>
                <w:szCs w:val="24"/>
                <w:lang w:val="en-US"/>
              </w:rPr>
              <w:t>N2 Metastases in 7 to 15 regional lymph nodes</w:t>
            </w:r>
          </w:p>
          <w:p w:rsidR="00BA0590" w:rsidRPr="00BA0590" w:rsidRDefault="00BA0590" w:rsidP="00B66319">
            <w:pPr>
              <w:spacing w:after="0" w:line="240" w:lineRule="auto"/>
              <w:rPr>
                <w:rFonts w:eastAsia="Times New Roman" w:cstheme="minorHAnsi"/>
                <w:color w:val="000000"/>
                <w:sz w:val="24"/>
                <w:szCs w:val="24"/>
                <w:lang w:val="en-US"/>
              </w:rPr>
            </w:pPr>
            <w:r w:rsidRPr="00BA0590">
              <w:rPr>
                <w:rFonts w:eastAsia="Times New Roman" w:cstheme="minorHAnsi"/>
                <w:color w:val="000000"/>
                <w:sz w:val="24"/>
                <w:szCs w:val="24"/>
                <w:lang w:val="en-US"/>
              </w:rPr>
              <w:t>N3 Metastases in more than 15 regional lymph nodes</w:t>
            </w:r>
          </w:p>
        </w:tc>
      </w:tr>
      <w:tr w:rsidR="00BA0590" w:rsidRPr="00C218E1" w:rsidTr="00B66319">
        <w:trPr>
          <w:gridAfter w:val="1"/>
          <w:wAfter w:w="27" w:type="pct"/>
          <w:trHeight w:val="127"/>
          <w:tblCellSpacing w:w="0" w:type="dxa"/>
        </w:trPr>
        <w:tc>
          <w:tcPr>
            <w:tcW w:w="1136"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rPr>
            </w:pPr>
            <w:r w:rsidRPr="00BA0590">
              <w:rPr>
                <w:rFonts w:eastAsia="Times New Roman" w:cstheme="minorHAnsi"/>
                <w:color w:val="000000"/>
                <w:sz w:val="24"/>
                <w:szCs w:val="24"/>
              </w:rPr>
              <w:t>Μεταστάσεις</w:t>
            </w:r>
          </w:p>
        </w:tc>
        <w:tc>
          <w:tcPr>
            <w:tcW w:w="3838" w:type="pct"/>
            <w:gridSpan w:val="4"/>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lang w:val="en-US"/>
              </w:rPr>
            </w:pPr>
            <w:r w:rsidRPr="00BA0590">
              <w:rPr>
                <w:rFonts w:eastAsia="Times New Roman" w:cstheme="minorHAnsi"/>
                <w:color w:val="000000"/>
                <w:sz w:val="24"/>
                <w:szCs w:val="24"/>
                <w:lang w:val="en-US"/>
              </w:rPr>
              <w:t>Mx Distant metastases cannot be assessed</w:t>
            </w:r>
          </w:p>
          <w:p w:rsidR="00BA0590" w:rsidRPr="00BA0590" w:rsidRDefault="00BA0590" w:rsidP="00B66319">
            <w:pPr>
              <w:spacing w:after="0" w:line="240" w:lineRule="auto"/>
              <w:rPr>
                <w:rFonts w:eastAsia="Times New Roman" w:cstheme="minorHAnsi"/>
                <w:color w:val="000000"/>
                <w:sz w:val="24"/>
                <w:szCs w:val="24"/>
                <w:lang w:val="pt-PT"/>
              </w:rPr>
            </w:pPr>
            <w:r w:rsidRPr="00BA0590">
              <w:rPr>
                <w:rFonts w:eastAsia="Times New Roman" w:cstheme="minorHAnsi"/>
                <w:color w:val="000000"/>
                <w:sz w:val="24"/>
                <w:szCs w:val="24"/>
                <w:lang w:val="pt-PT"/>
              </w:rPr>
              <w:t>M0 No distant metastases</w:t>
            </w:r>
          </w:p>
          <w:p w:rsidR="00BA0590" w:rsidRPr="00BA0590" w:rsidRDefault="00BA0590" w:rsidP="00B66319">
            <w:pPr>
              <w:spacing w:after="0" w:line="240" w:lineRule="auto"/>
              <w:rPr>
                <w:rFonts w:eastAsia="Times New Roman" w:cstheme="minorHAnsi"/>
                <w:color w:val="000000"/>
                <w:sz w:val="24"/>
                <w:szCs w:val="24"/>
                <w:lang w:val="pt-PT"/>
              </w:rPr>
            </w:pPr>
            <w:r w:rsidRPr="00BA0590">
              <w:rPr>
                <w:rFonts w:eastAsia="Times New Roman" w:cstheme="minorHAnsi"/>
                <w:color w:val="000000"/>
                <w:sz w:val="24"/>
                <w:szCs w:val="24"/>
                <w:lang w:val="pt-PT"/>
              </w:rPr>
              <w:t>M1 Distant metastases</w:t>
            </w:r>
          </w:p>
        </w:tc>
      </w:tr>
      <w:tr w:rsidR="00BA0590" w:rsidRPr="00BA0590" w:rsidTr="00B66319">
        <w:trPr>
          <w:gridAfter w:val="1"/>
          <w:wAfter w:w="27" w:type="pct"/>
          <w:tblCellSpacing w:w="0" w:type="dxa"/>
        </w:trPr>
        <w:tc>
          <w:tcPr>
            <w:tcW w:w="1136" w:type="pct"/>
            <w:vMerge w:val="restar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ΣΤΑΔΙΑ</w:t>
            </w:r>
          </w:p>
        </w:tc>
        <w:tc>
          <w:tcPr>
            <w:tcW w:w="833"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0</w:t>
            </w:r>
          </w:p>
        </w:tc>
        <w:tc>
          <w:tcPr>
            <w:tcW w:w="1707" w:type="pct"/>
            <w:gridSpan w:val="2"/>
            <w:tcBorders>
              <w:top w:val="outset" w:sz="6" w:space="0" w:color="EFEFEF"/>
              <w:left w:val="outset" w:sz="6" w:space="0" w:color="EFEFEF"/>
              <w:bottom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TisN0M0</w:t>
            </w:r>
          </w:p>
        </w:tc>
        <w:tc>
          <w:tcPr>
            <w:tcW w:w="1298" w:type="pct"/>
            <w:tcBorders>
              <w:top w:val="outset" w:sz="6" w:space="0" w:color="EFEFEF"/>
              <w:left w:val="single" w:sz="4" w:space="0" w:color="auto"/>
              <w:bottom w:val="outset" w:sz="6" w:space="0" w:color="EFEFEF"/>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5ετής επιβίωση</w:t>
            </w:r>
          </w:p>
        </w:tc>
      </w:tr>
      <w:tr w:rsidR="00BA0590" w:rsidRPr="00BA0590" w:rsidTr="00B66319">
        <w:trPr>
          <w:gridAfter w:val="1"/>
          <w:wAfter w:w="27" w:type="pct"/>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p>
        </w:tc>
        <w:tc>
          <w:tcPr>
            <w:tcW w:w="833"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IA</w:t>
            </w:r>
          </w:p>
        </w:tc>
        <w:tc>
          <w:tcPr>
            <w:tcW w:w="1707" w:type="pct"/>
            <w:gridSpan w:val="2"/>
            <w:tcBorders>
              <w:top w:val="outset" w:sz="6" w:space="0" w:color="EFEFEF"/>
              <w:left w:val="outset" w:sz="6" w:space="0" w:color="EFEFEF"/>
              <w:bottom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T1N0M0</w:t>
            </w:r>
          </w:p>
        </w:tc>
        <w:tc>
          <w:tcPr>
            <w:tcW w:w="1298" w:type="pct"/>
            <w:tcBorders>
              <w:top w:val="outset" w:sz="6" w:space="0" w:color="EFEFEF"/>
              <w:left w:val="single" w:sz="4" w:space="0" w:color="auto"/>
              <w:bottom w:val="outset" w:sz="6" w:space="0" w:color="EFEFEF"/>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90%</w:t>
            </w:r>
          </w:p>
        </w:tc>
      </w:tr>
      <w:tr w:rsidR="00BA0590" w:rsidRPr="00BA0590" w:rsidTr="00B66319">
        <w:trPr>
          <w:gridAfter w:val="1"/>
          <w:wAfter w:w="27" w:type="pct"/>
          <w:trHeight w:val="1041"/>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p>
        </w:tc>
        <w:tc>
          <w:tcPr>
            <w:tcW w:w="833" w:type="pct"/>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IB</w:t>
            </w:r>
          </w:p>
          <w:p w:rsidR="00BA0590" w:rsidRPr="00BA0590" w:rsidRDefault="00BA0590" w:rsidP="00B66319">
            <w:pPr>
              <w:spacing w:after="0" w:line="240" w:lineRule="auto"/>
              <w:jc w:val="center"/>
              <w:rPr>
                <w:rFonts w:eastAsia="Times New Roman" w:cstheme="minorHAnsi"/>
                <w:b/>
                <w:color w:val="000000"/>
                <w:sz w:val="24"/>
                <w:szCs w:val="24"/>
              </w:rPr>
            </w:pPr>
          </w:p>
        </w:tc>
        <w:tc>
          <w:tcPr>
            <w:tcW w:w="1707" w:type="pct"/>
            <w:gridSpan w:val="2"/>
            <w:tcBorders>
              <w:top w:val="outset" w:sz="6" w:space="0" w:color="EFEFEF"/>
              <w:left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T1N1M0</w:t>
            </w:r>
          </w:p>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T2a/bN0M0</w:t>
            </w:r>
          </w:p>
        </w:tc>
        <w:tc>
          <w:tcPr>
            <w:tcW w:w="1298" w:type="pct"/>
            <w:tcBorders>
              <w:top w:val="outset" w:sz="6" w:space="0" w:color="EFEFEF"/>
              <w:left w:val="single" w:sz="4" w:space="0" w:color="auto"/>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75%</w:t>
            </w:r>
          </w:p>
          <w:p w:rsidR="00BA0590" w:rsidRPr="00BA0590" w:rsidRDefault="00BA0590" w:rsidP="00B66319">
            <w:pPr>
              <w:spacing w:after="0" w:line="240" w:lineRule="auto"/>
              <w:jc w:val="center"/>
              <w:rPr>
                <w:rFonts w:eastAsia="Times New Roman" w:cstheme="minorHAnsi"/>
                <w:b/>
                <w:color w:val="000000"/>
                <w:sz w:val="24"/>
                <w:szCs w:val="24"/>
              </w:rPr>
            </w:pPr>
          </w:p>
        </w:tc>
      </w:tr>
      <w:tr w:rsidR="00BA0590" w:rsidRPr="00BA0590" w:rsidTr="00B66319">
        <w:trPr>
          <w:gridAfter w:val="1"/>
          <w:wAfter w:w="27" w:type="pct"/>
          <w:trHeight w:val="1115"/>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p>
        </w:tc>
        <w:tc>
          <w:tcPr>
            <w:tcW w:w="833" w:type="pct"/>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II</w:t>
            </w:r>
          </w:p>
          <w:p w:rsidR="00BA0590" w:rsidRPr="00BA0590" w:rsidRDefault="00BA0590" w:rsidP="00B66319">
            <w:pPr>
              <w:spacing w:after="0" w:line="240" w:lineRule="auto"/>
              <w:jc w:val="center"/>
              <w:rPr>
                <w:rFonts w:eastAsia="Times New Roman" w:cstheme="minorHAnsi"/>
                <w:b/>
                <w:color w:val="000000"/>
                <w:sz w:val="24"/>
                <w:szCs w:val="24"/>
              </w:rPr>
            </w:pPr>
          </w:p>
          <w:p w:rsidR="00BA0590" w:rsidRPr="00BA0590" w:rsidRDefault="00BA0590" w:rsidP="00B66319">
            <w:pPr>
              <w:spacing w:after="0" w:line="240" w:lineRule="auto"/>
              <w:jc w:val="center"/>
              <w:rPr>
                <w:rFonts w:eastAsia="Times New Roman" w:cstheme="minorHAnsi"/>
                <w:b/>
                <w:color w:val="000000"/>
                <w:sz w:val="24"/>
                <w:szCs w:val="24"/>
              </w:rPr>
            </w:pPr>
          </w:p>
        </w:tc>
        <w:tc>
          <w:tcPr>
            <w:tcW w:w="1707" w:type="pct"/>
            <w:gridSpan w:val="2"/>
            <w:tcBorders>
              <w:top w:val="outset" w:sz="6" w:space="0" w:color="EFEFEF"/>
              <w:left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T1</w:t>
            </w:r>
            <w:r w:rsidRPr="00BA0590">
              <w:rPr>
                <w:rFonts w:eastAsia="Times New Roman" w:cstheme="minorHAnsi"/>
                <w:b/>
                <w:color w:val="000000"/>
                <w:sz w:val="24"/>
                <w:szCs w:val="24"/>
                <w:lang w:val="pt-PT"/>
              </w:rPr>
              <w:t>N2M0</w:t>
            </w:r>
          </w:p>
          <w:p w:rsidR="00BA0590" w:rsidRPr="00BA0590" w:rsidRDefault="00BA0590" w:rsidP="00B66319">
            <w:pPr>
              <w:spacing w:after="0" w:line="240" w:lineRule="auto"/>
              <w:jc w:val="center"/>
              <w:rPr>
                <w:rFonts w:eastAsia="Times New Roman" w:cstheme="minorHAnsi"/>
                <w:b/>
                <w:color w:val="000000"/>
                <w:sz w:val="24"/>
                <w:szCs w:val="24"/>
                <w:lang w:val="pt-PT"/>
              </w:rPr>
            </w:pPr>
            <w:r w:rsidRPr="00BA0590">
              <w:rPr>
                <w:rFonts w:eastAsia="Times New Roman" w:cstheme="minorHAnsi"/>
                <w:b/>
                <w:color w:val="000000"/>
                <w:sz w:val="24"/>
                <w:szCs w:val="24"/>
                <w:lang w:val="pt-PT"/>
              </w:rPr>
              <w:t>T2a/bN1M0</w:t>
            </w:r>
          </w:p>
          <w:p w:rsidR="00BA0590" w:rsidRPr="00BA0590" w:rsidRDefault="00BA0590" w:rsidP="00B66319">
            <w:pPr>
              <w:spacing w:after="0" w:line="240" w:lineRule="auto"/>
              <w:jc w:val="center"/>
              <w:rPr>
                <w:rFonts w:eastAsia="Times New Roman" w:cstheme="minorHAnsi"/>
                <w:b/>
                <w:color w:val="000000"/>
                <w:sz w:val="24"/>
                <w:szCs w:val="24"/>
                <w:lang w:val="pt-PT"/>
              </w:rPr>
            </w:pPr>
            <w:r w:rsidRPr="00BA0590">
              <w:rPr>
                <w:rFonts w:eastAsia="Times New Roman" w:cstheme="minorHAnsi"/>
                <w:b/>
                <w:color w:val="000000"/>
                <w:sz w:val="24"/>
                <w:szCs w:val="24"/>
                <w:lang w:val="pt-PT"/>
              </w:rPr>
              <w:t>T3N0M0</w:t>
            </w:r>
          </w:p>
        </w:tc>
        <w:tc>
          <w:tcPr>
            <w:tcW w:w="1298" w:type="pct"/>
            <w:tcBorders>
              <w:top w:val="outset" w:sz="6" w:space="0" w:color="EFEFEF"/>
              <w:left w:val="single" w:sz="4" w:space="0" w:color="auto"/>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50%</w:t>
            </w:r>
          </w:p>
          <w:p w:rsidR="00BA0590" w:rsidRPr="00BA0590" w:rsidRDefault="00BA0590" w:rsidP="00B66319">
            <w:pPr>
              <w:spacing w:after="0" w:line="240" w:lineRule="auto"/>
              <w:jc w:val="center"/>
              <w:rPr>
                <w:rFonts w:eastAsia="Times New Roman" w:cstheme="minorHAnsi"/>
                <w:b/>
                <w:color w:val="000000"/>
                <w:sz w:val="24"/>
                <w:szCs w:val="24"/>
                <w:lang w:val="pt-PT"/>
              </w:rPr>
            </w:pPr>
          </w:p>
          <w:p w:rsidR="00BA0590" w:rsidRPr="00BA0590" w:rsidRDefault="00BA0590" w:rsidP="00B66319">
            <w:pPr>
              <w:spacing w:after="0" w:line="240" w:lineRule="auto"/>
              <w:jc w:val="center"/>
              <w:rPr>
                <w:rFonts w:eastAsia="Times New Roman" w:cstheme="minorHAnsi"/>
                <w:b/>
                <w:color w:val="000000"/>
                <w:sz w:val="24"/>
                <w:szCs w:val="24"/>
                <w:lang w:val="pt-PT"/>
              </w:rPr>
            </w:pPr>
          </w:p>
        </w:tc>
      </w:tr>
      <w:tr w:rsidR="00BA0590" w:rsidRPr="00BA0590" w:rsidTr="00B66319">
        <w:trPr>
          <w:gridAfter w:val="1"/>
          <w:wAfter w:w="27" w:type="pct"/>
          <w:trHeight w:val="855"/>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lang w:val="pt-PT"/>
              </w:rPr>
            </w:pPr>
          </w:p>
        </w:tc>
        <w:tc>
          <w:tcPr>
            <w:tcW w:w="833" w:type="pct"/>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IIIA</w:t>
            </w:r>
          </w:p>
          <w:p w:rsidR="00BA0590" w:rsidRPr="00BA0590" w:rsidRDefault="00BA0590" w:rsidP="00B66319">
            <w:pPr>
              <w:spacing w:after="0" w:line="240" w:lineRule="auto"/>
              <w:jc w:val="center"/>
              <w:rPr>
                <w:rFonts w:eastAsia="Times New Roman" w:cstheme="minorHAnsi"/>
                <w:b/>
                <w:color w:val="000000"/>
                <w:sz w:val="24"/>
                <w:szCs w:val="24"/>
              </w:rPr>
            </w:pPr>
          </w:p>
          <w:p w:rsidR="00BA0590" w:rsidRPr="00BA0590" w:rsidRDefault="00BA0590" w:rsidP="00B66319">
            <w:pPr>
              <w:spacing w:after="0" w:line="240" w:lineRule="auto"/>
              <w:jc w:val="center"/>
              <w:rPr>
                <w:rFonts w:eastAsia="Times New Roman" w:cstheme="minorHAnsi"/>
                <w:b/>
                <w:color w:val="000000"/>
                <w:sz w:val="24"/>
                <w:szCs w:val="24"/>
              </w:rPr>
            </w:pPr>
          </w:p>
        </w:tc>
        <w:tc>
          <w:tcPr>
            <w:tcW w:w="1707" w:type="pct"/>
            <w:gridSpan w:val="2"/>
            <w:tcBorders>
              <w:top w:val="outset" w:sz="6" w:space="0" w:color="EFEFEF"/>
              <w:left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lang w:val="pt-PT"/>
              </w:rPr>
            </w:pPr>
            <w:r w:rsidRPr="00BA0590">
              <w:rPr>
                <w:rFonts w:eastAsia="Times New Roman" w:cstheme="minorHAnsi"/>
                <w:b/>
                <w:color w:val="000000"/>
                <w:sz w:val="24"/>
                <w:szCs w:val="24"/>
                <w:lang w:val="pt-PT"/>
              </w:rPr>
              <w:t>T2a/bN2M0</w:t>
            </w:r>
          </w:p>
          <w:p w:rsidR="00BA0590" w:rsidRPr="00BA0590" w:rsidRDefault="00BA0590" w:rsidP="00B66319">
            <w:pPr>
              <w:spacing w:after="0" w:line="240" w:lineRule="auto"/>
              <w:jc w:val="center"/>
              <w:rPr>
                <w:rFonts w:eastAsia="Times New Roman" w:cstheme="minorHAnsi"/>
                <w:b/>
                <w:color w:val="000000"/>
                <w:sz w:val="24"/>
                <w:szCs w:val="24"/>
                <w:lang w:val="pt-PT"/>
              </w:rPr>
            </w:pPr>
            <w:r w:rsidRPr="00BA0590">
              <w:rPr>
                <w:rFonts w:eastAsia="Times New Roman" w:cstheme="minorHAnsi"/>
                <w:b/>
                <w:color w:val="000000"/>
                <w:sz w:val="24"/>
                <w:szCs w:val="24"/>
                <w:lang w:val="pt-PT"/>
              </w:rPr>
              <w:t>T3N1M0</w:t>
            </w:r>
          </w:p>
          <w:p w:rsidR="00BA0590" w:rsidRPr="00BA0590" w:rsidRDefault="00BA0590" w:rsidP="00B66319">
            <w:pPr>
              <w:spacing w:after="0" w:line="240" w:lineRule="auto"/>
              <w:jc w:val="center"/>
              <w:rPr>
                <w:rFonts w:eastAsia="Times New Roman" w:cstheme="minorHAnsi"/>
                <w:b/>
                <w:color w:val="000000"/>
                <w:sz w:val="24"/>
                <w:szCs w:val="24"/>
                <w:lang w:val="pt-PT"/>
              </w:rPr>
            </w:pPr>
            <w:r w:rsidRPr="00BA0590">
              <w:rPr>
                <w:rFonts w:eastAsia="Times New Roman" w:cstheme="minorHAnsi"/>
                <w:b/>
                <w:color w:val="000000"/>
                <w:sz w:val="24"/>
                <w:szCs w:val="24"/>
                <w:lang w:val="pt-PT"/>
              </w:rPr>
              <w:t>T4N0M0</w:t>
            </w:r>
          </w:p>
        </w:tc>
        <w:tc>
          <w:tcPr>
            <w:tcW w:w="1298" w:type="pct"/>
            <w:tcBorders>
              <w:top w:val="outset" w:sz="6" w:space="0" w:color="EFEFEF"/>
              <w:left w:val="single" w:sz="4" w:space="0" w:color="auto"/>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30%</w:t>
            </w:r>
          </w:p>
          <w:p w:rsidR="00BA0590" w:rsidRPr="00BA0590" w:rsidRDefault="00BA0590" w:rsidP="00B66319">
            <w:pPr>
              <w:spacing w:after="0" w:line="240" w:lineRule="auto"/>
              <w:jc w:val="center"/>
              <w:rPr>
                <w:rFonts w:eastAsia="Times New Roman" w:cstheme="minorHAnsi"/>
                <w:b/>
                <w:color w:val="000000"/>
                <w:sz w:val="24"/>
                <w:szCs w:val="24"/>
                <w:lang w:val="pt-PT"/>
              </w:rPr>
            </w:pPr>
          </w:p>
          <w:p w:rsidR="00BA0590" w:rsidRPr="00BA0590" w:rsidRDefault="00BA0590" w:rsidP="00B66319">
            <w:pPr>
              <w:spacing w:after="0" w:line="240" w:lineRule="auto"/>
              <w:jc w:val="center"/>
              <w:rPr>
                <w:rFonts w:eastAsia="Times New Roman" w:cstheme="minorHAnsi"/>
                <w:b/>
                <w:color w:val="000000"/>
                <w:sz w:val="24"/>
                <w:szCs w:val="24"/>
                <w:lang w:val="pt-PT"/>
              </w:rPr>
            </w:pPr>
          </w:p>
        </w:tc>
      </w:tr>
      <w:tr w:rsidR="00BA0590" w:rsidRPr="00BA0590" w:rsidTr="00B66319">
        <w:trPr>
          <w:gridAfter w:val="1"/>
          <w:wAfter w:w="27" w:type="pct"/>
          <w:trHeight w:val="298"/>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lang w:val="pt-PT"/>
              </w:rPr>
            </w:pPr>
          </w:p>
        </w:tc>
        <w:tc>
          <w:tcPr>
            <w:tcW w:w="833"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IIIB</w:t>
            </w:r>
          </w:p>
        </w:tc>
        <w:tc>
          <w:tcPr>
            <w:tcW w:w="1707" w:type="pct"/>
            <w:gridSpan w:val="2"/>
            <w:tcBorders>
              <w:top w:val="outset" w:sz="6" w:space="0" w:color="EFEFEF"/>
              <w:left w:val="outset" w:sz="6" w:space="0" w:color="EFEFEF"/>
              <w:bottom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T3N2M0</w:t>
            </w:r>
          </w:p>
        </w:tc>
        <w:tc>
          <w:tcPr>
            <w:tcW w:w="1298" w:type="pct"/>
            <w:tcBorders>
              <w:top w:val="outset" w:sz="6" w:space="0" w:color="EFEFEF"/>
              <w:left w:val="single" w:sz="4" w:space="0" w:color="auto"/>
              <w:bottom w:val="outset" w:sz="6" w:space="0" w:color="EFEFEF"/>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13%</w:t>
            </w:r>
          </w:p>
        </w:tc>
      </w:tr>
      <w:tr w:rsidR="00BA0590" w:rsidRPr="00BA0590" w:rsidTr="00B66319">
        <w:trPr>
          <w:gridAfter w:val="1"/>
          <w:wAfter w:w="27" w:type="pct"/>
          <w:trHeight w:val="1935"/>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p>
        </w:tc>
        <w:tc>
          <w:tcPr>
            <w:tcW w:w="833" w:type="pct"/>
            <w:vMerge w:val="restart"/>
            <w:tcBorders>
              <w:top w:val="outset" w:sz="6" w:space="0" w:color="EFEFEF"/>
              <w:left w:val="outset" w:sz="6" w:space="0" w:color="EFEFEF"/>
              <w:right w:val="outset" w:sz="6" w:space="0" w:color="EFEFEF"/>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IV</w:t>
            </w:r>
          </w:p>
          <w:p w:rsidR="00BA0590" w:rsidRPr="00BA0590" w:rsidRDefault="00BA0590" w:rsidP="00B66319">
            <w:pPr>
              <w:spacing w:after="0" w:line="240" w:lineRule="auto"/>
              <w:jc w:val="center"/>
              <w:rPr>
                <w:rFonts w:eastAsia="Times New Roman" w:cstheme="minorHAnsi"/>
                <w:b/>
                <w:color w:val="000000"/>
                <w:sz w:val="24"/>
                <w:szCs w:val="24"/>
              </w:rPr>
            </w:pPr>
          </w:p>
          <w:p w:rsidR="00BA0590" w:rsidRPr="00BA0590" w:rsidRDefault="00BA0590" w:rsidP="00B66319">
            <w:pPr>
              <w:spacing w:after="0" w:line="240" w:lineRule="auto"/>
              <w:jc w:val="center"/>
              <w:rPr>
                <w:rFonts w:eastAsia="Times New Roman" w:cstheme="minorHAnsi"/>
                <w:b/>
                <w:color w:val="000000"/>
                <w:sz w:val="24"/>
                <w:szCs w:val="24"/>
              </w:rPr>
            </w:pPr>
          </w:p>
        </w:tc>
        <w:tc>
          <w:tcPr>
            <w:tcW w:w="1707" w:type="pct"/>
            <w:gridSpan w:val="2"/>
            <w:tcBorders>
              <w:top w:val="outset" w:sz="6" w:space="0" w:color="EFEFEF"/>
              <w:left w:val="outset" w:sz="6" w:space="0" w:color="EFEFEF"/>
              <w:right w:val="single" w:sz="4" w:space="0" w:color="auto"/>
            </w:tcBorders>
            <w:vAlign w:val="center"/>
            <w:hideMark/>
          </w:tcPr>
          <w:p w:rsidR="00BA0590" w:rsidRPr="00BA0590" w:rsidRDefault="00BA0590" w:rsidP="00B66319">
            <w:pPr>
              <w:spacing w:after="0" w:line="240" w:lineRule="auto"/>
              <w:jc w:val="center"/>
              <w:rPr>
                <w:rFonts w:eastAsia="Times New Roman" w:cstheme="minorHAnsi"/>
                <w:b/>
                <w:color w:val="000000"/>
                <w:sz w:val="24"/>
                <w:szCs w:val="24"/>
                <w:lang w:val="en-US"/>
              </w:rPr>
            </w:pPr>
            <w:r w:rsidRPr="00BA0590">
              <w:rPr>
                <w:rFonts w:eastAsia="Times New Roman" w:cstheme="minorHAnsi"/>
                <w:b/>
                <w:color w:val="000000"/>
                <w:sz w:val="24"/>
                <w:szCs w:val="24"/>
                <w:lang w:val="en-US"/>
              </w:rPr>
              <w:t>T4N1-3M0</w:t>
            </w:r>
          </w:p>
          <w:p w:rsidR="00BA0590" w:rsidRPr="00BA0590" w:rsidRDefault="00BA0590" w:rsidP="00B66319">
            <w:pPr>
              <w:spacing w:after="0" w:line="240" w:lineRule="auto"/>
              <w:jc w:val="center"/>
              <w:rPr>
                <w:rFonts w:eastAsia="Times New Roman" w:cstheme="minorHAnsi"/>
                <w:b/>
                <w:color w:val="000000"/>
                <w:sz w:val="24"/>
                <w:szCs w:val="24"/>
                <w:lang w:val="en-US"/>
              </w:rPr>
            </w:pPr>
            <w:r w:rsidRPr="00BA0590">
              <w:rPr>
                <w:rFonts w:eastAsia="Times New Roman" w:cstheme="minorHAnsi"/>
                <w:b/>
                <w:color w:val="000000"/>
                <w:sz w:val="24"/>
                <w:szCs w:val="24"/>
                <w:lang w:val="en-US"/>
              </w:rPr>
              <w:t>T1-3N3M0</w:t>
            </w:r>
          </w:p>
          <w:p w:rsidR="00BA0590" w:rsidRPr="00BA0590" w:rsidRDefault="00BA0590" w:rsidP="00B66319">
            <w:pPr>
              <w:spacing w:after="0" w:line="240" w:lineRule="auto"/>
              <w:jc w:val="center"/>
              <w:rPr>
                <w:rFonts w:eastAsia="Times New Roman" w:cstheme="minorHAnsi"/>
                <w:b/>
                <w:color w:val="000000"/>
                <w:sz w:val="24"/>
                <w:szCs w:val="24"/>
                <w:lang w:val="en-US"/>
              </w:rPr>
            </w:pPr>
            <w:r w:rsidRPr="00BA0590">
              <w:rPr>
                <w:rFonts w:eastAsia="Times New Roman" w:cstheme="minorHAnsi"/>
                <w:b/>
                <w:color w:val="000000"/>
                <w:sz w:val="24"/>
                <w:szCs w:val="24"/>
                <w:lang w:val="en-US"/>
              </w:rPr>
              <w:t>anyT anyN M1</w:t>
            </w:r>
          </w:p>
        </w:tc>
        <w:tc>
          <w:tcPr>
            <w:tcW w:w="1298" w:type="pct"/>
            <w:tcBorders>
              <w:top w:val="outset" w:sz="6" w:space="0" w:color="EFEFEF"/>
              <w:left w:val="single" w:sz="4" w:space="0" w:color="auto"/>
              <w:right w:val="outset" w:sz="6" w:space="0" w:color="EFEFEF"/>
            </w:tcBorders>
            <w:vAlign w:val="center"/>
          </w:tcPr>
          <w:p w:rsidR="00BA0590" w:rsidRPr="00BA0590" w:rsidRDefault="00BA0590" w:rsidP="00B66319">
            <w:pPr>
              <w:spacing w:after="0" w:line="240" w:lineRule="auto"/>
              <w:jc w:val="center"/>
              <w:rPr>
                <w:rFonts w:eastAsia="Times New Roman" w:cstheme="minorHAnsi"/>
                <w:b/>
                <w:color w:val="000000"/>
                <w:sz w:val="24"/>
                <w:szCs w:val="24"/>
              </w:rPr>
            </w:pPr>
            <w:r w:rsidRPr="00BA0590">
              <w:rPr>
                <w:rFonts w:eastAsia="Times New Roman" w:cstheme="minorHAnsi"/>
                <w:b/>
                <w:color w:val="000000"/>
                <w:sz w:val="24"/>
                <w:szCs w:val="24"/>
              </w:rPr>
              <w:t>10%</w:t>
            </w:r>
          </w:p>
          <w:p w:rsidR="00BA0590" w:rsidRPr="00BA0590" w:rsidRDefault="00BA0590" w:rsidP="00B66319">
            <w:pPr>
              <w:spacing w:after="0" w:line="240" w:lineRule="auto"/>
              <w:jc w:val="center"/>
              <w:rPr>
                <w:rFonts w:eastAsia="Times New Roman" w:cstheme="minorHAnsi"/>
                <w:b/>
                <w:color w:val="000000"/>
                <w:sz w:val="24"/>
                <w:szCs w:val="24"/>
                <w:lang w:val="en-US"/>
              </w:rPr>
            </w:pPr>
          </w:p>
          <w:p w:rsidR="00BA0590" w:rsidRPr="00BA0590" w:rsidRDefault="00BA0590" w:rsidP="00B66319">
            <w:pPr>
              <w:spacing w:after="0" w:line="240" w:lineRule="auto"/>
              <w:jc w:val="center"/>
              <w:rPr>
                <w:rFonts w:eastAsia="Times New Roman" w:cstheme="minorHAnsi"/>
                <w:b/>
                <w:color w:val="000000"/>
                <w:sz w:val="24"/>
                <w:szCs w:val="24"/>
                <w:lang w:val="en-US"/>
              </w:rPr>
            </w:pPr>
          </w:p>
        </w:tc>
      </w:tr>
      <w:tr w:rsidR="00BA0590" w:rsidRPr="00BA0590" w:rsidTr="00B66319">
        <w:trPr>
          <w:tblCellSpacing w:w="0" w:type="dxa"/>
        </w:trPr>
        <w:tc>
          <w:tcPr>
            <w:tcW w:w="1136" w:type="pct"/>
            <w:vMerge/>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after="0" w:line="240" w:lineRule="auto"/>
              <w:rPr>
                <w:rFonts w:eastAsia="Times New Roman" w:cstheme="minorHAnsi"/>
                <w:color w:val="000000"/>
                <w:sz w:val="24"/>
                <w:szCs w:val="24"/>
                <w:lang w:val="en-US"/>
              </w:rPr>
            </w:pPr>
          </w:p>
        </w:tc>
        <w:tc>
          <w:tcPr>
            <w:tcW w:w="833" w:type="pct"/>
            <w:vMerge/>
            <w:tcBorders>
              <w:left w:val="outset" w:sz="6" w:space="0" w:color="EFEFEF"/>
              <w:bottom w:val="outset" w:sz="6" w:space="0" w:color="EFEFEF"/>
              <w:right w:val="outset" w:sz="6" w:space="0" w:color="EFEFEF"/>
            </w:tcBorders>
            <w:vAlign w:val="center"/>
            <w:hideMark/>
          </w:tcPr>
          <w:p w:rsidR="00BA0590" w:rsidRPr="00BA0590" w:rsidRDefault="00BA0590" w:rsidP="00B66319">
            <w:pPr>
              <w:spacing w:before="240" w:after="0" w:line="240" w:lineRule="auto"/>
              <w:rPr>
                <w:rFonts w:eastAsia="Times New Roman" w:cstheme="minorHAnsi"/>
                <w:color w:val="000000"/>
                <w:sz w:val="24"/>
                <w:szCs w:val="24"/>
                <w:lang w:val="en-US"/>
              </w:rPr>
            </w:pPr>
          </w:p>
        </w:tc>
        <w:tc>
          <w:tcPr>
            <w:tcW w:w="990"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before="240" w:after="0" w:line="240" w:lineRule="auto"/>
              <w:rPr>
                <w:rFonts w:eastAsia="Times New Roman" w:cstheme="minorHAnsi"/>
                <w:color w:val="000000"/>
                <w:sz w:val="24"/>
                <w:szCs w:val="24"/>
              </w:rPr>
            </w:pPr>
          </w:p>
        </w:tc>
        <w:tc>
          <w:tcPr>
            <w:tcW w:w="0" w:type="auto"/>
            <w:gridSpan w:val="2"/>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before="240" w:after="0" w:line="240" w:lineRule="auto"/>
              <w:rPr>
                <w:rFonts w:eastAsia="Times New Roman" w:cstheme="minorHAnsi"/>
                <w:color w:val="000000"/>
                <w:sz w:val="24"/>
                <w:szCs w:val="24"/>
              </w:rPr>
            </w:pPr>
          </w:p>
        </w:tc>
        <w:tc>
          <w:tcPr>
            <w:tcW w:w="27" w:type="pct"/>
            <w:tcBorders>
              <w:top w:val="outset" w:sz="6" w:space="0" w:color="EFEFEF"/>
              <w:left w:val="outset" w:sz="6" w:space="0" w:color="EFEFEF"/>
              <w:bottom w:val="outset" w:sz="6" w:space="0" w:color="EFEFEF"/>
              <w:right w:val="outset" w:sz="6" w:space="0" w:color="EFEFEF"/>
            </w:tcBorders>
            <w:vAlign w:val="center"/>
            <w:hideMark/>
          </w:tcPr>
          <w:p w:rsidR="00BA0590" w:rsidRPr="00BA0590" w:rsidRDefault="00BA0590" w:rsidP="00B66319">
            <w:pPr>
              <w:spacing w:before="240" w:after="0" w:line="240" w:lineRule="auto"/>
              <w:rPr>
                <w:rFonts w:eastAsia="Times New Roman" w:cstheme="minorHAnsi"/>
                <w:color w:val="000000"/>
                <w:sz w:val="24"/>
                <w:szCs w:val="24"/>
              </w:rPr>
            </w:pPr>
          </w:p>
        </w:tc>
      </w:tr>
    </w:tbl>
    <w:p w:rsidR="00BA0590" w:rsidRPr="00BA0590" w:rsidRDefault="00BA0590" w:rsidP="00B66319">
      <w:pPr>
        <w:spacing w:after="0" w:line="240" w:lineRule="auto"/>
        <w:rPr>
          <w:rFonts w:cstheme="minorHAnsi"/>
          <w:sz w:val="24"/>
          <w:szCs w:val="24"/>
          <w:lang w:val="en-US"/>
        </w:rPr>
      </w:pPr>
    </w:p>
    <w:p w:rsidR="00BA0590" w:rsidRPr="00BA0590" w:rsidRDefault="00BA0590" w:rsidP="00B66319">
      <w:pPr>
        <w:spacing w:after="0" w:line="240" w:lineRule="auto"/>
        <w:rPr>
          <w:rFonts w:cstheme="minorHAnsi"/>
          <w:sz w:val="24"/>
          <w:szCs w:val="24"/>
          <w:u w:val="single"/>
        </w:rPr>
      </w:pPr>
      <w:r w:rsidRPr="00BA0590">
        <w:rPr>
          <w:rFonts w:cstheme="minorHAnsi"/>
          <w:sz w:val="24"/>
          <w:szCs w:val="24"/>
          <w:u w:val="single"/>
        </w:rPr>
        <w:lastRenderedPageBreak/>
        <w:t>Η επαρκής σταδιοποίηση προϋποθέτει εξαίρεση &gt; 15 λεμφαδένων</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r w:rsidRPr="00BA0590">
        <w:rPr>
          <w:rFonts w:cstheme="minorHAnsi"/>
          <w:sz w:val="24"/>
          <w:szCs w:val="24"/>
        </w:rPr>
        <w:t>Η γιαπωνέζικη σταδιοποίηση με διάκριση 16 σταθμών λεμφαδένων είναι δύσχρηστη και δεν εφαρμόζεται στις δυτικές χώρες.</w:t>
      </w: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5274310" cy="4944666"/>
            <wp:effectExtent l="19050" t="0" r="2540" b="0"/>
            <wp:docPr id="3" name="Εικόνα 1" descr="C:\Documents and Settings\ΚΩΣΤΑΣ ΒΑΓΙΑΝΟΣ\Επιφάνεια εργασίας\Efi 1.jpg"/>
            <wp:cNvGraphicFramePr/>
            <a:graphic xmlns:a="http://schemas.openxmlformats.org/drawingml/2006/main">
              <a:graphicData uri="http://schemas.openxmlformats.org/drawingml/2006/picture">
                <pic:pic xmlns:pic="http://schemas.openxmlformats.org/drawingml/2006/picture">
                  <pic:nvPicPr>
                    <pic:cNvPr id="317442" name="Picture 1026" descr="C:\Documents and Settings\ΚΩΣΤΑΣ ΒΑΓΙΑΝΟΣ\Επιφάνεια εργασίας\Efi 1.jpg"/>
                    <pic:cNvPicPr>
                      <a:picLocks noChangeAspect="1" noChangeArrowheads="1"/>
                    </pic:cNvPicPr>
                  </pic:nvPicPr>
                  <pic:blipFill>
                    <a:blip r:embed="rId7" cstate="print"/>
                    <a:srcRect/>
                    <a:stretch>
                      <a:fillRect/>
                    </a:stretch>
                  </pic:blipFill>
                  <pic:spPr bwMode="auto">
                    <a:xfrm>
                      <a:off x="0" y="0"/>
                      <a:ext cx="5274310" cy="4944666"/>
                    </a:xfrm>
                    <a:prstGeom prst="rect">
                      <a:avLst/>
                    </a:prstGeom>
                    <a:noFill/>
                  </pic:spPr>
                </pic:pic>
              </a:graphicData>
            </a:graphic>
          </wp:inline>
        </w:drawing>
      </w:r>
    </w:p>
    <w:p w:rsidR="00BA0590" w:rsidRPr="00BA0590" w:rsidRDefault="00BA0590" w:rsidP="00B66319">
      <w:pPr>
        <w:spacing w:after="0" w:line="240" w:lineRule="auto"/>
        <w:rPr>
          <w:rFonts w:cstheme="minorHAnsi"/>
          <w:b/>
          <w:sz w:val="24"/>
          <w:szCs w:val="24"/>
        </w:rPr>
      </w:pPr>
      <w:r w:rsidRPr="00BA0590">
        <w:rPr>
          <w:rFonts w:cstheme="minorHAnsi"/>
          <w:b/>
          <w:sz w:val="24"/>
          <w:szCs w:val="24"/>
        </w:rPr>
        <w:t>Κλινική εικόνα</w:t>
      </w:r>
    </w:p>
    <w:p w:rsidR="00BA0590" w:rsidRPr="00BA0590" w:rsidRDefault="00BA0590" w:rsidP="00B66319">
      <w:pPr>
        <w:spacing w:after="0" w:line="240" w:lineRule="auto"/>
        <w:rPr>
          <w:rFonts w:cstheme="minorHAnsi"/>
          <w:b/>
          <w:sz w:val="24"/>
          <w:szCs w:val="24"/>
        </w:rPr>
      </w:pPr>
      <w:r w:rsidRPr="00BA0590">
        <w:rPr>
          <w:rFonts w:cstheme="minorHAnsi"/>
          <w:sz w:val="24"/>
          <w:szCs w:val="24"/>
        </w:rPr>
        <w:t>Άτυπα συμπτώματα σε πρώιμο γαστρικό καρκίνο (κοιλιακό άλγος, δυσπεψία).</w:t>
      </w:r>
    </w:p>
    <w:p w:rsidR="00BA0590" w:rsidRPr="00BA0590" w:rsidRDefault="00BA0590" w:rsidP="00B66319">
      <w:pPr>
        <w:spacing w:after="0" w:line="240" w:lineRule="auto"/>
        <w:rPr>
          <w:rFonts w:cstheme="minorHAnsi"/>
          <w:sz w:val="24"/>
          <w:szCs w:val="24"/>
        </w:rPr>
      </w:pPr>
      <w:r w:rsidRPr="00BA0590">
        <w:rPr>
          <w:rFonts w:cstheme="minorHAnsi"/>
          <w:sz w:val="24"/>
          <w:szCs w:val="24"/>
        </w:rPr>
        <w:t>Ψηλαφητή μάζα είναι το πιο συχνό κλινικό εύρημα (προχωρημένη νόσος).</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Ασκίτης, απώλεια βάρους, καχεξία, δυσανεξία κρέατος, πρώιμη πληρότητα, </w:t>
      </w:r>
      <w:r w:rsidRPr="00BA0590">
        <w:rPr>
          <w:rFonts w:cstheme="minorHAnsi"/>
          <w:sz w:val="24"/>
          <w:szCs w:val="24"/>
          <w:lang w:val="en-US"/>
        </w:rPr>
        <w:t>Blumer</w:t>
      </w:r>
      <w:r w:rsidRPr="00BA0590">
        <w:rPr>
          <w:rFonts w:cstheme="minorHAnsi"/>
          <w:sz w:val="24"/>
          <w:szCs w:val="24"/>
        </w:rPr>
        <w:t xml:space="preserve"> </w:t>
      </w:r>
      <w:r w:rsidRPr="00BA0590">
        <w:rPr>
          <w:rFonts w:cstheme="minorHAnsi"/>
          <w:sz w:val="24"/>
          <w:szCs w:val="24"/>
          <w:lang w:val="en-US"/>
        </w:rPr>
        <w:t>sign</w:t>
      </w:r>
      <w:r w:rsidRPr="00BA0590">
        <w:rPr>
          <w:rFonts w:cstheme="minorHAnsi"/>
          <w:sz w:val="24"/>
          <w:szCs w:val="24"/>
        </w:rPr>
        <w:t xml:space="preserve"> (αποφολίδωση καρκινικών κυττάρων με ψηλαφητή μάζα περιορθικά), </w:t>
      </w:r>
      <w:r w:rsidRPr="00BA0590">
        <w:rPr>
          <w:rFonts w:cstheme="minorHAnsi"/>
          <w:sz w:val="24"/>
          <w:szCs w:val="24"/>
          <w:lang w:val="en-US"/>
        </w:rPr>
        <w:t>Krukenberg</w:t>
      </w:r>
      <w:r w:rsidRPr="00BA0590">
        <w:rPr>
          <w:rFonts w:cstheme="minorHAnsi"/>
          <w:sz w:val="24"/>
          <w:szCs w:val="24"/>
        </w:rPr>
        <w:t xml:space="preserve"> </w:t>
      </w:r>
      <w:r w:rsidRPr="00BA0590">
        <w:rPr>
          <w:rFonts w:cstheme="minorHAnsi"/>
          <w:sz w:val="24"/>
          <w:szCs w:val="24"/>
          <w:lang w:val="en-US"/>
        </w:rPr>
        <w:t>sign</w:t>
      </w:r>
      <w:r w:rsidRPr="00BA0590">
        <w:rPr>
          <w:rFonts w:cstheme="minorHAnsi"/>
          <w:sz w:val="24"/>
          <w:szCs w:val="24"/>
        </w:rPr>
        <w:t xml:space="preserve"> (αποφολίδωση καρκινικών κυττάρων στα έσω γεννητικά όργανα – </w:t>
      </w:r>
      <w:r w:rsidRPr="00BA0590">
        <w:rPr>
          <w:rFonts w:cstheme="minorHAnsi"/>
          <w:sz w:val="24"/>
          <w:szCs w:val="24"/>
          <w:lang w:val="en-US"/>
        </w:rPr>
        <w:t>frozen</w:t>
      </w:r>
      <w:r w:rsidRPr="00BA0590">
        <w:rPr>
          <w:rFonts w:cstheme="minorHAnsi"/>
          <w:sz w:val="24"/>
          <w:szCs w:val="24"/>
        </w:rPr>
        <w:t xml:space="preserve"> </w:t>
      </w:r>
      <w:r w:rsidRPr="00BA0590">
        <w:rPr>
          <w:rFonts w:cstheme="minorHAnsi"/>
          <w:sz w:val="24"/>
          <w:szCs w:val="24"/>
          <w:lang w:val="en-US"/>
        </w:rPr>
        <w:t>pelvis</w:t>
      </w:r>
      <w:r w:rsidRPr="00BA0590">
        <w:rPr>
          <w:rFonts w:cstheme="minorHAnsi"/>
          <w:sz w:val="24"/>
          <w:szCs w:val="24"/>
        </w:rPr>
        <w:t xml:space="preserve"> στις γυναίκες), </w:t>
      </w:r>
      <w:r w:rsidRPr="00BA0590">
        <w:rPr>
          <w:rFonts w:cstheme="minorHAnsi"/>
          <w:sz w:val="24"/>
          <w:szCs w:val="24"/>
          <w:lang w:val="en-US"/>
        </w:rPr>
        <w:t>Sister</w:t>
      </w:r>
      <w:r w:rsidRPr="00BA0590">
        <w:rPr>
          <w:rFonts w:cstheme="minorHAnsi"/>
          <w:sz w:val="24"/>
          <w:szCs w:val="24"/>
        </w:rPr>
        <w:t xml:space="preserve"> </w:t>
      </w:r>
      <w:r w:rsidRPr="00BA0590">
        <w:rPr>
          <w:rFonts w:cstheme="minorHAnsi"/>
          <w:sz w:val="24"/>
          <w:szCs w:val="24"/>
          <w:lang w:val="en-US"/>
        </w:rPr>
        <w:t>Mary</w:t>
      </w:r>
      <w:r w:rsidRPr="00BA0590">
        <w:rPr>
          <w:rFonts w:cstheme="minorHAnsi"/>
          <w:sz w:val="24"/>
          <w:szCs w:val="24"/>
        </w:rPr>
        <w:t xml:space="preserve"> </w:t>
      </w:r>
      <w:r w:rsidRPr="00BA0590">
        <w:rPr>
          <w:rFonts w:cstheme="minorHAnsi"/>
          <w:sz w:val="24"/>
          <w:szCs w:val="24"/>
          <w:lang w:val="en-US"/>
        </w:rPr>
        <w:t>Joseph</w:t>
      </w:r>
      <w:r w:rsidRPr="00BA0590">
        <w:rPr>
          <w:rFonts w:cstheme="minorHAnsi"/>
          <w:sz w:val="24"/>
          <w:szCs w:val="24"/>
        </w:rPr>
        <w:t xml:space="preserve"> </w:t>
      </w:r>
      <w:r w:rsidRPr="00BA0590">
        <w:rPr>
          <w:rFonts w:cstheme="minorHAnsi"/>
          <w:sz w:val="24"/>
          <w:szCs w:val="24"/>
          <w:lang w:val="en-US"/>
        </w:rPr>
        <w:t>sign</w:t>
      </w:r>
      <w:r w:rsidRPr="00BA0590">
        <w:rPr>
          <w:rFonts w:cstheme="minorHAnsi"/>
          <w:sz w:val="24"/>
          <w:szCs w:val="24"/>
        </w:rPr>
        <w:t xml:space="preserve"> (ψηλαφητός περομφαλικός λεμφαδένας λόγω μετάστασης δια της ομφαλικής φλέβας), </w:t>
      </w:r>
      <w:r w:rsidRPr="00BA0590">
        <w:rPr>
          <w:rFonts w:cstheme="minorHAnsi"/>
          <w:sz w:val="24"/>
          <w:szCs w:val="24"/>
          <w:lang w:val="en-US"/>
        </w:rPr>
        <w:t>Virchow</w:t>
      </w:r>
      <w:r w:rsidRPr="00BA0590">
        <w:rPr>
          <w:rFonts w:cstheme="minorHAnsi"/>
          <w:sz w:val="24"/>
          <w:szCs w:val="24"/>
        </w:rPr>
        <w:t xml:space="preserve"> </w:t>
      </w:r>
      <w:r w:rsidRPr="00BA0590">
        <w:rPr>
          <w:rFonts w:cstheme="minorHAnsi"/>
          <w:sz w:val="24"/>
          <w:szCs w:val="24"/>
          <w:lang w:val="en-US"/>
        </w:rPr>
        <w:t>sign</w:t>
      </w:r>
      <w:r w:rsidRPr="00BA0590">
        <w:rPr>
          <w:rFonts w:cstheme="minorHAnsi"/>
          <w:sz w:val="24"/>
          <w:szCs w:val="24"/>
        </w:rPr>
        <w:t xml:space="preserve"> (ψηλαφητός αριστερός υπερκλείδιος λεμφαδένας λόγω αποχέτευσης στο μείζονα θωρακικό πόρο), είναι ενδεικτικά νόσου τελικού σταδίου.</w:t>
      </w:r>
    </w:p>
    <w:p w:rsidR="00BA0590" w:rsidRPr="00BA0590" w:rsidRDefault="00BA0590" w:rsidP="00B66319">
      <w:pPr>
        <w:spacing w:after="0" w:line="240" w:lineRule="auto"/>
        <w:rPr>
          <w:rFonts w:cstheme="minorHAnsi"/>
          <w:b/>
          <w:sz w:val="24"/>
          <w:szCs w:val="24"/>
        </w:rPr>
      </w:pPr>
    </w:p>
    <w:p w:rsidR="00BA0590" w:rsidRPr="00BA0590" w:rsidRDefault="00BA0590" w:rsidP="00B66319">
      <w:pPr>
        <w:spacing w:after="0" w:line="240" w:lineRule="auto"/>
        <w:rPr>
          <w:rFonts w:cstheme="minorHAnsi"/>
          <w:b/>
          <w:sz w:val="24"/>
          <w:szCs w:val="24"/>
        </w:rPr>
      </w:pPr>
      <w:r w:rsidRPr="00BA0590">
        <w:rPr>
          <w:rFonts w:cstheme="minorHAnsi"/>
          <w:b/>
          <w:sz w:val="24"/>
          <w:szCs w:val="24"/>
        </w:rPr>
        <w:t>Διάγνωση</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rPr>
        <w:t>Ενδοσκόπηση (εξέταση εκλογής)</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rPr>
        <w:t xml:space="preserve">Ενδοσκοπικός υπέρηχος (επιβοηθά στην αναγνώριση διαβλεννογονίου επέκτασης – Τ3 με ευαισθησία 80% και παθολογικά διογκωμένων </w:t>
      </w:r>
      <w:r w:rsidRPr="00BA0590">
        <w:rPr>
          <w:rFonts w:cstheme="minorHAnsi"/>
          <w:sz w:val="24"/>
          <w:szCs w:val="24"/>
        </w:rPr>
        <w:lastRenderedPageBreak/>
        <w:t>λεμφαδένων με ευαισθησία 50%. Ωστόσο μειονεκτεί στην αξιολόγηση δεσμοπλαστικής αντίδρασης απομακρυσμένων λεμφαδένων.).</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rPr>
        <w:t>Αξονική τομογραφία (κοιλίας και θώρακα σε εγγείς όγκους). Αξιολόγηση μεταστατικής νόσου (μειωμένη ακρίβεια για διηθημένους λεμφαδένες).</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lang w:val="en-US"/>
        </w:rPr>
        <w:t>MRI</w:t>
      </w:r>
      <w:r w:rsidRPr="00BA0590">
        <w:rPr>
          <w:rFonts w:cstheme="minorHAnsi"/>
          <w:sz w:val="24"/>
          <w:szCs w:val="24"/>
        </w:rPr>
        <w:t xml:space="preserve"> όχι ανώτερη από </w:t>
      </w:r>
      <w:r w:rsidRPr="00BA0590">
        <w:rPr>
          <w:rFonts w:cstheme="minorHAnsi"/>
          <w:sz w:val="24"/>
          <w:szCs w:val="24"/>
          <w:lang w:val="en-US"/>
        </w:rPr>
        <w:t>CT</w:t>
      </w:r>
      <w:r w:rsidRPr="00BA0590">
        <w:rPr>
          <w:rFonts w:cstheme="minorHAnsi"/>
          <w:sz w:val="24"/>
          <w:szCs w:val="24"/>
        </w:rPr>
        <w:t>.</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lang w:val="en-US"/>
        </w:rPr>
        <w:t>PET</w:t>
      </w:r>
      <w:r w:rsidRPr="00BA0590">
        <w:rPr>
          <w:rFonts w:cstheme="minorHAnsi"/>
          <w:sz w:val="24"/>
          <w:szCs w:val="24"/>
        </w:rPr>
        <w:t xml:space="preserve"> (υποσχόμενα αποτελέσματα και στη διάγνωση και στην παρακολούθηση).</w:t>
      </w:r>
    </w:p>
    <w:p w:rsidR="00BA0590" w:rsidRPr="00BA0590" w:rsidRDefault="00BA0590" w:rsidP="00B66319">
      <w:pPr>
        <w:pStyle w:val="a7"/>
        <w:numPr>
          <w:ilvl w:val="0"/>
          <w:numId w:val="13"/>
        </w:numPr>
        <w:spacing w:after="0" w:line="240" w:lineRule="auto"/>
        <w:rPr>
          <w:rFonts w:cstheme="minorHAnsi"/>
          <w:sz w:val="24"/>
          <w:szCs w:val="24"/>
        </w:rPr>
      </w:pPr>
      <w:r w:rsidRPr="00BA0590">
        <w:rPr>
          <w:rFonts w:cstheme="minorHAnsi"/>
          <w:sz w:val="24"/>
          <w:szCs w:val="24"/>
        </w:rPr>
        <w:t>Διαγνωστική λαπαροσκόπηση με εκπλύσεις για κυτταρολογικό έλεγχο (αναγνωρίζει 20-30% αχειρούργητων ασθενών που με τις συμβατικές μεθόδους είχαν υποσταδιοποιηθεί). Ο θετικός κυτταρολογικός έλεγχος σχετίζεται με μικρότερη μέση επιβίωση.</w:t>
      </w:r>
    </w:p>
    <w:p w:rsidR="00BA0590" w:rsidRPr="00BA0590" w:rsidRDefault="00BA0590" w:rsidP="00B66319">
      <w:pPr>
        <w:spacing w:after="0" w:line="240" w:lineRule="auto"/>
        <w:rPr>
          <w:rFonts w:cstheme="minorHAnsi"/>
          <w:b/>
          <w:sz w:val="24"/>
          <w:szCs w:val="24"/>
        </w:rPr>
      </w:pPr>
    </w:p>
    <w:p w:rsidR="00BA0590" w:rsidRPr="00BA0590" w:rsidRDefault="00BA0590" w:rsidP="00B66319">
      <w:pPr>
        <w:spacing w:after="0" w:line="240" w:lineRule="auto"/>
        <w:rPr>
          <w:rFonts w:cstheme="minorHAnsi"/>
          <w:b/>
          <w:sz w:val="24"/>
          <w:szCs w:val="24"/>
        </w:rPr>
      </w:pPr>
      <w:r w:rsidRPr="00BA0590">
        <w:rPr>
          <w:rFonts w:cstheme="minorHAnsi"/>
          <w:b/>
          <w:sz w:val="24"/>
          <w:szCs w:val="24"/>
        </w:rPr>
        <w:t>Χειρουργική θεραπεία</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R</w:t>
      </w:r>
      <w:r w:rsidRPr="00BA0590">
        <w:rPr>
          <w:rFonts w:cstheme="minorHAnsi"/>
          <w:sz w:val="24"/>
          <w:szCs w:val="24"/>
        </w:rPr>
        <w:t xml:space="preserve">0 </w:t>
      </w:r>
      <w:r w:rsidRPr="00BA0590">
        <w:rPr>
          <w:rFonts w:cstheme="minorHAnsi"/>
          <w:sz w:val="24"/>
          <w:szCs w:val="24"/>
        </w:rPr>
        <w:tab/>
        <w:t>εκτομή χωρίς μικρο- ή μακροσκοπικό υπόλειμμα νόσου</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R</w:t>
      </w:r>
      <w:r w:rsidRPr="00BA0590">
        <w:rPr>
          <w:rFonts w:cstheme="minorHAnsi"/>
          <w:sz w:val="24"/>
          <w:szCs w:val="24"/>
        </w:rPr>
        <w:t>1</w:t>
      </w:r>
      <w:r w:rsidRPr="00BA0590">
        <w:rPr>
          <w:rFonts w:cstheme="minorHAnsi"/>
          <w:sz w:val="24"/>
          <w:szCs w:val="24"/>
        </w:rPr>
        <w:tab/>
        <w:t>εκτομή με μικρο- χωρίς μακροσκοπικό υπόλειμμα νόσου</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R</w:t>
      </w:r>
      <w:r w:rsidRPr="00BA0590">
        <w:rPr>
          <w:rFonts w:cstheme="minorHAnsi"/>
          <w:sz w:val="24"/>
          <w:szCs w:val="24"/>
        </w:rPr>
        <w:t>2</w:t>
      </w:r>
      <w:r w:rsidRPr="00BA0590">
        <w:rPr>
          <w:rFonts w:cstheme="minorHAnsi"/>
          <w:sz w:val="24"/>
          <w:szCs w:val="24"/>
        </w:rPr>
        <w:tab/>
        <w:t>εκτομή με μικρο- και μακροσκοπικό υπόλειμμα νόσου</w:t>
      </w:r>
    </w:p>
    <w:p w:rsidR="00BA0590" w:rsidRPr="00BA0590" w:rsidRDefault="00BA0590" w:rsidP="00B66319">
      <w:pPr>
        <w:spacing w:after="0" w:line="240" w:lineRule="auto"/>
        <w:rPr>
          <w:rFonts w:cstheme="minorHAnsi"/>
          <w:sz w:val="24"/>
          <w:szCs w:val="24"/>
          <w:u w:val="single"/>
        </w:rPr>
      </w:pPr>
      <w:r w:rsidRPr="00BA0590">
        <w:rPr>
          <w:rFonts w:cstheme="minorHAnsi"/>
          <w:sz w:val="24"/>
          <w:szCs w:val="24"/>
          <w:u w:val="single"/>
        </w:rPr>
        <w:t>Έκταση της γαστρεκτομής</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Δεν υπάρχει διαφορά στην επιβίωση ασθενών που υποβάλλονται σε υφολική ή ολική γαστρεκτομή εφόσον η εκτομή είναι </w:t>
      </w:r>
      <w:r w:rsidRPr="00BA0590">
        <w:rPr>
          <w:rFonts w:cstheme="minorHAnsi"/>
          <w:sz w:val="24"/>
          <w:szCs w:val="24"/>
          <w:lang w:val="en-US"/>
        </w:rPr>
        <w:t>R</w:t>
      </w:r>
      <w:r w:rsidRPr="00BA0590">
        <w:rPr>
          <w:rFonts w:cstheme="minorHAnsi"/>
          <w:sz w:val="24"/>
          <w:szCs w:val="24"/>
        </w:rPr>
        <w:t>0, ενώ η ποιότητα ζωής είναι καλύτερη στην υφολική.</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Η κεντρική γαστρεκτομή φαίνεται να είναι αντίστοιχη ογκολογικά με την ολική γαστρεκτομή, ωστόσο δε θεωρείται ακόμη επέμβαση εκλογής στους υψηλούς όγκους λόγω επιπλοκών. Το πλεονέκτημά της είναι η διατήρηση ενός γαστρικού </w:t>
      </w:r>
      <w:r w:rsidRPr="00BA0590">
        <w:rPr>
          <w:rFonts w:cstheme="minorHAnsi"/>
          <w:sz w:val="24"/>
          <w:szCs w:val="24"/>
          <w:lang w:val="en-US"/>
        </w:rPr>
        <w:t>reservoir</w:t>
      </w:r>
      <w:r w:rsidRPr="00BA0590">
        <w:rPr>
          <w:rFonts w:cstheme="minorHAnsi"/>
          <w:sz w:val="24"/>
          <w:szCs w:val="24"/>
        </w:rPr>
        <w:t xml:space="preserve"> Οι υψηλοί όγκοι διακρίνονται σε 3 κατηγορίες (ταξινόμηση </w:t>
      </w:r>
      <w:r w:rsidRPr="00BA0590">
        <w:rPr>
          <w:rFonts w:cstheme="minorHAnsi"/>
          <w:sz w:val="24"/>
          <w:szCs w:val="24"/>
          <w:lang w:val="en-US"/>
        </w:rPr>
        <w:t>Siewert</w:t>
      </w:r>
      <w:r w:rsidRPr="00BA0590">
        <w:rPr>
          <w:rFonts w:cstheme="minorHAnsi"/>
          <w:sz w:val="24"/>
          <w:szCs w:val="24"/>
        </w:rPr>
        <w:t>):</w:t>
      </w:r>
    </w:p>
    <w:p w:rsidR="00BA0590" w:rsidRPr="00BA0590" w:rsidRDefault="00BA0590" w:rsidP="00B66319">
      <w:pPr>
        <w:pStyle w:val="a7"/>
        <w:numPr>
          <w:ilvl w:val="0"/>
          <w:numId w:val="14"/>
        </w:numPr>
        <w:spacing w:after="0" w:line="240" w:lineRule="auto"/>
        <w:rPr>
          <w:rFonts w:cstheme="minorHAnsi"/>
          <w:sz w:val="24"/>
          <w:szCs w:val="24"/>
        </w:rPr>
      </w:pPr>
      <w:r w:rsidRPr="00BA0590">
        <w:rPr>
          <w:rFonts w:cstheme="minorHAnsi"/>
          <w:sz w:val="24"/>
          <w:szCs w:val="24"/>
        </w:rPr>
        <w:t xml:space="preserve">Όγκοι σχετιζόμενοι με οισοφάγο </w:t>
      </w:r>
      <w:r w:rsidRPr="00BA0590">
        <w:rPr>
          <w:rFonts w:cstheme="minorHAnsi"/>
          <w:sz w:val="24"/>
          <w:szCs w:val="24"/>
          <w:lang w:val="en-US"/>
        </w:rPr>
        <w:t>Barrett</w:t>
      </w:r>
      <w:r w:rsidRPr="00BA0590">
        <w:rPr>
          <w:rFonts w:cstheme="minorHAnsi"/>
          <w:sz w:val="24"/>
          <w:szCs w:val="24"/>
        </w:rPr>
        <w:t xml:space="preserve"> ή όγκοι του οισοφάγου που επεκτείνονται επί της συμβολής. Αντιμετωπίζονται με </w:t>
      </w:r>
      <w:r w:rsidRPr="00BA0590">
        <w:rPr>
          <w:rFonts w:cstheme="minorHAnsi"/>
          <w:sz w:val="24"/>
          <w:szCs w:val="24"/>
          <w:lang w:val="en-US"/>
        </w:rPr>
        <w:t>Ivor</w:t>
      </w:r>
      <w:r w:rsidRPr="00BA0590">
        <w:rPr>
          <w:rFonts w:cstheme="minorHAnsi"/>
          <w:sz w:val="24"/>
          <w:szCs w:val="24"/>
        </w:rPr>
        <w:t>-</w:t>
      </w:r>
      <w:r w:rsidRPr="00BA0590">
        <w:rPr>
          <w:rFonts w:cstheme="minorHAnsi"/>
          <w:sz w:val="24"/>
          <w:szCs w:val="24"/>
          <w:lang w:val="en-US"/>
        </w:rPr>
        <w:t>Lewis</w:t>
      </w:r>
      <w:r w:rsidRPr="00BA0590">
        <w:rPr>
          <w:rFonts w:cstheme="minorHAnsi"/>
          <w:sz w:val="24"/>
          <w:szCs w:val="24"/>
        </w:rPr>
        <w:t xml:space="preserve"> οισοφαγογαστρεκτομή ή γαστρική έλξη και υψηλή αναστόμωση.</w:t>
      </w:r>
    </w:p>
    <w:p w:rsidR="00BA0590" w:rsidRPr="00BA0590" w:rsidRDefault="00BA0590" w:rsidP="00B66319">
      <w:pPr>
        <w:pStyle w:val="a7"/>
        <w:numPr>
          <w:ilvl w:val="0"/>
          <w:numId w:val="14"/>
        </w:numPr>
        <w:spacing w:after="0" w:line="240" w:lineRule="auto"/>
        <w:rPr>
          <w:rFonts w:cstheme="minorHAnsi"/>
          <w:sz w:val="24"/>
          <w:szCs w:val="24"/>
        </w:rPr>
      </w:pPr>
      <w:r w:rsidRPr="00BA0590">
        <w:rPr>
          <w:rFonts w:cstheme="minorHAnsi"/>
          <w:sz w:val="24"/>
          <w:szCs w:val="24"/>
        </w:rPr>
        <w:t>Πραγματικοί όγκοι της καρδιοοισοφαγικής συμβολής (εντός 2 εκ από τη συμβολή πλακώδους και κυλινδρικού επιθηλίου). Αντιμετωπίζονται με ολική ή κεντρική γαστρεκτομή.</w:t>
      </w:r>
    </w:p>
    <w:p w:rsidR="00BA0590" w:rsidRPr="00BA0590" w:rsidRDefault="00BA0590" w:rsidP="00B66319">
      <w:pPr>
        <w:pStyle w:val="a7"/>
        <w:numPr>
          <w:ilvl w:val="0"/>
          <w:numId w:val="14"/>
        </w:numPr>
        <w:spacing w:after="0" w:line="240" w:lineRule="auto"/>
        <w:rPr>
          <w:rFonts w:cstheme="minorHAnsi"/>
          <w:sz w:val="24"/>
          <w:szCs w:val="24"/>
        </w:rPr>
      </w:pPr>
      <w:r w:rsidRPr="00BA0590">
        <w:rPr>
          <w:rFonts w:cstheme="minorHAnsi"/>
          <w:sz w:val="24"/>
          <w:szCs w:val="24"/>
        </w:rPr>
        <w:t>Υποκαρδιακοί όγκοι. Αντιμετωπίζονται με ολική ή κεντρική γαστρεκτομή.</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6 εκ όριο στους εντερικού τύπου όγκους και 8-10 εκ όριο στους διάχυτου τύπου όγκους είναι αναγκαία, λόγω της μικροσκοπικής υποβλεννογονίου διήθησης από καρκινικά κύτταρα. Οι ταχείες βιοψίες για επίτευξη αρνητικών μικροσκοπικά ορίων εκτομής έχουν όφελος επί Ν0 ή Ν1 νόσου. </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Στην Ιαπωνία, σε πολύ πρώιμο γαστρικό καρκίνωμα (εντοπισμένο μόνο στο βλεννογόνο σύμφωνα με </w:t>
      </w:r>
      <w:r w:rsidRPr="00BA0590">
        <w:rPr>
          <w:rFonts w:cstheme="minorHAnsi"/>
          <w:sz w:val="24"/>
          <w:szCs w:val="24"/>
          <w:lang w:val="en-US"/>
        </w:rPr>
        <w:t>EUS</w:t>
      </w:r>
      <w:r w:rsidRPr="00BA0590">
        <w:rPr>
          <w:rFonts w:cstheme="minorHAnsi"/>
          <w:sz w:val="24"/>
          <w:szCs w:val="24"/>
        </w:rPr>
        <w:t>), διενεργείται και ενδοσκοπική εξαίρεση σε υγιή όρια, μια τεχνική που καλείται ενδοσκοπική βλεννογονική εκτομή (</w:t>
      </w:r>
      <w:r w:rsidRPr="00BA0590">
        <w:rPr>
          <w:rFonts w:cstheme="minorHAnsi"/>
          <w:sz w:val="24"/>
          <w:szCs w:val="24"/>
          <w:lang w:val="en-US"/>
        </w:rPr>
        <w:t>Endoscopic</w:t>
      </w:r>
      <w:r w:rsidRPr="00BA0590">
        <w:rPr>
          <w:rFonts w:cstheme="minorHAnsi"/>
          <w:sz w:val="24"/>
          <w:szCs w:val="24"/>
        </w:rPr>
        <w:t xml:space="preserve"> </w:t>
      </w:r>
      <w:r w:rsidRPr="00BA0590">
        <w:rPr>
          <w:rFonts w:cstheme="minorHAnsi"/>
          <w:sz w:val="24"/>
          <w:szCs w:val="24"/>
          <w:lang w:val="en-US"/>
        </w:rPr>
        <w:t>Mucosal</w:t>
      </w:r>
      <w:r w:rsidRPr="00BA0590">
        <w:rPr>
          <w:rFonts w:cstheme="minorHAnsi"/>
          <w:sz w:val="24"/>
          <w:szCs w:val="24"/>
        </w:rPr>
        <w:t xml:space="preserve"> </w:t>
      </w:r>
      <w:r w:rsidRPr="00BA0590">
        <w:rPr>
          <w:rFonts w:cstheme="minorHAnsi"/>
          <w:sz w:val="24"/>
          <w:szCs w:val="24"/>
          <w:lang w:val="en-US"/>
        </w:rPr>
        <w:t>Resection</w:t>
      </w:r>
      <w:r w:rsidRPr="00BA0590">
        <w:rPr>
          <w:rFonts w:cstheme="minorHAnsi"/>
          <w:sz w:val="24"/>
          <w:szCs w:val="24"/>
        </w:rPr>
        <w:t xml:space="preserve"> – </w:t>
      </w:r>
      <w:r w:rsidRPr="00BA0590">
        <w:rPr>
          <w:rFonts w:cstheme="minorHAnsi"/>
          <w:sz w:val="24"/>
          <w:szCs w:val="24"/>
          <w:lang w:val="en-US"/>
        </w:rPr>
        <w:t>EMR</w:t>
      </w:r>
      <w:r w:rsidRPr="00BA0590">
        <w:rPr>
          <w:rFonts w:cstheme="minorHAnsi"/>
          <w:sz w:val="24"/>
          <w:szCs w:val="24"/>
        </w:rPr>
        <w:t>). Η εμπειρία στις δυτικές χώρες είναι πολύ μικρή. Η μέθοδος απαιτεί πολύ προσεκτική ιστολογική εξέταση του παρασκευάσματος ενώ μειονεκτεί στο ότι δε γίνεται αξιολόγηση των λεμφαδένων.</w:t>
      </w:r>
    </w:p>
    <w:p w:rsidR="00BA0590" w:rsidRPr="00BA0590" w:rsidRDefault="00BA0590" w:rsidP="00B66319">
      <w:pPr>
        <w:spacing w:after="0" w:line="240" w:lineRule="auto"/>
        <w:rPr>
          <w:rFonts w:cstheme="minorHAnsi"/>
          <w:sz w:val="24"/>
          <w:szCs w:val="24"/>
          <w:u w:val="single"/>
        </w:rPr>
      </w:pPr>
      <w:r w:rsidRPr="00BA0590">
        <w:rPr>
          <w:rFonts w:cstheme="minorHAnsi"/>
          <w:sz w:val="24"/>
          <w:szCs w:val="24"/>
          <w:u w:val="single"/>
        </w:rPr>
        <w:t>Έκταση της λεμφαδενεκτομής</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D</w:t>
      </w:r>
      <w:r w:rsidRPr="00BA0590">
        <w:rPr>
          <w:rFonts w:cstheme="minorHAnsi"/>
          <w:sz w:val="24"/>
          <w:szCs w:val="24"/>
        </w:rPr>
        <w:t>0: Παρηγορητικό χειρουργείο – χωρίς εξαίρεση λεμφαδενικού ιστού</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D</w:t>
      </w:r>
      <w:r w:rsidRPr="00BA0590">
        <w:rPr>
          <w:rFonts w:cstheme="minorHAnsi"/>
          <w:sz w:val="24"/>
          <w:szCs w:val="24"/>
        </w:rPr>
        <w:t>1: Περιγαστρικοί (έως 3 εκ) λεμφαδενικοί σταθμοί (αριστεροί και δεξιοί καρδιακοί, ελάσσονος και μείζονος τόξου, υπο- και υπερπυλωρικοί)</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t>D</w:t>
      </w:r>
      <w:r w:rsidRPr="00BA0590">
        <w:rPr>
          <w:rFonts w:cstheme="minorHAnsi"/>
          <w:sz w:val="24"/>
          <w:szCs w:val="24"/>
        </w:rPr>
        <w:t>2: + Λεμφαδένες του κοιλιακού άξονα (κοιλιακή, ηπατική, αριστερή γαστρική, σπληνική αρτηρία και πύλες σπλήνα)</w:t>
      </w:r>
    </w:p>
    <w:p w:rsidR="00BA0590" w:rsidRPr="00BA0590" w:rsidRDefault="00BA0590" w:rsidP="00B66319">
      <w:pPr>
        <w:spacing w:after="0" w:line="240" w:lineRule="auto"/>
        <w:rPr>
          <w:rFonts w:cstheme="minorHAnsi"/>
          <w:sz w:val="24"/>
          <w:szCs w:val="24"/>
        </w:rPr>
      </w:pPr>
      <w:r w:rsidRPr="00BA0590">
        <w:rPr>
          <w:rFonts w:cstheme="minorHAnsi"/>
          <w:sz w:val="24"/>
          <w:szCs w:val="24"/>
          <w:lang w:val="en-US"/>
        </w:rPr>
        <w:lastRenderedPageBreak/>
        <w:t>D</w:t>
      </w:r>
      <w:r w:rsidRPr="00BA0590">
        <w:rPr>
          <w:rFonts w:cstheme="minorHAnsi"/>
          <w:sz w:val="24"/>
          <w:szCs w:val="24"/>
        </w:rPr>
        <w:t>3: + Λεμφαδένες πυλαίας, ηπατοδωδεκαδακτυλικού συνδέσμου, οπισθοπαγκρεατικοί, μεσοκολικοί (εγκάρσιο) και παραορτικοί.</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Η έκταση της λεμφαδενεκτομής είναι ακόμη αντικείμενο συζητήσεων. Οι Ιάπωνες χειρουργοί προτείνουν ότι θεραπευτικό χειρουργείο απαιτεί λεμφαδενεκτομή ενός σταδίου παραπάνω από τη μακροσκοπική λεμφαδενική συμμετοχή και έχουν υιοθετήσει κυρίως τη </w:t>
      </w:r>
      <w:r w:rsidRPr="00BA0590">
        <w:rPr>
          <w:rFonts w:cstheme="minorHAnsi"/>
          <w:sz w:val="24"/>
          <w:szCs w:val="24"/>
          <w:lang w:val="en-US"/>
        </w:rPr>
        <w:t>D</w:t>
      </w:r>
      <w:r w:rsidRPr="00BA0590">
        <w:rPr>
          <w:rFonts w:cstheme="minorHAnsi"/>
          <w:sz w:val="24"/>
          <w:szCs w:val="24"/>
        </w:rPr>
        <w:t xml:space="preserve">2 λεμφαδενεκτομή. </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Οι δυτικοί χειρουργοί θεωρούν πως εκτεταμένη λεμφαδενική συμμετοχή υποδεικνύει μεταστατική νόσο και πως η εκτεταμένη λεμφαδενεκτομή έχει περισσότερη αξία στην καλύτερη σταδιοποίηση παρά στην πρόγνωση και υιοθετούν την </w:t>
      </w:r>
      <w:r w:rsidRPr="00BA0590">
        <w:rPr>
          <w:rFonts w:cstheme="minorHAnsi"/>
          <w:sz w:val="24"/>
          <w:szCs w:val="24"/>
          <w:lang w:val="en-US"/>
        </w:rPr>
        <w:t>D</w:t>
      </w:r>
      <w:r w:rsidRPr="00BA0590">
        <w:rPr>
          <w:rFonts w:cstheme="minorHAnsi"/>
          <w:sz w:val="24"/>
          <w:szCs w:val="24"/>
        </w:rPr>
        <w:t>1 λεμφαδενεκτομή.</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Ορισμένες μελέτες έχουν δείξει πως η </w:t>
      </w:r>
      <w:r w:rsidRPr="00BA0590">
        <w:rPr>
          <w:rFonts w:cstheme="minorHAnsi"/>
          <w:sz w:val="24"/>
          <w:szCs w:val="24"/>
          <w:lang w:val="en-US"/>
        </w:rPr>
        <w:t>D</w:t>
      </w:r>
      <w:r w:rsidRPr="00BA0590">
        <w:rPr>
          <w:rFonts w:cstheme="minorHAnsi"/>
          <w:sz w:val="24"/>
          <w:szCs w:val="24"/>
        </w:rPr>
        <w:t xml:space="preserve">2 σχετίζεται με μεγαλύτερη νοσηρότητα έναντι της </w:t>
      </w:r>
      <w:r w:rsidRPr="00BA0590">
        <w:rPr>
          <w:rFonts w:cstheme="minorHAnsi"/>
          <w:sz w:val="24"/>
          <w:szCs w:val="24"/>
          <w:lang w:val="en-US"/>
        </w:rPr>
        <w:t>D</w:t>
      </w:r>
      <w:r w:rsidRPr="00BA0590">
        <w:rPr>
          <w:rFonts w:cstheme="minorHAnsi"/>
          <w:sz w:val="24"/>
          <w:szCs w:val="24"/>
        </w:rPr>
        <w:t xml:space="preserve">1 χωρίς να αυξάνει την επιβίωση, αν και η μεγαλύτερη νοσηρότητα μπορεί να οφείλεται στη συχνά διενεργούμενη περιφερική παγκρεατεκτομή και σπληνεκτομή. Άλλες μελέτες δείχνουν καλύτερη επιβίωση σε </w:t>
      </w:r>
      <w:r w:rsidRPr="00BA0590">
        <w:rPr>
          <w:rFonts w:cstheme="minorHAnsi"/>
          <w:sz w:val="24"/>
          <w:szCs w:val="24"/>
          <w:lang w:val="en-US"/>
        </w:rPr>
        <w:t>D</w:t>
      </w:r>
      <w:r w:rsidRPr="00BA0590">
        <w:rPr>
          <w:rFonts w:cstheme="minorHAnsi"/>
          <w:sz w:val="24"/>
          <w:szCs w:val="24"/>
        </w:rPr>
        <w:t xml:space="preserve">2 με ανάλογη νοσηρότητα, εφόσον εκτελείται σε έμπειρα χέρια. </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Με βάση και την καλύτερη σταδιοποίηση που προσφέρει, η </w:t>
      </w:r>
      <w:r w:rsidRPr="00BA0590">
        <w:rPr>
          <w:rFonts w:cstheme="minorHAnsi"/>
          <w:sz w:val="24"/>
          <w:szCs w:val="24"/>
          <w:lang w:val="en-US"/>
        </w:rPr>
        <w:t>D</w:t>
      </w:r>
      <w:r w:rsidRPr="00BA0590">
        <w:rPr>
          <w:rFonts w:cstheme="minorHAnsi"/>
          <w:sz w:val="24"/>
          <w:szCs w:val="24"/>
        </w:rPr>
        <w:t>2 λεμφαδενεκτομή χωρίς σπληνεκτομή ή περιφερική παγκρεατεκτομή προτείνεται εφόσον γίνεται από έμπειρους χειρουργούς.</w:t>
      </w:r>
    </w:p>
    <w:p w:rsidR="00BA0590" w:rsidRPr="00BA0590" w:rsidRDefault="00BA0590" w:rsidP="00B66319">
      <w:pPr>
        <w:spacing w:after="0" w:line="240" w:lineRule="auto"/>
        <w:rPr>
          <w:rFonts w:cstheme="minorHAnsi"/>
          <w:sz w:val="24"/>
          <w:szCs w:val="24"/>
        </w:rPr>
      </w:pPr>
    </w:p>
    <w:p w:rsidR="00BA0590" w:rsidRPr="00B66319" w:rsidRDefault="00BA0590" w:rsidP="00B66319">
      <w:pPr>
        <w:spacing w:after="0" w:line="240" w:lineRule="auto"/>
        <w:rPr>
          <w:rFonts w:cstheme="minorHAnsi"/>
          <w:sz w:val="24"/>
          <w:szCs w:val="24"/>
        </w:rPr>
      </w:pPr>
      <w:r w:rsidRPr="00BA0590">
        <w:rPr>
          <w:rFonts w:cstheme="minorHAnsi"/>
          <w:sz w:val="24"/>
          <w:szCs w:val="24"/>
        </w:rPr>
        <w:t xml:space="preserve"> </w:t>
      </w:r>
      <w:r w:rsidRPr="00BA0590">
        <w:rPr>
          <w:rFonts w:cstheme="minorHAnsi"/>
          <w:sz w:val="24"/>
          <w:szCs w:val="24"/>
        </w:rPr>
        <w:tab/>
      </w:r>
      <w:r w:rsidRPr="00BA0590">
        <w:rPr>
          <w:rFonts w:cstheme="minorHAnsi"/>
          <w:sz w:val="24"/>
          <w:szCs w:val="24"/>
        </w:rPr>
        <w:tab/>
      </w:r>
      <w:r w:rsidRPr="00BA0590">
        <w:rPr>
          <w:rFonts w:cstheme="minorHAnsi"/>
          <w:sz w:val="24"/>
          <w:szCs w:val="24"/>
        </w:rPr>
        <w:tab/>
      </w:r>
      <w:r w:rsidRPr="00BA0590">
        <w:rPr>
          <w:rFonts w:cstheme="minorHAnsi"/>
          <w:sz w:val="24"/>
          <w:szCs w:val="24"/>
          <w:lang w:val="en-US"/>
        </w:rPr>
        <w:t>D</w:t>
      </w:r>
      <w:r w:rsidRPr="00B66319">
        <w:rPr>
          <w:rFonts w:cstheme="minorHAnsi"/>
          <w:sz w:val="24"/>
          <w:szCs w:val="24"/>
        </w:rPr>
        <w:t xml:space="preserve">1 </w:t>
      </w:r>
      <w:r w:rsidRPr="00B66319">
        <w:rPr>
          <w:rFonts w:cstheme="minorHAnsi"/>
          <w:sz w:val="24"/>
          <w:szCs w:val="24"/>
        </w:rPr>
        <w:tab/>
      </w:r>
      <w:r w:rsidRPr="00B66319">
        <w:rPr>
          <w:rFonts w:cstheme="minorHAnsi"/>
          <w:sz w:val="24"/>
          <w:szCs w:val="24"/>
        </w:rPr>
        <w:tab/>
      </w:r>
      <w:r w:rsidRPr="00B66319">
        <w:rPr>
          <w:rFonts w:cstheme="minorHAnsi"/>
          <w:sz w:val="24"/>
          <w:szCs w:val="24"/>
        </w:rPr>
        <w:tab/>
      </w:r>
      <w:r w:rsidRPr="00B66319">
        <w:rPr>
          <w:rFonts w:cstheme="minorHAnsi"/>
          <w:sz w:val="24"/>
          <w:szCs w:val="24"/>
        </w:rPr>
        <w:tab/>
      </w:r>
      <w:r w:rsidRPr="00B66319">
        <w:rPr>
          <w:rFonts w:cstheme="minorHAnsi"/>
          <w:sz w:val="24"/>
          <w:szCs w:val="24"/>
        </w:rPr>
        <w:tab/>
      </w:r>
      <w:r w:rsidRPr="00B66319">
        <w:rPr>
          <w:rFonts w:cstheme="minorHAnsi"/>
          <w:sz w:val="24"/>
          <w:szCs w:val="24"/>
        </w:rPr>
        <w:tab/>
      </w:r>
      <w:r w:rsidRPr="00BA0590">
        <w:rPr>
          <w:rFonts w:cstheme="minorHAnsi"/>
          <w:sz w:val="24"/>
          <w:szCs w:val="24"/>
          <w:lang w:val="en-US"/>
        </w:rPr>
        <w:t>D</w:t>
      </w:r>
      <w:r w:rsidRPr="00B66319">
        <w:rPr>
          <w:rFonts w:cstheme="minorHAnsi"/>
          <w:sz w:val="24"/>
          <w:szCs w:val="24"/>
        </w:rPr>
        <w:t>2</w:t>
      </w:r>
      <w:r w:rsidRPr="00BA0590">
        <w:rPr>
          <w:rFonts w:cstheme="minorHAnsi"/>
          <w:noProof/>
          <w:sz w:val="24"/>
          <w:szCs w:val="24"/>
        </w:rPr>
        <w:drawing>
          <wp:inline distT="0" distB="0" distL="0" distR="0">
            <wp:extent cx="5838825" cy="4305300"/>
            <wp:effectExtent l="19050" t="0" r="9525" b="0"/>
            <wp:docPr id="4" name="Εικόνα 4" descr="C:\Documents and Settings\ΚΩΣΤΑΣ ΒΑΓΙΑΝΟΣ\Επιφάνεια εργασίας\efi2.jpg"/>
            <wp:cNvGraphicFramePr/>
            <a:graphic xmlns:a="http://schemas.openxmlformats.org/drawingml/2006/main">
              <a:graphicData uri="http://schemas.openxmlformats.org/drawingml/2006/picture">
                <pic:pic xmlns:pic="http://schemas.openxmlformats.org/drawingml/2006/picture">
                  <pic:nvPicPr>
                    <pic:cNvPr id="316418" name="Picture 2" descr="C:\Documents and Settings\ΚΩΣΤΑΣ ΒΑΓΙΑΝΟΣ\Επιφάνεια εργασίας\efi2.jpg"/>
                    <pic:cNvPicPr>
                      <a:picLocks noChangeAspect="1" noChangeArrowheads="1"/>
                    </pic:cNvPicPr>
                  </pic:nvPicPr>
                  <pic:blipFill>
                    <a:blip r:embed="rId8" cstate="print"/>
                    <a:srcRect/>
                    <a:stretch>
                      <a:fillRect/>
                    </a:stretch>
                  </pic:blipFill>
                  <pic:spPr bwMode="auto">
                    <a:xfrm>
                      <a:off x="0" y="0"/>
                      <a:ext cx="5846138" cy="4310692"/>
                    </a:xfrm>
                    <a:prstGeom prst="rect">
                      <a:avLst/>
                    </a:prstGeom>
                    <a:noFill/>
                  </pic:spPr>
                </pic:pic>
              </a:graphicData>
            </a:graphic>
          </wp:inline>
        </w:drawing>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r w:rsidRPr="00B66319">
        <w:rPr>
          <w:rFonts w:cstheme="minorHAnsi"/>
          <w:sz w:val="24"/>
          <w:szCs w:val="24"/>
        </w:rPr>
        <w:tab/>
      </w:r>
      <w:r w:rsidRPr="00B66319">
        <w:rPr>
          <w:rFonts w:cstheme="minorHAnsi"/>
          <w:sz w:val="24"/>
          <w:szCs w:val="24"/>
        </w:rPr>
        <w:tab/>
      </w:r>
      <w:r w:rsidRPr="00B66319">
        <w:rPr>
          <w:rFonts w:cstheme="minorHAnsi"/>
          <w:sz w:val="24"/>
          <w:szCs w:val="24"/>
        </w:rPr>
        <w:tab/>
      </w:r>
      <w:r w:rsidRPr="00BA0590">
        <w:rPr>
          <w:rFonts w:cstheme="minorHAnsi"/>
          <w:sz w:val="24"/>
          <w:szCs w:val="24"/>
          <w:lang w:val="en-US"/>
        </w:rPr>
        <w:t>D</w:t>
      </w:r>
      <w:r w:rsidRPr="00BA0590">
        <w:rPr>
          <w:rFonts w:cstheme="minorHAnsi"/>
          <w:sz w:val="24"/>
          <w:szCs w:val="24"/>
        </w:rPr>
        <w:t>3</w:t>
      </w:r>
    </w:p>
    <w:p w:rsidR="00BA0590" w:rsidRPr="00BA0590" w:rsidRDefault="00BA0590" w:rsidP="00B66319">
      <w:pPr>
        <w:spacing w:after="0" w:line="240" w:lineRule="auto"/>
        <w:rPr>
          <w:rFonts w:cstheme="minorHAnsi"/>
          <w:sz w:val="24"/>
          <w:szCs w:val="24"/>
        </w:rPr>
      </w:pPr>
    </w:p>
    <w:p w:rsidR="00BA0590" w:rsidRPr="00B66319"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b/>
          <w:sz w:val="24"/>
          <w:szCs w:val="24"/>
        </w:rPr>
      </w:pPr>
      <w:r w:rsidRPr="00BA0590">
        <w:rPr>
          <w:rFonts w:cstheme="minorHAnsi"/>
          <w:b/>
          <w:sz w:val="24"/>
          <w:szCs w:val="24"/>
        </w:rPr>
        <w:lastRenderedPageBreak/>
        <w:t>Χειρουργική τεχνική (</w:t>
      </w:r>
      <w:r w:rsidRPr="00BA0590">
        <w:rPr>
          <w:rFonts w:cstheme="minorHAnsi"/>
          <w:b/>
          <w:sz w:val="24"/>
          <w:szCs w:val="24"/>
          <w:lang w:val="en-US"/>
        </w:rPr>
        <w:t>D</w:t>
      </w:r>
      <w:r w:rsidRPr="00BA0590">
        <w:rPr>
          <w:rFonts w:cstheme="minorHAnsi"/>
          <w:b/>
          <w:sz w:val="24"/>
          <w:szCs w:val="24"/>
        </w:rPr>
        <w:t>2-</w:t>
      </w:r>
      <w:r w:rsidRPr="00BA0590">
        <w:rPr>
          <w:rFonts w:cstheme="minorHAnsi"/>
          <w:b/>
          <w:sz w:val="24"/>
          <w:szCs w:val="24"/>
          <w:lang w:val="en-US"/>
        </w:rPr>
        <w:t>R</w:t>
      </w:r>
      <w:r w:rsidRPr="00BA0590">
        <w:rPr>
          <w:rFonts w:cstheme="minorHAnsi"/>
          <w:b/>
          <w:sz w:val="24"/>
          <w:szCs w:val="24"/>
        </w:rPr>
        <w:t>0 γαστρεκτομή)</w:t>
      </w:r>
    </w:p>
    <w:p w:rsidR="00BA0590" w:rsidRPr="00BA0590" w:rsidRDefault="00BA0590" w:rsidP="00B66319">
      <w:pPr>
        <w:spacing w:after="0" w:line="240" w:lineRule="auto"/>
        <w:rPr>
          <w:rFonts w:cstheme="minorHAnsi"/>
          <w:sz w:val="24"/>
          <w:szCs w:val="24"/>
          <w:lang w:val="en-US"/>
        </w:rPr>
      </w:pPr>
      <w:r w:rsidRPr="00BA0590">
        <w:rPr>
          <w:rFonts w:cstheme="minorHAnsi"/>
          <w:noProof/>
          <w:sz w:val="24"/>
          <w:szCs w:val="24"/>
        </w:rPr>
        <w:drawing>
          <wp:inline distT="0" distB="0" distL="0" distR="0">
            <wp:extent cx="4105275" cy="2085181"/>
            <wp:effectExtent l="19050" t="0" r="9525" b="0"/>
            <wp:docPr id="5" name="Εικόνα 1" descr="C:\Users\xspirop\Pictures\GASTR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spirop\Pictures\GASTRECTOMY"/>
                    <pic:cNvPicPr>
                      <a:picLocks noChangeAspect="1" noChangeArrowheads="1"/>
                    </pic:cNvPicPr>
                  </pic:nvPicPr>
                  <pic:blipFill>
                    <a:blip r:embed="rId9" cstate="print"/>
                    <a:srcRect/>
                    <a:stretch>
                      <a:fillRect/>
                    </a:stretch>
                  </pic:blipFill>
                  <pic:spPr bwMode="auto">
                    <a:xfrm>
                      <a:off x="0" y="0"/>
                      <a:ext cx="4105275" cy="2085181"/>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r w:rsidRPr="00BA0590">
        <w:rPr>
          <w:rFonts w:cstheme="minorHAnsi"/>
          <w:sz w:val="24"/>
          <w:szCs w:val="24"/>
        </w:rPr>
        <w:t>Κολοεπιπλοϊκή αποκόλληση στο ανάγγειο πλάνο.</w:t>
      </w: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2918807" cy="2181225"/>
            <wp:effectExtent l="19050" t="0" r="0" b="0"/>
            <wp:docPr id="6" name="Εικόνα 2" descr="C:\Users\xspirop\Pictures\gastrecto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spirop\Pictures\gastrectomy 2"/>
                    <pic:cNvPicPr>
                      <a:picLocks noChangeAspect="1" noChangeArrowheads="1"/>
                    </pic:cNvPicPr>
                  </pic:nvPicPr>
                  <pic:blipFill>
                    <a:blip r:embed="rId10" cstate="print"/>
                    <a:srcRect/>
                    <a:stretch>
                      <a:fillRect/>
                    </a:stretch>
                  </pic:blipFill>
                  <pic:spPr bwMode="auto">
                    <a:xfrm>
                      <a:off x="0" y="0"/>
                      <a:ext cx="2919433" cy="2181693"/>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Αποκόλληση του επιπλόου από το εγκάρσιο κόλο με επέκταση στην ανάγγεια περιοχή μεταξύ των 2 προσθίων και 2 οπισθίων πετάλων του μεσοκόλου έως την επιφάνεια του παγκρέατος. Η κάψα του παγκρέατος συνήθως αφαιρείται αν και δεν είναι διευκρινισμένο αν συμβάλλει ογκολογικά. </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2619375" cy="2530503"/>
            <wp:effectExtent l="19050" t="0" r="9525" b="0"/>
            <wp:docPr id="7" name="Εικόνα 3" descr="C:\Users\xspirop\Pictures\gastrectom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spirop\Pictures\gastrectomy 3"/>
                    <pic:cNvPicPr>
                      <a:picLocks noChangeAspect="1" noChangeArrowheads="1"/>
                    </pic:cNvPicPr>
                  </pic:nvPicPr>
                  <pic:blipFill>
                    <a:blip r:embed="rId11" cstate="print"/>
                    <a:srcRect/>
                    <a:stretch>
                      <a:fillRect/>
                    </a:stretch>
                  </pic:blipFill>
                  <pic:spPr bwMode="auto">
                    <a:xfrm>
                      <a:off x="0" y="0"/>
                      <a:ext cx="2629343" cy="2540132"/>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r w:rsidRPr="00BA0590">
        <w:rPr>
          <w:rFonts w:cstheme="minorHAnsi"/>
          <w:sz w:val="24"/>
          <w:szCs w:val="24"/>
        </w:rPr>
        <w:lastRenderedPageBreak/>
        <w:t>Διατομή των βραχέων γαστρικών αγγείων με συνεξαίρεση όλου του λεμφαδενικού ιστού κατά μήκος της σπληνικής αρτηρίας στην άνω επιφάνεια του παγκρέατος έως τις πύλες του σπληνός. Απολίνωση της εγκάρσιας σπληνικής. Η έκταση της εκτομής καθορίζεται από το αν θα γίνει υφολική ή ολική γαστρεκτομή. Απολινώνονται η αριστερή και δεξιά γαστροεπιπλοϊκές.</w:t>
      </w: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4486275" cy="3832027"/>
            <wp:effectExtent l="19050" t="0" r="9525" b="0"/>
            <wp:docPr id="8" name="Εικόνα 4" descr="C:\Users\xspirop\Pictures\gastrectom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spirop\Pictures\gastrectomy 4"/>
                    <pic:cNvPicPr>
                      <a:picLocks noChangeAspect="1" noChangeArrowheads="1"/>
                    </pic:cNvPicPr>
                  </pic:nvPicPr>
                  <pic:blipFill>
                    <a:blip r:embed="rId12" cstate="print"/>
                    <a:srcRect/>
                    <a:stretch>
                      <a:fillRect/>
                    </a:stretch>
                  </pic:blipFill>
                  <pic:spPr bwMode="auto">
                    <a:xfrm>
                      <a:off x="0" y="0"/>
                      <a:ext cx="4486275" cy="3832027"/>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r w:rsidRPr="00BA0590">
        <w:rPr>
          <w:rFonts w:cstheme="minorHAnsi"/>
          <w:sz w:val="24"/>
          <w:szCs w:val="24"/>
        </w:rPr>
        <w:t>Διατομή του δωδεκαδακτύλου με λευκό ή μπλε συρραπτικό.</w:t>
      </w: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5191125" cy="3362325"/>
            <wp:effectExtent l="19050" t="0" r="9525" b="0"/>
            <wp:docPr id="15" name="Εικόνα 5" descr="C:\Users\xspirop\Pictures\gastrectom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spirop\Pictures\gastrectomy 5"/>
                    <pic:cNvPicPr>
                      <a:picLocks noChangeAspect="1" noChangeArrowheads="1"/>
                    </pic:cNvPicPr>
                  </pic:nvPicPr>
                  <pic:blipFill>
                    <a:blip r:embed="rId13" cstate="print"/>
                    <a:srcRect/>
                    <a:stretch>
                      <a:fillRect/>
                    </a:stretch>
                  </pic:blipFill>
                  <pic:spPr bwMode="auto">
                    <a:xfrm>
                      <a:off x="0" y="0"/>
                      <a:ext cx="5202419" cy="3369640"/>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r w:rsidRPr="00BA0590">
        <w:rPr>
          <w:rFonts w:cstheme="minorHAnsi"/>
          <w:sz w:val="24"/>
          <w:szCs w:val="24"/>
        </w:rPr>
        <w:lastRenderedPageBreak/>
        <w:t xml:space="preserve">Συνέχιση της κινητοποίησης επί του ηπατογαστρικού συνδέσμου με συναφαίρεση του κυτταρολιπώδους ιστού ύπερθεν της πυλαίας έως τον κοιλιακό άξονα. Διατομή της δεξιάς γαστρικής. </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sz w:val="24"/>
          <w:szCs w:val="24"/>
        </w:rPr>
      </w:pPr>
      <w:r w:rsidRPr="00BA0590">
        <w:rPr>
          <w:rFonts w:cstheme="minorHAnsi"/>
          <w:noProof/>
          <w:sz w:val="24"/>
          <w:szCs w:val="24"/>
        </w:rPr>
        <w:drawing>
          <wp:inline distT="0" distB="0" distL="0" distR="0">
            <wp:extent cx="3867150" cy="4640580"/>
            <wp:effectExtent l="19050" t="0" r="0" b="0"/>
            <wp:docPr id="9" name="Εικόνα 6" descr="C:\Users\xspirop\Pictures\gastrectom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spirop\Pictures\gastrectomy 6"/>
                    <pic:cNvPicPr>
                      <a:picLocks noChangeAspect="1" noChangeArrowheads="1"/>
                    </pic:cNvPicPr>
                  </pic:nvPicPr>
                  <pic:blipFill>
                    <a:blip r:embed="rId14" cstate="print"/>
                    <a:srcRect/>
                    <a:stretch>
                      <a:fillRect/>
                    </a:stretch>
                  </pic:blipFill>
                  <pic:spPr bwMode="auto">
                    <a:xfrm>
                      <a:off x="0" y="0"/>
                      <a:ext cx="3867150" cy="4640580"/>
                    </a:xfrm>
                    <a:prstGeom prst="rect">
                      <a:avLst/>
                    </a:prstGeom>
                    <a:noFill/>
                    <a:ln w="9525">
                      <a:noFill/>
                      <a:miter lim="800000"/>
                      <a:headEnd/>
                      <a:tailEnd/>
                    </a:ln>
                  </pic:spPr>
                </pic:pic>
              </a:graphicData>
            </a:graphic>
          </wp:inline>
        </w:drawing>
      </w:r>
    </w:p>
    <w:p w:rsidR="00BA0590" w:rsidRPr="00BA0590" w:rsidRDefault="00BA0590" w:rsidP="00B66319">
      <w:pPr>
        <w:spacing w:after="0" w:line="240" w:lineRule="auto"/>
        <w:rPr>
          <w:rFonts w:cstheme="minorHAnsi"/>
          <w:sz w:val="24"/>
          <w:szCs w:val="24"/>
        </w:rPr>
      </w:pPr>
      <w:r w:rsidRPr="00BA0590">
        <w:rPr>
          <w:rFonts w:cstheme="minorHAnsi"/>
          <w:sz w:val="24"/>
          <w:szCs w:val="24"/>
        </w:rPr>
        <w:t>Ο στόμαχος κρέμεται μόνο από το στέλεχος της αριστερής γαστρικής. Απολίνωσή της με συναφαίρεση όλου του κυτταρολιπώδους ιστού κατά μήκος του δεξιού σκέλους και την καρδιοοισοφαγική συμβολή.</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Η αποκατάσταση γίνεται με </w:t>
      </w:r>
      <w:r w:rsidRPr="00BA0590">
        <w:rPr>
          <w:rFonts w:cstheme="minorHAnsi"/>
          <w:sz w:val="24"/>
          <w:szCs w:val="24"/>
          <w:lang w:val="en-US"/>
        </w:rPr>
        <w:t>Billroth</w:t>
      </w:r>
      <w:r w:rsidRPr="00BA0590">
        <w:rPr>
          <w:rFonts w:cstheme="minorHAnsi"/>
          <w:sz w:val="24"/>
          <w:szCs w:val="24"/>
        </w:rPr>
        <w:t xml:space="preserve"> </w:t>
      </w:r>
      <w:r w:rsidRPr="00BA0590">
        <w:rPr>
          <w:rFonts w:cstheme="minorHAnsi"/>
          <w:sz w:val="24"/>
          <w:szCs w:val="24"/>
          <w:lang w:val="en-US"/>
        </w:rPr>
        <w:t>II</w:t>
      </w:r>
      <w:r w:rsidRPr="00BA0590">
        <w:rPr>
          <w:rFonts w:cstheme="minorHAnsi"/>
          <w:sz w:val="24"/>
          <w:szCs w:val="24"/>
        </w:rPr>
        <w:t xml:space="preserve"> ή </w:t>
      </w:r>
      <w:r w:rsidRPr="00BA0590">
        <w:rPr>
          <w:rFonts w:cstheme="minorHAnsi"/>
          <w:sz w:val="24"/>
          <w:szCs w:val="24"/>
          <w:lang w:val="en-US"/>
        </w:rPr>
        <w:t>Roux</w:t>
      </w:r>
      <w:r w:rsidRPr="00BA0590">
        <w:rPr>
          <w:rFonts w:cstheme="minorHAnsi"/>
          <w:sz w:val="24"/>
          <w:szCs w:val="24"/>
        </w:rPr>
        <w:t>-</w:t>
      </w:r>
      <w:r w:rsidRPr="00BA0590">
        <w:rPr>
          <w:rFonts w:cstheme="minorHAnsi"/>
          <w:sz w:val="24"/>
          <w:szCs w:val="24"/>
          <w:lang w:val="en-US"/>
        </w:rPr>
        <w:t>en</w:t>
      </w:r>
      <w:r w:rsidRPr="00BA0590">
        <w:rPr>
          <w:rFonts w:cstheme="minorHAnsi"/>
          <w:sz w:val="24"/>
          <w:szCs w:val="24"/>
        </w:rPr>
        <w:t xml:space="preserve">-Y μετά υφολική γαστρεκτομή ή με </w:t>
      </w:r>
      <w:r w:rsidRPr="00BA0590">
        <w:rPr>
          <w:rFonts w:cstheme="minorHAnsi"/>
          <w:sz w:val="24"/>
          <w:szCs w:val="24"/>
          <w:lang w:val="en-US"/>
        </w:rPr>
        <w:t>Roux</w:t>
      </w:r>
      <w:r w:rsidRPr="00BA0590">
        <w:rPr>
          <w:rFonts w:cstheme="minorHAnsi"/>
          <w:sz w:val="24"/>
          <w:szCs w:val="24"/>
        </w:rPr>
        <w:t>-</w:t>
      </w:r>
      <w:r w:rsidRPr="00BA0590">
        <w:rPr>
          <w:rFonts w:cstheme="minorHAnsi"/>
          <w:sz w:val="24"/>
          <w:szCs w:val="24"/>
          <w:lang w:val="en-US"/>
        </w:rPr>
        <w:t>en</w:t>
      </w:r>
      <w:r w:rsidRPr="00BA0590">
        <w:rPr>
          <w:rFonts w:cstheme="minorHAnsi"/>
          <w:sz w:val="24"/>
          <w:szCs w:val="24"/>
        </w:rPr>
        <w:t>-</w:t>
      </w:r>
      <w:r w:rsidRPr="00BA0590">
        <w:rPr>
          <w:rFonts w:cstheme="minorHAnsi"/>
          <w:sz w:val="24"/>
          <w:szCs w:val="24"/>
          <w:lang w:val="en-US"/>
        </w:rPr>
        <w:t>Y</w:t>
      </w:r>
      <w:r w:rsidRPr="00BA0590">
        <w:rPr>
          <w:rFonts w:cstheme="minorHAnsi"/>
          <w:sz w:val="24"/>
          <w:szCs w:val="24"/>
        </w:rPr>
        <w:t xml:space="preserve"> μετά ολική. Δεν υπάρχουν επαρκή δεδομένα που να στηρίζουν τη δημιουργία νηστιδικού νεοθυλάκου μετά τη διενέργεια ολικής γαστρεκτομής.</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b/>
          <w:sz w:val="24"/>
          <w:szCs w:val="24"/>
        </w:rPr>
      </w:pPr>
      <w:r w:rsidRPr="00BA0590">
        <w:rPr>
          <w:rFonts w:cstheme="minorHAnsi"/>
          <w:b/>
          <w:sz w:val="24"/>
          <w:szCs w:val="24"/>
        </w:rPr>
        <w:t>Συμπληρωματική θεραπεία</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Ακόμη και μετά </w:t>
      </w:r>
      <w:r w:rsidRPr="00BA0590">
        <w:rPr>
          <w:rFonts w:cstheme="minorHAnsi"/>
          <w:sz w:val="24"/>
          <w:szCs w:val="24"/>
          <w:lang w:val="en-US"/>
        </w:rPr>
        <w:t>R</w:t>
      </w:r>
      <w:r w:rsidRPr="00BA0590">
        <w:rPr>
          <w:rFonts w:cstheme="minorHAnsi"/>
          <w:sz w:val="24"/>
          <w:szCs w:val="24"/>
        </w:rPr>
        <w:t>0 εκτομή θα παρατηρηθεί υποτροπή σε ποσοστό 40% συνήθως εντός των 2 πρώτων ετών, που θα ακολουθηθεί από θάνατο εντός μέσου χρόνου 6 μηνών. Γι’ αυτό και γίνονται προσπάθειες για επικουρικές θεραπείες.</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i/>
          <w:sz w:val="24"/>
          <w:szCs w:val="24"/>
        </w:rPr>
      </w:pPr>
      <w:r w:rsidRPr="00BA0590">
        <w:rPr>
          <w:rFonts w:cstheme="minorHAnsi"/>
          <w:i/>
          <w:sz w:val="24"/>
          <w:szCs w:val="24"/>
          <w:lang w:val="en-US"/>
        </w:rPr>
        <w:t>Adjuvant</w:t>
      </w:r>
      <w:r w:rsidRPr="00BA0590">
        <w:rPr>
          <w:rFonts w:cstheme="minorHAnsi"/>
          <w:i/>
          <w:sz w:val="24"/>
          <w:szCs w:val="24"/>
        </w:rPr>
        <w:t xml:space="preserve"> θεραπεία.</w:t>
      </w:r>
    </w:p>
    <w:p w:rsidR="00BA0590" w:rsidRPr="00BA0590" w:rsidRDefault="00BA0590" w:rsidP="00B66319">
      <w:pPr>
        <w:spacing w:after="0" w:line="240" w:lineRule="auto"/>
        <w:rPr>
          <w:rFonts w:cstheme="minorHAnsi"/>
          <w:sz w:val="24"/>
          <w:szCs w:val="24"/>
        </w:rPr>
      </w:pPr>
      <w:r w:rsidRPr="00BA0590">
        <w:rPr>
          <w:rFonts w:cstheme="minorHAnsi"/>
          <w:sz w:val="24"/>
          <w:szCs w:val="24"/>
        </w:rPr>
        <w:t>Πολλές μελέτες απέτυχαν να αναδείξουν βελτίωση της επιβίωσης με τη χρήση επικουρικής χημειο- ή ακτινοθεραπείας. Μία προοπτική μελέτη ανέδειξε βελτίωση στην ολική και ελεύθερη νόσου επιβίωση μετά τη χορήγηση μετεγχειρητικά χημειοακτινοθεραπείας (5-</w:t>
      </w:r>
      <w:r w:rsidRPr="00BA0590">
        <w:rPr>
          <w:rFonts w:cstheme="minorHAnsi"/>
          <w:sz w:val="24"/>
          <w:szCs w:val="24"/>
          <w:lang w:val="en-US"/>
        </w:rPr>
        <w:t>FU</w:t>
      </w:r>
      <w:r w:rsidRPr="00BA0590">
        <w:rPr>
          <w:rFonts w:cstheme="minorHAnsi"/>
          <w:sz w:val="24"/>
          <w:szCs w:val="24"/>
        </w:rPr>
        <w:t xml:space="preserve"> + λευκοβορίνη + εξωτερική ακτινοβόληση), αν και η επάρκεια του χειρουργείου δεν ήταν ικανοποιητική στην πλειοψηφία των ασθενών </w:t>
      </w:r>
      <w:r w:rsidRPr="00BA0590">
        <w:rPr>
          <w:rFonts w:cstheme="minorHAnsi"/>
          <w:sz w:val="24"/>
          <w:szCs w:val="24"/>
        </w:rPr>
        <w:lastRenderedPageBreak/>
        <w:t>(</w:t>
      </w:r>
      <w:r w:rsidRPr="00BA0590">
        <w:rPr>
          <w:rFonts w:cstheme="minorHAnsi"/>
          <w:sz w:val="24"/>
          <w:szCs w:val="24"/>
          <w:lang w:val="en-US"/>
        </w:rPr>
        <w:t>D</w:t>
      </w:r>
      <w:r w:rsidRPr="00BA0590">
        <w:rPr>
          <w:rFonts w:cstheme="minorHAnsi"/>
          <w:sz w:val="24"/>
          <w:szCs w:val="24"/>
        </w:rPr>
        <w:t>2 έγινε σε &lt; 10% των ασθενών), οπότε η διαφορά αυτή στην επιβίωση θα μπορούσε να μην υπήρχε αν σε όλους τους ασθενείς είχε προσφερθεί το ίδιο ογκολογικά χειρουργείο. Ωστόσο με βάση αυτή τη μελέτη η ΧΜΘ+ΑΚΘ προτείνεται στις ΗΠΑ.</w:t>
      </w:r>
    </w:p>
    <w:p w:rsidR="00BA0590" w:rsidRPr="00BA0590" w:rsidRDefault="00BA0590" w:rsidP="00B66319">
      <w:pPr>
        <w:spacing w:after="0" w:line="240" w:lineRule="auto"/>
        <w:rPr>
          <w:rFonts w:cstheme="minorHAnsi"/>
          <w:i/>
          <w:sz w:val="24"/>
          <w:szCs w:val="24"/>
        </w:rPr>
      </w:pPr>
      <w:r w:rsidRPr="00BA0590">
        <w:rPr>
          <w:rFonts w:cstheme="minorHAnsi"/>
          <w:i/>
          <w:sz w:val="24"/>
          <w:szCs w:val="24"/>
          <w:lang w:val="en-US"/>
        </w:rPr>
        <w:t>Neo</w:t>
      </w:r>
      <w:r w:rsidRPr="00BA0590">
        <w:rPr>
          <w:rFonts w:cstheme="minorHAnsi"/>
          <w:i/>
          <w:sz w:val="24"/>
          <w:szCs w:val="24"/>
        </w:rPr>
        <w:t>-α</w:t>
      </w:r>
      <w:r w:rsidRPr="00BA0590">
        <w:rPr>
          <w:rFonts w:cstheme="minorHAnsi"/>
          <w:i/>
          <w:sz w:val="24"/>
          <w:szCs w:val="24"/>
          <w:lang w:val="en-US"/>
        </w:rPr>
        <w:t>djuvant</w:t>
      </w:r>
      <w:r w:rsidRPr="00BA0590">
        <w:rPr>
          <w:rFonts w:cstheme="minorHAnsi"/>
          <w:i/>
          <w:sz w:val="24"/>
          <w:szCs w:val="24"/>
        </w:rPr>
        <w:t xml:space="preserve"> θεραπεία.</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Η χορήγηση νέο-επικουρικής θεραπείας έχει αξιολογηθεί από πολλές μελέτες. Τα αποτελέσματα είναι ενθαρρυντικά από χορήγηση προεγχειρητικά ΧΜΘ ή ΧΜΘ+ΑΚΘ, αλλά ακόμη δεν υπάρχουν κατευθυντήριες οδηγίες. Νεοεπικουρική ΧΜΘ προτείνεται σε Τ3-4 ή Ν1-2 όγκους διότι αυτοί οι ασθενείς έχουν το μεγαλύτερο κίνδυνο μετεγχειρητικής υποτροπής ενώ συγχρόνως βελτιώνεται η εξαιρεσιμότητα ώστε να γίνει </w:t>
      </w:r>
      <w:r w:rsidRPr="00BA0590">
        <w:rPr>
          <w:rFonts w:cstheme="minorHAnsi"/>
          <w:sz w:val="24"/>
          <w:szCs w:val="24"/>
          <w:lang w:val="en-US"/>
        </w:rPr>
        <w:t>D</w:t>
      </w:r>
      <w:r w:rsidRPr="00BA0590">
        <w:rPr>
          <w:rFonts w:cstheme="minorHAnsi"/>
          <w:sz w:val="24"/>
          <w:szCs w:val="24"/>
        </w:rPr>
        <w:t>2</w:t>
      </w:r>
      <w:r w:rsidRPr="00BA0590">
        <w:rPr>
          <w:rFonts w:cstheme="minorHAnsi"/>
          <w:sz w:val="24"/>
          <w:szCs w:val="24"/>
          <w:lang w:val="en-US"/>
        </w:rPr>
        <w:t>R</w:t>
      </w:r>
      <w:r w:rsidRPr="00BA0590">
        <w:rPr>
          <w:rFonts w:cstheme="minorHAnsi"/>
          <w:sz w:val="24"/>
          <w:szCs w:val="24"/>
        </w:rPr>
        <w:t>0 εκτομή.</w:t>
      </w:r>
    </w:p>
    <w:p w:rsidR="00BA0590" w:rsidRPr="00BA0590" w:rsidRDefault="00BA0590" w:rsidP="00B66319">
      <w:pPr>
        <w:spacing w:after="0" w:line="240" w:lineRule="auto"/>
        <w:rPr>
          <w:rFonts w:cstheme="minorHAnsi"/>
          <w:sz w:val="24"/>
          <w:szCs w:val="24"/>
        </w:rPr>
      </w:pPr>
    </w:p>
    <w:p w:rsidR="00BA0590" w:rsidRPr="00BA0590" w:rsidRDefault="00BA0590" w:rsidP="00B66319">
      <w:pPr>
        <w:spacing w:after="0" w:line="240" w:lineRule="auto"/>
        <w:rPr>
          <w:rFonts w:cstheme="minorHAnsi"/>
          <w:b/>
          <w:sz w:val="24"/>
          <w:szCs w:val="24"/>
        </w:rPr>
      </w:pPr>
      <w:r w:rsidRPr="00BA0590">
        <w:rPr>
          <w:rFonts w:cstheme="minorHAnsi"/>
          <w:b/>
          <w:sz w:val="24"/>
          <w:szCs w:val="24"/>
        </w:rPr>
        <w:t>Παρηγορητική θεραπεία</w:t>
      </w:r>
    </w:p>
    <w:p w:rsidR="00BA0590" w:rsidRPr="00BA0590" w:rsidRDefault="00BA0590" w:rsidP="00B66319">
      <w:pPr>
        <w:spacing w:after="0" w:line="240" w:lineRule="auto"/>
        <w:rPr>
          <w:rFonts w:cstheme="minorHAnsi"/>
          <w:sz w:val="24"/>
          <w:szCs w:val="24"/>
        </w:rPr>
      </w:pPr>
      <w:r w:rsidRPr="00BA0590">
        <w:rPr>
          <w:rFonts w:cstheme="minorHAnsi"/>
          <w:sz w:val="24"/>
          <w:szCs w:val="24"/>
        </w:rPr>
        <w:t xml:space="preserve">Η παρηγορητική γαστρεκτομή δεν πρέπει να γίνεται σαν προφύλαξη εμφάνισης επιπλοκών από τον μη εξαιρέσιμο γαστρικό καρκίνο, καθώς σχετίζεται με σημαντική νοσηρότητα και θνητότητα σε αυτούς τους επιβαρυμένους ασθενείς. Από τους ασθενείς με ανεγχείρητο γαστρικό καρκίνο, το 50% θα χρειαστεί κάποιου είδους επεμβατική πράξη λόγω επιπλοκών (απόφραξη) που συνίσταται κυρίως σε ενδοσκοπικό </w:t>
      </w:r>
      <w:r w:rsidRPr="00BA0590">
        <w:rPr>
          <w:rFonts w:cstheme="minorHAnsi"/>
          <w:sz w:val="24"/>
          <w:szCs w:val="24"/>
          <w:lang w:val="en-US"/>
        </w:rPr>
        <w:t>stenting</w:t>
      </w:r>
      <w:r w:rsidRPr="00BA0590">
        <w:rPr>
          <w:rFonts w:cstheme="minorHAnsi"/>
          <w:sz w:val="24"/>
          <w:szCs w:val="24"/>
        </w:rPr>
        <w:t>. Μόνο 12% των ασθενών χρήζουν χειρουργικής αντιμετώπισης (κυρίως για αιμορραγία). Η παρηγορητική ΧΜΘ και ΑΚΘ φαίνεται να βοηθά σε μη τυχαιοποιημένες μελέτες και μπορεί να χορηγηθεί ιδίως στα πλαίσια πρωτοκόλλων.</w:t>
      </w:r>
    </w:p>
    <w:p w:rsidR="00FA26D6" w:rsidRPr="00BA0590" w:rsidRDefault="00FA26D6" w:rsidP="00B66319">
      <w:pPr>
        <w:spacing w:after="0" w:line="240" w:lineRule="auto"/>
        <w:jc w:val="both"/>
        <w:rPr>
          <w:rFonts w:cstheme="minorHAnsi"/>
          <w:b/>
          <w:sz w:val="24"/>
          <w:szCs w:val="24"/>
        </w:rPr>
      </w:pPr>
    </w:p>
    <w:p w:rsidR="004474C8" w:rsidRPr="00BA0590" w:rsidRDefault="004474C8" w:rsidP="00B66319">
      <w:pPr>
        <w:spacing w:after="0" w:line="240" w:lineRule="auto"/>
        <w:rPr>
          <w:rFonts w:cstheme="minorHAnsi"/>
          <w:sz w:val="24"/>
          <w:szCs w:val="24"/>
        </w:rPr>
      </w:pPr>
    </w:p>
    <w:p w:rsidR="004474C8" w:rsidRPr="002251BF" w:rsidRDefault="004474C8" w:rsidP="00B66319">
      <w:pPr>
        <w:spacing w:after="0" w:line="240" w:lineRule="auto"/>
        <w:rPr>
          <w:rFonts w:cstheme="minorHAnsi"/>
          <w:sz w:val="24"/>
          <w:szCs w:val="24"/>
        </w:rPr>
      </w:pPr>
    </w:p>
    <w:p w:rsidR="00256EEC" w:rsidRPr="002251BF" w:rsidRDefault="00256EEC" w:rsidP="00B66319">
      <w:pPr>
        <w:spacing w:after="0" w:line="240" w:lineRule="auto"/>
        <w:rPr>
          <w:rFonts w:cstheme="minorHAnsi"/>
          <w:sz w:val="24"/>
          <w:szCs w:val="24"/>
        </w:rPr>
      </w:pPr>
    </w:p>
    <w:p w:rsidR="004474C8" w:rsidRPr="002251BF" w:rsidRDefault="004474C8" w:rsidP="00B66319">
      <w:pPr>
        <w:spacing w:after="0" w:line="240" w:lineRule="auto"/>
        <w:rPr>
          <w:rFonts w:cstheme="minorHAnsi"/>
          <w:sz w:val="24"/>
          <w:szCs w:val="24"/>
        </w:rPr>
      </w:pPr>
    </w:p>
    <w:p w:rsidR="00E355F5" w:rsidRPr="00BA0590" w:rsidRDefault="00E355F5" w:rsidP="00B66319">
      <w:pPr>
        <w:spacing w:after="0" w:line="240" w:lineRule="auto"/>
        <w:rPr>
          <w:rFonts w:cstheme="minorHAnsi"/>
          <w:b/>
          <w:sz w:val="24"/>
          <w:szCs w:val="24"/>
        </w:rPr>
      </w:pPr>
    </w:p>
    <w:p w:rsidR="00114DC3" w:rsidRPr="00B66319" w:rsidRDefault="00114DC3" w:rsidP="00B66319">
      <w:pPr>
        <w:spacing w:after="0" w:line="240" w:lineRule="auto"/>
        <w:rPr>
          <w:rFonts w:cstheme="minorHAnsi"/>
          <w:sz w:val="24"/>
          <w:szCs w:val="24"/>
        </w:rPr>
      </w:pPr>
    </w:p>
    <w:sectPr w:rsidR="00114DC3" w:rsidRPr="00B66319" w:rsidSect="000375F5">
      <w:headerReference w:type="even" r:id="rId15"/>
      <w:headerReference w:type="default" r:id="rId16"/>
      <w:footerReference w:type="even" r:id="rId17"/>
      <w:footerReference w:type="default" r:id="rId18"/>
      <w:headerReference w:type="first" r:id="rId19"/>
      <w:footerReference w:type="first" r:id="rId20"/>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943" w:rsidRDefault="00867943" w:rsidP="004474C8">
      <w:pPr>
        <w:spacing w:after="0" w:line="240" w:lineRule="auto"/>
      </w:pPr>
      <w:r>
        <w:separator/>
      </w:r>
    </w:p>
  </w:endnote>
  <w:endnote w:type="continuationSeparator" w:id="0">
    <w:p w:rsidR="00867943" w:rsidRDefault="00867943" w:rsidP="00447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F5" w:rsidRDefault="000375F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16079"/>
      <w:docPartObj>
        <w:docPartGallery w:val="Page Numbers (Bottom of Page)"/>
        <w:docPartUnique/>
      </w:docPartObj>
    </w:sdtPr>
    <w:sdtContent>
      <w:p w:rsidR="000375F5" w:rsidRDefault="00D47E5E">
        <w:pPr>
          <w:pStyle w:val="a5"/>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50" type="#_x0000_t185" style="position:absolute;margin-left:0;margin-top:0;width:38.75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" filled="t" fillcolor="white [3212]" strokecolor="gray [1629]" strokeweight="2.25pt">
              <v:textbox inset=",0,,0">
                <w:txbxContent>
                  <w:p w:rsidR="000375F5" w:rsidRDefault="00D47E5E">
                    <w:pPr>
                      <w:jc w:val="center"/>
                    </w:pPr>
                    <w:r>
                      <w:fldChar w:fldCharType="begin"/>
                    </w:r>
                    <w:r w:rsidR="00BB6D2B">
                      <w:instrText xml:space="preserve"> PAGE    \* MERGEFORMAT </w:instrText>
                    </w:r>
                    <w:r>
                      <w:fldChar w:fldCharType="separate"/>
                    </w:r>
                    <w:r w:rsidR="00C218E1">
                      <w:rPr>
                        <w:noProof/>
                      </w:rPr>
                      <w:t>2</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1" o:spid="_x0000_s2049" type="#_x0000_t32" style="position:absolute;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gGYwVzUCAAB2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F5" w:rsidRDefault="000375F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943" w:rsidRDefault="00867943" w:rsidP="004474C8">
      <w:pPr>
        <w:spacing w:after="0" w:line="240" w:lineRule="auto"/>
      </w:pPr>
      <w:r>
        <w:separator/>
      </w:r>
    </w:p>
  </w:footnote>
  <w:footnote w:type="continuationSeparator" w:id="0">
    <w:p w:rsidR="00867943" w:rsidRDefault="00867943" w:rsidP="004474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F5" w:rsidRDefault="000375F5">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F5" w:rsidRDefault="000375F5">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5F5" w:rsidRDefault="000375F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art14"/>
      </v:shape>
    </w:pict>
  </w:numPicBullet>
  <w:abstractNum w:abstractNumId="0">
    <w:nsid w:val="043F13D1"/>
    <w:multiLevelType w:val="hybridMultilevel"/>
    <w:tmpl w:val="EB6AE1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66209E5"/>
    <w:multiLevelType w:val="hybridMultilevel"/>
    <w:tmpl w:val="7ABA99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3691A3F"/>
    <w:multiLevelType w:val="hybridMultilevel"/>
    <w:tmpl w:val="2A58F4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8BA207F"/>
    <w:multiLevelType w:val="hybridMultilevel"/>
    <w:tmpl w:val="CC6A8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0374B3B"/>
    <w:multiLevelType w:val="hybridMultilevel"/>
    <w:tmpl w:val="B39280A0"/>
    <w:lvl w:ilvl="0" w:tplc="0AA6ECB4">
      <w:start w:val="1"/>
      <w:numFmt w:val="bullet"/>
      <w:lvlText w:val=""/>
      <w:lvlPicBulletId w:val="0"/>
      <w:lvlJc w:val="left"/>
      <w:pPr>
        <w:tabs>
          <w:tab w:val="num" w:pos="720"/>
        </w:tabs>
        <w:ind w:left="720" w:hanging="360"/>
      </w:pPr>
      <w:rPr>
        <w:rFonts w:ascii="Symbol" w:hAnsi="Symbol" w:hint="default"/>
      </w:rPr>
    </w:lvl>
    <w:lvl w:ilvl="1" w:tplc="563E16C0" w:tentative="1">
      <w:start w:val="1"/>
      <w:numFmt w:val="bullet"/>
      <w:lvlText w:val=""/>
      <w:lvlPicBulletId w:val="0"/>
      <w:lvlJc w:val="left"/>
      <w:pPr>
        <w:tabs>
          <w:tab w:val="num" w:pos="1440"/>
        </w:tabs>
        <w:ind w:left="1440" w:hanging="360"/>
      </w:pPr>
      <w:rPr>
        <w:rFonts w:ascii="Symbol" w:hAnsi="Symbol" w:hint="default"/>
      </w:rPr>
    </w:lvl>
    <w:lvl w:ilvl="2" w:tplc="46FA7332" w:tentative="1">
      <w:start w:val="1"/>
      <w:numFmt w:val="bullet"/>
      <w:lvlText w:val=""/>
      <w:lvlPicBulletId w:val="0"/>
      <w:lvlJc w:val="left"/>
      <w:pPr>
        <w:tabs>
          <w:tab w:val="num" w:pos="2160"/>
        </w:tabs>
        <w:ind w:left="2160" w:hanging="360"/>
      </w:pPr>
      <w:rPr>
        <w:rFonts w:ascii="Symbol" w:hAnsi="Symbol" w:hint="default"/>
      </w:rPr>
    </w:lvl>
    <w:lvl w:ilvl="3" w:tplc="B2FAD0C6" w:tentative="1">
      <w:start w:val="1"/>
      <w:numFmt w:val="bullet"/>
      <w:lvlText w:val=""/>
      <w:lvlPicBulletId w:val="0"/>
      <w:lvlJc w:val="left"/>
      <w:pPr>
        <w:tabs>
          <w:tab w:val="num" w:pos="2880"/>
        </w:tabs>
        <w:ind w:left="2880" w:hanging="360"/>
      </w:pPr>
      <w:rPr>
        <w:rFonts w:ascii="Symbol" w:hAnsi="Symbol" w:hint="default"/>
      </w:rPr>
    </w:lvl>
    <w:lvl w:ilvl="4" w:tplc="F274EBB8" w:tentative="1">
      <w:start w:val="1"/>
      <w:numFmt w:val="bullet"/>
      <w:lvlText w:val=""/>
      <w:lvlPicBulletId w:val="0"/>
      <w:lvlJc w:val="left"/>
      <w:pPr>
        <w:tabs>
          <w:tab w:val="num" w:pos="3600"/>
        </w:tabs>
        <w:ind w:left="3600" w:hanging="360"/>
      </w:pPr>
      <w:rPr>
        <w:rFonts w:ascii="Symbol" w:hAnsi="Symbol" w:hint="default"/>
      </w:rPr>
    </w:lvl>
    <w:lvl w:ilvl="5" w:tplc="7122AC4E" w:tentative="1">
      <w:start w:val="1"/>
      <w:numFmt w:val="bullet"/>
      <w:lvlText w:val=""/>
      <w:lvlPicBulletId w:val="0"/>
      <w:lvlJc w:val="left"/>
      <w:pPr>
        <w:tabs>
          <w:tab w:val="num" w:pos="4320"/>
        </w:tabs>
        <w:ind w:left="4320" w:hanging="360"/>
      </w:pPr>
      <w:rPr>
        <w:rFonts w:ascii="Symbol" w:hAnsi="Symbol" w:hint="default"/>
      </w:rPr>
    </w:lvl>
    <w:lvl w:ilvl="6" w:tplc="A906F078" w:tentative="1">
      <w:start w:val="1"/>
      <w:numFmt w:val="bullet"/>
      <w:lvlText w:val=""/>
      <w:lvlPicBulletId w:val="0"/>
      <w:lvlJc w:val="left"/>
      <w:pPr>
        <w:tabs>
          <w:tab w:val="num" w:pos="5040"/>
        </w:tabs>
        <w:ind w:left="5040" w:hanging="360"/>
      </w:pPr>
      <w:rPr>
        <w:rFonts w:ascii="Symbol" w:hAnsi="Symbol" w:hint="default"/>
      </w:rPr>
    </w:lvl>
    <w:lvl w:ilvl="7" w:tplc="B7885126" w:tentative="1">
      <w:start w:val="1"/>
      <w:numFmt w:val="bullet"/>
      <w:lvlText w:val=""/>
      <w:lvlPicBulletId w:val="0"/>
      <w:lvlJc w:val="left"/>
      <w:pPr>
        <w:tabs>
          <w:tab w:val="num" w:pos="5760"/>
        </w:tabs>
        <w:ind w:left="5760" w:hanging="360"/>
      </w:pPr>
      <w:rPr>
        <w:rFonts w:ascii="Symbol" w:hAnsi="Symbol" w:hint="default"/>
      </w:rPr>
    </w:lvl>
    <w:lvl w:ilvl="8" w:tplc="93B63CF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1384D80"/>
    <w:multiLevelType w:val="hybridMultilevel"/>
    <w:tmpl w:val="BEA43F66"/>
    <w:lvl w:ilvl="0" w:tplc="A6C08074">
      <w:start w:val="1"/>
      <w:numFmt w:val="bullet"/>
      <w:lvlText w:val=""/>
      <w:lvlPicBulletId w:val="0"/>
      <w:lvlJc w:val="left"/>
      <w:pPr>
        <w:tabs>
          <w:tab w:val="num" w:pos="720"/>
        </w:tabs>
        <w:ind w:left="720" w:hanging="360"/>
      </w:pPr>
      <w:rPr>
        <w:rFonts w:ascii="Symbol" w:hAnsi="Symbol" w:hint="default"/>
      </w:rPr>
    </w:lvl>
    <w:lvl w:ilvl="1" w:tplc="49C6984E" w:tentative="1">
      <w:start w:val="1"/>
      <w:numFmt w:val="bullet"/>
      <w:lvlText w:val=""/>
      <w:lvlPicBulletId w:val="0"/>
      <w:lvlJc w:val="left"/>
      <w:pPr>
        <w:tabs>
          <w:tab w:val="num" w:pos="1440"/>
        </w:tabs>
        <w:ind w:left="1440" w:hanging="360"/>
      </w:pPr>
      <w:rPr>
        <w:rFonts w:ascii="Symbol" w:hAnsi="Symbol" w:hint="default"/>
      </w:rPr>
    </w:lvl>
    <w:lvl w:ilvl="2" w:tplc="66DC8936" w:tentative="1">
      <w:start w:val="1"/>
      <w:numFmt w:val="bullet"/>
      <w:lvlText w:val=""/>
      <w:lvlPicBulletId w:val="0"/>
      <w:lvlJc w:val="left"/>
      <w:pPr>
        <w:tabs>
          <w:tab w:val="num" w:pos="2160"/>
        </w:tabs>
        <w:ind w:left="2160" w:hanging="360"/>
      </w:pPr>
      <w:rPr>
        <w:rFonts w:ascii="Symbol" w:hAnsi="Symbol" w:hint="default"/>
      </w:rPr>
    </w:lvl>
    <w:lvl w:ilvl="3" w:tplc="57C0D826" w:tentative="1">
      <w:start w:val="1"/>
      <w:numFmt w:val="bullet"/>
      <w:lvlText w:val=""/>
      <w:lvlPicBulletId w:val="0"/>
      <w:lvlJc w:val="left"/>
      <w:pPr>
        <w:tabs>
          <w:tab w:val="num" w:pos="2880"/>
        </w:tabs>
        <w:ind w:left="2880" w:hanging="360"/>
      </w:pPr>
      <w:rPr>
        <w:rFonts w:ascii="Symbol" w:hAnsi="Symbol" w:hint="default"/>
      </w:rPr>
    </w:lvl>
    <w:lvl w:ilvl="4" w:tplc="AC90B164" w:tentative="1">
      <w:start w:val="1"/>
      <w:numFmt w:val="bullet"/>
      <w:lvlText w:val=""/>
      <w:lvlPicBulletId w:val="0"/>
      <w:lvlJc w:val="left"/>
      <w:pPr>
        <w:tabs>
          <w:tab w:val="num" w:pos="3600"/>
        </w:tabs>
        <w:ind w:left="3600" w:hanging="360"/>
      </w:pPr>
      <w:rPr>
        <w:rFonts w:ascii="Symbol" w:hAnsi="Symbol" w:hint="default"/>
      </w:rPr>
    </w:lvl>
    <w:lvl w:ilvl="5" w:tplc="DE98101E" w:tentative="1">
      <w:start w:val="1"/>
      <w:numFmt w:val="bullet"/>
      <w:lvlText w:val=""/>
      <w:lvlPicBulletId w:val="0"/>
      <w:lvlJc w:val="left"/>
      <w:pPr>
        <w:tabs>
          <w:tab w:val="num" w:pos="4320"/>
        </w:tabs>
        <w:ind w:left="4320" w:hanging="360"/>
      </w:pPr>
      <w:rPr>
        <w:rFonts w:ascii="Symbol" w:hAnsi="Symbol" w:hint="default"/>
      </w:rPr>
    </w:lvl>
    <w:lvl w:ilvl="6" w:tplc="A6DCE6B4" w:tentative="1">
      <w:start w:val="1"/>
      <w:numFmt w:val="bullet"/>
      <w:lvlText w:val=""/>
      <w:lvlPicBulletId w:val="0"/>
      <w:lvlJc w:val="left"/>
      <w:pPr>
        <w:tabs>
          <w:tab w:val="num" w:pos="5040"/>
        </w:tabs>
        <w:ind w:left="5040" w:hanging="360"/>
      </w:pPr>
      <w:rPr>
        <w:rFonts w:ascii="Symbol" w:hAnsi="Symbol" w:hint="default"/>
      </w:rPr>
    </w:lvl>
    <w:lvl w:ilvl="7" w:tplc="0A28ED6C" w:tentative="1">
      <w:start w:val="1"/>
      <w:numFmt w:val="bullet"/>
      <w:lvlText w:val=""/>
      <w:lvlPicBulletId w:val="0"/>
      <w:lvlJc w:val="left"/>
      <w:pPr>
        <w:tabs>
          <w:tab w:val="num" w:pos="5760"/>
        </w:tabs>
        <w:ind w:left="5760" w:hanging="360"/>
      </w:pPr>
      <w:rPr>
        <w:rFonts w:ascii="Symbol" w:hAnsi="Symbol" w:hint="default"/>
      </w:rPr>
    </w:lvl>
    <w:lvl w:ilvl="8" w:tplc="10BE861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42771DFA"/>
    <w:multiLevelType w:val="hybridMultilevel"/>
    <w:tmpl w:val="4BA67F72"/>
    <w:lvl w:ilvl="0" w:tplc="AFD06C94">
      <w:start w:val="1"/>
      <w:numFmt w:val="bullet"/>
      <w:lvlText w:val=""/>
      <w:lvlPicBulletId w:val="0"/>
      <w:lvlJc w:val="left"/>
      <w:pPr>
        <w:tabs>
          <w:tab w:val="num" w:pos="720"/>
        </w:tabs>
        <w:ind w:left="720" w:hanging="360"/>
      </w:pPr>
      <w:rPr>
        <w:rFonts w:ascii="Symbol" w:hAnsi="Symbol" w:hint="default"/>
      </w:rPr>
    </w:lvl>
    <w:lvl w:ilvl="1" w:tplc="D360852C" w:tentative="1">
      <w:start w:val="1"/>
      <w:numFmt w:val="bullet"/>
      <w:lvlText w:val=""/>
      <w:lvlPicBulletId w:val="0"/>
      <w:lvlJc w:val="left"/>
      <w:pPr>
        <w:tabs>
          <w:tab w:val="num" w:pos="1440"/>
        </w:tabs>
        <w:ind w:left="1440" w:hanging="360"/>
      </w:pPr>
      <w:rPr>
        <w:rFonts w:ascii="Symbol" w:hAnsi="Symbol" w:hint="default"/>
      </w:rPr>
    </w:lvl>
    <w:lvl w:ilvl="2" w:tplc="6782835C" w:tentative="1">
      <w:start w:val="1"/>
      <w:numFmt w:val="bullet"/>
      <w:lvlText w:val=""/>
      <w:lvlPicBulletId w:val="0"/>
      <w:lvlJc w:val="left"/>
      <w:pPr>
        <w:tabs>
          <w:tab w:val="num" w:pos="2160"/>
        </w:tabs>
        <w:ind w:left="2160" w:hanging="360"/>
      </w:pPr>
      <w:rPr>
        <w:rFonts w:ascii="Symbol" w:hAnsi="Symbol" w:hint="default"/>
      </w:rPr>
    </w:lvl>
    <w:lvl w:ilvl="3" w:tplc="0542339E" w:tentative="1">
      <w:start w:val="1"/>
      <w:numFmt w:val="bullet"/>
      <w:lvlText w:val=""/>
      <w:lvlPicBulletId w:val="0"/>
      <w:lvlJc w:val="left"/>
      <w:pPr>
        <w:tabs>
          <w:tab w:val="num" w:pos="2880"/>
        </w:tabs>
        <w:ind w:left="2880" w:hanging="360"/>
      </w:pPr>
      <w:rPr>
        <w:rFonts w:ascii="Symbol" w:hAnsi="Symbol" w:hint="default"/>
      </w:rPr>
    </w:lvl>
    <w:lvl w:ilvl="4" w:tplc="98683AA0" w:tentative="1">
      <w:start w:val="1"/>
      <w:numFmt w:val="bullet"/>
      <w:lvlText w:val=""/>
      <w:lvlPicBulletId w:val="0"/>
      <w:lvlJc w:val="left"/>
      <w:pPr>
        <w:tabs>
          <w:tab w:val="num" w:pos="3600"/>
        </w:tabs>
        <w:ind w:left="3600" w:hanging="360"/>
      </w:pPr>
      <w:rPr>
        <w:rFonts w:ascii="Symbol" w:hAnsi="Symbol" w:hint="default"/>
      </w:rPr>
    </w:lvl>
    <w:lvl w:ilvl="5" w:tplc="9A46EF04" w:tentative="1">
      <w:start w:val="1"/>
      <w:numFmt w:val="bullet"/>
      <w:lvlText w:val=""/>
      <w:lvlPicBulletId w:val="0"/>
      <w:lvlJc w:val="left"/>
      <w:pPr>
        <w:tabs>
          <w:tab w:val="num" w:pos="4320"/>
        </w:tabs>
        <w:ind w:left="4320" w:hanging="360"/>
      </w:pPr>
      <w:rPr>
        <w:rFonts w:ascii="Symbol" w:hAnsi="Symbol" w:hint="default"/>
      </w:rPr>
    </w:lvl>
    <w:lvl w:ilvl="6" w:tplc="150E12B8" w:tentative="1">
      <w:start w:val="1"/>
      <w:numFmt w:val="bullet"/>
      <w:lvlText w:val=""/>
      <w:lvlPicBulletId w:val="0"/>
      <w:lvlJc w:val="left"/>
      <w:pPr>
        <w:tabs>
          <w:tab w:val="num" w:pos="5040"/>
        </w:tabs>
        <w:ind w:left="5040" w:hanging="360"/>
      </w:pPr>
      <w:rPr>
        <w:rFonts w:ascii="Symbol" w:hAnsi="Symbol" w:hint="default"/>
      </w:rPr>
    </w:lvl>
    <w:lvl w:ilvl="7" w:tplc="97E81B5C" w:tentative="1">
      <w:start w:val="1"/>
      <w:numFmt w:val="bullet"/>
      <w:lvlText w:val=""/>
      <w:lvlPicBulletId w:val="0"/>
      <w:lvlJc w:val="left"/>
      <w:pPr>
        <w:tabs>
          <w:tab w:val="num" w:pos="5760"/>
        </w:tabs>
        <w:ind w:left="5760" w:hanging="360"/>
      </w:pPr>
      <w:rPr>
        <w:rFonts w:ascii="Symbol" w:hAnsi="Symbol" w:hint="default"/>
      </w:rPr>
    </w:lvl>
    <w:lvl w:ilvl="8" w:tplc="1F4E540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52CD4CE7"/>
    <w:multiLevelType w:val="hybridMultilevel"/>
    <w:tmpl w:val="F3F23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3CD249D"/>
    <w:multiLevelType w:val="hybridMultilevel"/>
    <w:tmpl w:val="CD1C2ABC"/>
    <w:lvl w:ilvl="0" w:tplc="F5BE065A">
      <w:start w:val="1"/>
      <w:numFmt w:val="bullet"/>
      <w:lvlText w:val=""/>
      <w:lvlPicBulletId w:val="0"/>
      <w:lvlJc w:val="left"/>
      <w:pPr>
        <w:tabs>
          <w:tab w:val="num" w:pos="720"/>
        </w:tabs>
        <w:ind w:left="720" w:hanging="360"/>
      </w:pPr>
      <w:rPr>
        <w:rFonts w:ascii="Symbol" w:hAnsi="Symbol" w:hint="default"/>
      </w:rPr>
    </w:lvl>
    <w:lvl w:ilvl="1" w:tplc="0F964068" w:tentative="1">
      <w:start w:val="1"/>
      <w:numFmt w:val="bullet"/>
      <w:lvlText w:val=""/>
      <w:lvlPicBulletId w:val="0"/>
      <w:lvlJc w:val="left"/>
      <w:pPr>
        <w:tabs>
          <w:tab w:val="num" w:pos="1440"/>
        </w:tabs>
        <w:ind w:left="1440" w:hanging="360"/>
      </w:pPr>
      <w:rPr>
        <w:rFonts w:ascii="Symbol" w:hAnsi="Symbol" w:hint="default"/>
      </w:rPr>
    </w:lvl>
    <w:lvl w:ilvl="2" w:tplc="309C2F7E" w:tentative="1">
      <w:start w:val="1"/>
      <w:numFmt w:val="bullet"/>
      <w:lvlText w:val=""/>
      <w:lvlPicBulletId w:val="0"/>
      <w:lvlJc w:val="left"/>
      <w:pPr>
        <w:tabs>
          <w:tab w:val="num" w:pos="2160"/>
        </w:tabs>
        <w:ind w:left="2160" w:hanging="360"/>
      </w:pPr>
      <w:rPr>
        <w:rFonts w:ascii="Symbol" w:hAnsi="Symbol" w:hint="default"/>
      </w:rPr>
    </w:lvl>
    <w:lvl w:ilvl="3" w:tplc="428A34F4" w:tentative="1">
      <w:start w:val="1"/>
      <w:numFmt w:val="bullet"/>
      <w:lvlText w:val=""/>
      <w:lvlPicBulletId w:val="0"/>
      <w:lvlJc w:val="left"/>
      <w:pPr>
        <w:tabs>
          <w:tab w:val="num" w:pos="2880"/>
        </w:tabs>
        <w:ind w:left="2880" w:hanging="360"/>
      </w:pPr>
      <w:rPr>
        <w:rFonts w:ascii="Symbol" w:hAnsi="Symbol" w:hint="default"/>
      </w:rPr>
    </w:lvl>
    <w:lvl w:ilvl="4" w:tplc="CC161156" w:tentative="1">
      <w:start w:val="1"/>
      <w:numFmt w:val="bullet"/>
      <w:lvlText w:val=""/>
      <w:lvlPicBulletId w:val="0"/>
      <w:lvlJc w:val="left"/>
      <w:pPr>
        <w:tabs>
          <w:tab w:val="num" w:pos="3600"/>
        </w:tabs>
        <w:ind w:left="3600" w:hanging="360"/>
      </w:pPr>
      <w:rPr>
        <w:rFonts w:ascii="Symbol" w:hAnsi="Symbol" w:hint="default"/>
      </w:rPr>
    </w:lvl>
    <w:lvl w:ilvl="5" w:tplc="6F603668" w:tentative="1">
      <w:start w:val="1"/>
      <w:numFmt w:val="bullet"/>
      <w:lvlText w:val=""/>
      <w:lvlPicBulletId w:val="0"/>
      <w:lvlJc w:val="left"/>
      <w:pPr>
        <w:tabs>
          <w:tab w:val="num" w:pos="4320"/>
        </w:tabs>
        <w:ind w:left="4320" w:hanging="360"/>
      </w:pPr>
      <w:rPr>
        <w:rFonts w:ascii="Symbol" w:hAnsi="Symbol" w:hint="default"/>
      </w:rPr>
    </w:lvl>
    <w:lvl w:ilvl="6" w:tplc="ADDA2F66" w:tentative="1">
      <w:start w:val="1"/>
      <w:numFmt w:val="bullet"/>
      <w:lvlText w:val=""/>
      <w:lvlPicBulletId w:val="0"/>
      <w:lvlJc w:val="left"/>
      <w:pPr>
        <w:tabs>
          <w:tab w:val="num" w:pos="5040"/>
        </w:tabs>
        <w:ind w:left="5040" w:hanging="360"/>
      </w:pPr>
      <w:rPr>
        <w:rFonts w:ascii="Symbol" w:hAnsi="Symbol" w:hint="default"/>
      </w:rPr>
    </w:lvl>
    <w:lvl w:ilvl="7" w:tplc="B43C16AA" w:tentative="1">
      <w:start w:val="1"/>
      <w:numFmt w:val="bullet"/>
      <w:lvlText w:val=""/>
      <w:lvlPicBulletId w:val="0"/>
      <w:lvlJc w:val="left"/>
      <w:pPr>
        <w:tabs>
          <w:tab w:val="num" w:pos="5760"/>
        </w:tabs>
        <w:ind w:left="5760" w:hanging="360"/>
      </w:pPr>
      <w:rPr>
        <w:rFonts w:ascii="Symbol" w:hAnsi="Symbol" w:hint="default"/>
      </w:rPr>
    </w:lvl>
    <w:lvl w:ilvl="8" w:tplc="C84A697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53217CE"/>
    <w:multiLevelType w:val="hybridMultilevel"/>
    <w:tmpl w:val="6D2CC5E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59A96BDC"/>
    <w:multiLevelType w:val="hybridMultilevel"/>
    <w:tmpl w:val="39C81658"/>
    <w:lvl w:ilvl="0" w:tplc="7488157C">
      <w:start w:val="1"/>
      <w:numFmt w:val="bullet"/>
      <w:lvlText w:val=""/>
      <w:lvlPicBulletId w:val="0"/>
      <w:lvlJc w:val="left"/>
      <w:pPr>
        <w:tabs>
          <w:tab w:val="num" w:pos="720"/>
        </w:tabs>
        <w:ind w:left="720" w:hanging="360"/>
      </w:pPr>
      <w:rPr>
        <w:rFonts w:ascii="Symbol" w:hAnsi="Symbol" w:hint="default"/>
      </w:rPr>
    </w:lvl>
    <w:lvl w:ilvl="1" w:tplc="82849D70" w:tentative="1">
      <w:start w:val="1"/>
      <w:numFmt w:val="bullet"/>
      <w:lvlText w:val=""/>
      <w:lvlPicBulletId w:val="0"/>
      <w:lvlJc w:val="left"/>
      <w:pPr>
        <w:tabs>
          <w:tab w:val="num" w:pos="1440"/>
        </w:tabs>
        <w:ind w:left="1440" w:hanging="360"/>
      </w:pPr>
      <w:rPr>
        <w:rFonts w:ascii="Symbol" w:hAnsi="Symbol" w:hint="default"/>
      </w:rPr>
    </w:lvl>
    <w:lvl w:ilvl="2" w:tplc="4F54CD44" w:tentative="1">
      <w:start w:val="1"/>
      <w:numFmt w:val="bullet"/>
      <w:lvlText w:val=""/>
      <w:lvlPicBulletId w:val="0"/>
      <w:lvlJc w:val="left"/>
      <w:pPr>
        <w:tabs>
          <w:tab w:val="num" w:pos="2160"/>
        </w:tabs>
        <w:ind w:left="2160" w:hanging="360"/>
      </w:pPr>
      <w:rPr>
        <w:rFonts w:ascii="Symbol" w:hAnsi="Symbol" w:hint="default"/>
      </w:rPr>
    </w:lvl>
    <w:lvl w:ilvl="3" w:tplc="6A0A77D8" w:tentative="1">
      <w:start w:val="1"/>
      <w:numFmt w:val="bullet"/>
      <w:lvlText w:val=""/>
      <w:lvlPicBulletId w:val="0"/>
      <w:lvlJc w:val="left"/>
      <w:pPr>
        <w:tabs>
          <w:tab w:val="num" w:pos="2880"/>
        </w:tabs>
        <w:ind w:left="2880" w:hanging="360"/>
      </w:pPr>
      <w:rPr>
        <w:rFonts w:ascii="Symbol" w:hAnsi="Symbol" w:hint="default"/>
      </w:rPr>
    </w:lvl>
    <w:lvl w:ilvl="4" w:tplc="1EEE17E2" w:tentative="1">
      <w:start w:val="1"/>
      <w:numFmt w:val="bullet"/>
      <w:lvlText w:val=""/>
      <w:lvlPicBulletId w:val="0"/>
      <w:lvlJc w:val="left"/>
      <w:pPr>
        <w:tabs>
          <w:tab w:val="num" w:pos="3600"/>
        </w:tabs>
        <w:ind w:left="3600" w:hanging="360"/>
      </w:pPr>
      <w:rPr>
        <w:rFonts w:ascii="Symbol" w:hAnsi="Symbol" w:hint="default"/>
      </w:rPr>
    </w:lvl>
    <w:lvl w:ilvl="5" w:tplc="956855D6" w:tentative="1">
      <w:start w:val="1"/>
      <w:numFmt w:val="bullet"/>
      <w:lvlText w:val=""/>
      <w:lvlPicBulletId w:val="0"/>
      <w:lvlJc w:val="left"/>
      <w:pPr>
        <w:tabs>
          <w:tab w:val="num" w:pos="4320"/>
        </w:tabs>
        <w:ind w:left="4320" w:hanging="360"/>
      </w:pPr>
      <w:rPr>
        <w:rFonts w:ascii="Symbol" w:hAnsi="Symbol" w:hint="default"/>
      </w:rPr>
    </w:lvl>
    <w:lvl w:ilvl="6" w:tplc="897CC360" w:tentative="1">
      <w:start w:val="1"/>
      <w:numFmt w:val="bullet"/>
      <w:lvlText w:val=""/>
      <w:lvlPicBulletId w:val="0"/>
      <w:lvlJc w:val="left"/>
      <w:pPr>
        <w:tabs>
          <w:tab w:val="num" w:pos="5040"/>
        </w:tabs>
        <w:ind w:left="5040" w:hanging="360"/>
      </w:pPr>
      <w:rPr>
        <w:rFonts w:ascii="Symbol" w:hAnsi="Symbol" w:hint="default"/>
      </w:rPr>
    </w:lvl>
    <w:lvl w:ilvl="7" w:tplc="AB4E4C8C" w:tentative="1">
      <w:start w:val="1"/>
      <w:numFmt w:val="bullet"/>
      <w:lvlText w:val=""/>
      <w:lvlPicBulletId w:val="0"/>
      <w:lvlJc w:val="left"/>
      <w:pPr>
        <w:tabs>
          <w:tab w:val="num" w:pos="5760"/>
        </w:tabs>
        <w:ind w:left="5760" w:hanging="360"/>
      </w:pPr>
      <w:rPr>
        <w:rFonts w:ascii="Symbol" w:hAnsi="Symbol" w:hint="default"/>
      </w:rPr>
    </w:lvl>
    <w:lvl w:ilvl="8" w:tplc="EDEC288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DDF7850"/>
    <w:multiLevelType w:val="hybridMultilevel"/>
    <w:tmpl w:val="B70E48B0"/>
    <w:lvl w:ilvl="0" w:tplc="18A0FC14">
      <w:start w:val="1"/>
      <w:numFmt w:val="bullet"/>
      <w:lvlText w:val=""/>
      <w:lvlPicBulletId w:val="0"/>
      <w:lvlJc w:val="left"/>
      <w:pPr>
        <w:tabs>
          <w:tab w:val="num" w:pos="720"/>
        </w:tabs>
        <w:ind w:left="720" w:hanging="360"/>
      </w:pPr>
      <w:rPr>
        <w:rFonts w:ascii="Symbol" w:hAnsi="Symbol" w:hint="default"/>
      </w:rPr>
    </w:lvl>
    <w:lvl w:ilvl="1" w:tplc="514056E4" w:tentative="1">
      <w:start w:val="1"/>
      <w:numFmt w:val="bullet"/>
      <w:lvlText w:val=""/>
      <w:lvlPicBulletId w:val="0"/>
      <w:lvlJc w:val="left"/>
      <w:pPr>
        <w:tabs>
          <w:tab w:val="num" w:pos="1440"/>
        </w:tabs>
        <w:ind w:left="1440" w:hanging="360"/>
      </w:pPr>
      <w:rPr>
        <w:rFonts w:ascii="Symbol" w:hAnsi="Symbol" w:hint="default"/>
      </w:rPr>
    </w:lvl>
    <w:lvl w:ilvl="2" w:tplc="D3DE63CE" w:tentative="1">
      <w:start w:val="1"/>
      <w:numFmt w:val="bullet"/>
      <w:lvlText w:val=""/>
      <w:lvlPicBulletId w:val="0"/>
      <w:lvlJc w:val="left"/>
      <w:pPr>
        <w:tabs>
          <w:tab w:val="num" w:pos="2160"/>
        </w:tabs>
        <w:ind w:left="2160" w:hanging="360"/>
      </w:pPr>
      <w:rPr>
        <w:rFonts w:ascii="Symbol" w:hAnsi="Symbol" w:hint="default"/>
      </w:rPr>
    </w:lvl>
    <w:lvl w:ilvl="3" w:tplc="5190849A" w:tentative="1">
      <w:start w:val="1"/>
      <w:numFmt w:val="bullet"/>
      <w:lvlText w:val=""/>
      <w:lvlPicBulletId w:val="0"/>
      <w:lvlJc w:val="left"/>
      <w:pPr>
        <w:tabs>
          <w:tab w:val="num" w:pos="2880"/>
        </w:tabs>
        <w:ind w:left="2880" w:hanging="360"/>
      </w:pPr>
      <w:rPr>
        <w:rFonts w:ascii="Symbol" w:hAnsi="Symbol" w:hint="default"/>
      </w:rPr>
    </w:lvl>
    <w:lvl w:ilvl="4" w:tplc="724E7EBC" w:tentative="1">
      <w:start w:val="1"/>
      <w:numFmt w:val="bullet"/>
      <w:lvlText w:val=""/>
      <w:lvlPicBulletId w:val="0"/>
      <w:lvlJc w:val="left"/>
      <w:pPr>
        <w:tabs>
          <w:tab w:val="num" w:pos="3600"/>
        </w:tabs>
        <w:ind w:left="3600" w:hanging="360"/>
      </w:pPr>
      <w:rPr>
        <w:rFonts w:ascii="Symbol" w:hAnsi="Symbol" w:hint="default"/>
      </w:rPr>
    </w:lvl>
    <w:lvl w:ilvl="5" w:tplc="76287B60" w:tentative="1">
      <w:start w:val="1"/>
      <w:numFmt w:val="bullet"/>
      <w:lvlText w:val=""/>
      <w:lvlPicBulletId w:val="0"/>
      <w:lvlJc w:val="left"/>
      <w:pPr>
        <w:tabs>
          <w:tab w:val="num" w:pos="4320"/>
        </w:tabs>
        <w:ind w:left="4320" w:hanging="360"/>
      </w:pPr>
      <w:rPr>
        <w:rFonts w:ascii="Symbol" w:hAnsi="Symbol" w:hint="default"/>
      </w:rPr>
    </w:lvl>
    <w:lvl w:ilvl="6" w:tplc="855CB53A" w:tentative="1">
      <w:start w:val="1"/>
      <w:numFmt w:val="bullet"/>
      <w:lvlText w:val=""/>
      <w:lvlPicBulletId w:val="0"/>
      <w:lvlJc w:val="left"/>
      <w:pPr>
        <w:tabs>
          <w:tab w:val="num" w:pos="5040"/>
        </w:tabs>
        <w:ind w:left="5040" w:hanging="360"/>
      </w:pPr>
      <w:rPr>
        <w:rFonts w:ascii="Symbol" w:hAnsi="Symbol" w:hint="default"/>
      </w:rPr>
    </w:lvl>
    <w:lvl w:ilvl="7" w:tplc="0DFE252C" w:tentative="1">
      <w:start w:val="1"/>
      <w:numFmt w:val="bullet"/>
      <w:lvlText w:val=""/>
      <w:lvlPicBulletId w:val="0"/>
      <w:lvlJc w:val="left"/>
      <w:pPr>
        <w:tabs>
          <w:tab w:val="num" w:pos="5760"/>
        </w:tabs>
        <w:ind w:left="5760" w:hanging="360"/>
      </w:pPr>
      <w:rPr>
        <w:rFonts w:ascii="Symbol" w:hAnsi="Symbol" w:hint="default"/>
      </w:rPr>
    </w:lvl>
    <w:lvl w:ilvl="8" w:tplc="77E63306"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9AD639F"/>
    <w:multiLevelType w:val="hybridMultilevel"/>
    <w:tmpl w:val="3112C7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72D3DB0"/>
    <w:multiLevelType w:val="hybridMultilevel"/>
    <w:tmpl w:val="AD84183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4"/>
  </w:num>
  <w:num w:numId="2">
    <w:abstractNumId w:val="6"/>
  </w:num>
  <w:num w:numId="3">
    <w:abstractNumId w:val="8"/>
  </w:num>
  <w:num w:numId="4">
    <w:abstractNumId w:val="10"/>
  </w:num>
  <w:num w:numId="5">
    <w:abstractNumId w:val="11"/>
  </w:num>
  <w:num w:numId="6">
    <w:abstractNumId w:val="5"/>
  </w:num>
  <w:num w:numId="7">
    <w:abstractNumId w:val="13"/>
  </w:num>
  <w:num w:numId="8">
    <w:abstractNumId w:val="9"/>
  </w:num>
  <w:num w:numId="9">
    <w:abstractNumId w:val="0"/>
  </w:num>
  <w:num w:numId="10">
    <w:abstractNumId w:val="12"/>
  </w:num>
  <w:num w:numId="11">
    <w:abstractNumId w:val="3"/>
  </w:num>
  <w:num w:numId="12">
    <w:abstractNumId w:val="7"/>
  </w:num>
  <w:num w:numId="13">
    <w:abstractNumId w:val="1"/>
  </w:num>
  <w:num w:numId="14">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20"/>
  <w:drawingGridHorizontalSpacing w:val="110"/>
  <w:displayHorizontalDrawingGridEvery w:val="2"/>
  <w:characterSpacingControl w:val="doNotCompress"/>
  <w:hdrShapeDefaults>
    <o:shapedefaults v:ext="edit" spidmax="7170"/>
    <o:shapelayout v:ext="edit">
      <o:idmap v:ext="edit" data="2"/>
      <o:rules v:ext="edit">
        <o:r id="V:Rule2" type="connector" idref="#AutoShape 1"/>
      </o:rules>
    </o:shapelayout>
  </w:hdrShapeDefaults>
  <w:footnotePr>
    <w:footnote w:id="-1"/>
    <w:footnote w:id="0"/>
  </w:footnotePr>
  <w:endnotePr>
    <w:endnote w:id="-1"/>
    <w:endnote w:id="0"/>
  </w:endnotePr>
  <w:compat>
    <w:useFELayout/>
  </w:compat>
  <w:rsids>
    <w:rsidRoot w:val="00256EEC"/>
    <w:rsid w:val="000208F1"/>
    <w:rsid w:val="000245C3"/>
    <w:rsid w:val="000375F5"/>
    <w:rsid w:val="000E61C7"/>
    <w:rsid w:val="00114DC3"/>
    <w:rsid w:val="001216C8"/>
    <w:rsid w:val="0018119A"/>
    <w:rsid w:val="00192E7F"/>
    <w:rsid w:val="002251BF"/>
    <w:rsid w:val="002516FF"/>
    <w:rsid w:val="00256EEC"/>
    <w:rsid w:val="00297583"/>
    <w:rsid w:val="002E0486"/>
    <w:rsid w:val="002E347D"/>
    <w:rsid w:val="003869CE"/>
    <w:rsid w:val="004474C8"/>
    <w:rsid w:val="004F1277"/>
    <w:rsid w:val="00541432"/>
    <w:rsid w:val="005959ED"/>
    <w:rsid w:val="00597807"/>
    <w:rsid w:val="006556B0"/>
    <w:rsid w:val="006E0811"/>
    <w:rsid w:val="00740E0C"/>
    <w:rsid w:val="00765316"/>
    <w:rsid w:val="00855057"/>
    <w:rsid w:val="00863F1C"/>
    <w:rsid w:val="00867943"/>
    <w:rsid w:val="009232AC"/>
    <w:rsid w:val="009B0C59"/>
    <w:rsid w:val="009B7B84"/>
    <w:rsid w:val="009D35C7"/>
    <w:rsid w:val="009E4528"/>
    <w:rsid w:val="009E57D7"/>
    <w:rsid w:val="009E6F4F"/>
    <w:rsid w:val="009F40C1"/>
    <w:rsid w:val="00A2739A"/>
    <w:rsid w:val="00AC5549"/>
    <w:rsid w:val="00B13955"/>
    <w:rsid w:val="00B259FB"/>
    <w:rsid w:val="00B66319"/>
    <w:rsid w:val="00BA0590"/>
    <w:rsid w:val="00BA59E0"/>
    <w:rsid w:val="00BB0693"/>
    <w:rsid w:val="00BB6D2B"/>
    <w:rsid w:val="00BE278D"/>
    <w:rsid w:val="00C218E1"/>
    <w:rsid w:val="00C73506"/>
    <w:rsid w:val="00CB1E89"/>
    <w:rsid w:val="00D41967"/>
    <w:rsid w:val="00D47E5E"/>
    <w:rsid w:val="00D56B35"/>
    <w:rsid w:val="00D64C9E"/>
    <w:rsid w:val="00DD3BE0"/>
    <w:rsid w:val="00E355F5"/>
    <w:rsid w:val="00E76293"/>
    <w:rsid w:val="00E91CAA"/>
    <w:rsid w:val="00EA31CC"/>
    <w:rsid w:val="00EC7476"/>
    <w:rsid w:val="00ED03F9"/>
    <w:rsid w:val="00ED76C0"/>
    <w:rsid w:val="00EF0448"/>
    <w:rsid w:val="00F11070"/>
    <w:rsid w:val="00F51213"/>
    <w:rsid w:val="00FA26D6"/>
    <w:rsid w:val="00FB639F"/>
    <w:rsid w:val="00FC2BC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476"/>
  </w:style>
  <w:style w:type="paragraph" w:styleId="1">
    <w:name w:val="heading 1"/>
    <w:basedOn w:val="a"/>
    <w:link w:val="1Char"/>
    <w:uiPriority w:val="9"/>
    <w:qFormat/>
    <w:rsid w:val="001216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74C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74C8"/>
    <w:rPr>
      <w:rFonts w:ascii="Tahoma" w:hAnsi="Tahoma" w:cs="Tahoma"/>
      <w:sz w:val="16"/>
      <w:szCs w:val="16"/>
    </w:rPr>
  </w:style>
  <w:style w:type="paragraph" w:styleId="Web">
    <w:name w:val="Normal (Web)"/>
    <w:basedOn w:val="a"/>
    <w:uiPriority w:val="99"/>
    <w:unhideWhenUsed/>
    <w:rsid w:val="004474C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0"/>
    <w:uiPriority w:val="99"/>
    <w:semiHidden/>
    <w:unhideWhenUsed/>
    <w:rsid w:val="004474C8"/>
    <w:pPr>
      <w:tabs>
        <w:tab w:val="center" w:pos="4153"/>
        <w:tab w:val="right" w:pos="8306"/>
      </w:tabs>
      <w:spacing w:after="0" w:line="240" w:lineRule="auto"/>
    </w:pPr>
  </w:style>
  <w:style w:type="character" w:customStyle="1" w:styleId="Char0">
    <w:name w:val="Κεφαλίδα Char"/>
    <w:basedOn w:val="a0"/>
    <w:link w:val="a4"/>
    <w:uiPriority w:val="99"/>
    <w:semiHidden/>
    <w:rsid w:val="004474C8"/>
  </w:style>
  <w:style w:type="paragraph" w:styleId="a5">
    <w:name w:val="footer"/>
    <w:basedOn w:val="a"/>
    <w:link w:val="Char1"/>
    <w:uiPriority w:val="99"/>
    <w:semiHidden/>
    <w:unhideWhenUsed/>
    <w:rsid w:val="004474C8"/>
    <w:pPr>
      <w:tabs>
        <w:tab w:val="center" w:pos="4153"/>
        <w:tab w:val="right" w:pos="8306"/>
      </w:tabs>
      <w:spacing w:after="0" w:line="240" w:lineRule="auto"/>
    </w:pPr>
  </w:style>
  <w:style w:type="character" w:customStyle="1" w:styleId="Char1">
    <w:name w:val="Υποσέλιδο Char"/>
    <w:basedOn w:val="a0"/>
    <w:link w:val="a5"/>
    <w:uiPriority w:val="99"/>
    <w:semiHidden/>
    <w:rsid w:val="004474C8"/>
  </w:style>
  <w:style w:type="table" w:styleId="a6">
    <w:name w:val="Table Grid"/>
    <w:basedOn w:val="a1"/>
    <w:uiPriority w:val="59"/>
    <w:rsid w:val="00F51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14DC3"/>
    <w:pPr>
      <w:ind w:left="720"/>
      <w:contextualSpacing/>
    </w:pPr>
  </w:style>
  <w:style w:type="paragraph" w:customStyle="1" w:styleId="Title1">
    <w:name w:val="Title1"/>
    <w:basedOn w:val="a"/>
    <w:rsid w:val="00114DC3"/>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114DC3"/>
    <w:rPr>
      <w:color w:val="0000FF"/>
      <w:u w:val="single"/>
    </w:rPr>
  </w:style>
  <w:style w:type="paragraph" w:customStyle="1" w:styleId="rprtbody">
    <w:name w:val="rprtbody"/>
    <w:basedOn w:val="a"/>
    <w:rsid w:val="0011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x">
    <w:name w:val="aux"/>
    <w:basedOn w:val="a"/>
    <w:rsid w:val="00114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
    <w:name w:val="src"/>
    <w:basedOn w:val="a0"/>
    <w:rsid w:val="00114DC3"/>
  </w:style>
  <w:style w:type="character" w:customStyle="1" w:styleId="jrnl">
    <w:name w:val="jrnl"/>
    <w:basedOn w:val="a0"/>
    <w:rsid w:val="00114DC3"/>
  </w:style>
  <w:style w:type="character" w:customStyle="1" w:styleId="1Char">
    <w:name w:val="Επικεφαλίδα 1 Char"/>
    <w:basedOn w:val="a0"/>
    <w:link w:val="1"/>
    <w:uiPriority w:val="9"/>
    <w:rsid w:val="001216C8"/>
    <w:rPr>
      <w:rFonts w:ascii="Times New Roman" w:eastAsia="Times New Roman" w:hAnsi="Times New Roman" w:cs="Times New Roman"/>
      <w:b/>
      <w:bCs/>
      <w:kern w:val="36"/>
      <w:sz w:val="48"/>
      <w:szCs w:val="48"/>
      <w:lang w:eastAsia="el-GR"/>
    </w:rPr>
  </w:style>
  <w:style w:type="paragraph" w:customStyle="1" w:styleId="citation">
    <w:name w:val="citation"/>
    <w:basedOn w:val="a"/>
    <w:rsid w:val="001216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a"/>
    <w:rsid w:val="001216C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16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4C8"/>
    <w:rPr>
      <w:rFonts w:ascii="Tahoma" w:hAnsi="Tahoma" w:cs="Tahoma"/>
      <w:sz w:val="16"/>
      <w:szCs w:val="16"/>
    </w:rPr>
  </w:style>
  <w:style w:type="paragraph" w:styleId="NormalWeb">
    <w:name w:val="Normal (Web)"/>
    <w:basedOn w:val="Normal"/>
    <w:uiPriority w:val="99"/>
    <w:unhideWhenUsed/>
    <w:rsid w:val="004474C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474C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474C8"/>
  </w:style>
  <w:style w:type="paragraph" w:styleId="Footer">
    <w:name w:val="footer"/>
    <w:basedOn w:val="Normal"/>
    <w:link w:val="FooterChar"/>
    <w:uiPriority w:val="99"/>
    <w:semiHidden/>
    <w:unhideWhenUsed/>
    <w:rsid w:val="004474C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474C8"/>
  </w:style>
  <w:style w:type="table" w:styleId="TableGrid">
    <w:name w:val="Table Grid"/>
    <w:basedOn w:val="TableNormal"/>
    <w:uiPriority w:val="59"/>
    <w:rsid w:val="00F51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4DC3"/>
    <w:pPr>
      <w:ind w:left="720"/>
      <w:contextualSpacing/>
    </w:pPr>
  </w:style>
  <w:style w:type="paragraph" w:customStyle="1" w:styleId="Title1">
    <w:name w:val="Title1"/>
    <w:basedOn w:val="Normal"/>
    <w:rsid w:val="00114DC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14DC3"/>
    <w:rPr>
      <w:color w:val="0000FF"/>
      <w:u w:val="single"/>
    </w:rPr>
  </w:style>
  <w:style w:type="paragraph" w:customStyle="1" w:styleId="rprtbody">
    <w:name w:val="rprtbody"/>
    <w:basedOn w:val="Normal"/>
    <w:rsid w:val="0011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x">
    <w:name w:val="aux"/>
    <w:basedOn w:val="Normal"/>
    <w:rsid w:val="00114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c">
    <w:name w:val="src"/>
    <w:basedOn w:val="DefaultParagraphFont"/>
    <w:rsid w:val="00114DC3"/>
  </w:style>
  <w:style w:type="character" w:customStyle="1" w:styleId="jrnl">
    <w:name w:val="jrnl"/>
    <w:basedOn w:val="DefaultParagraphFont"/>
    <w:rsid w:val="00114DC3"/>
  </w:style>
  <w:style w:type="character" w:customStyle="1" w:styleId="Heading1Char">
    <w:name w:val="Heading 1 Char"/>
    <w:basedOn w:val="DefaultParagraphFont"/>
    <w:link w:val="Heading1"/>
    <w:uiPriority w:val="9"/>
    <w:rsid w:val="001216C8"/>
    <w:rPr>
      <w:rFonts w:ascii="Times New Roman" w:eastAsia="Times New Roman" w:hAnsi="Times New Roman" w:cs="Times New Roman"/>
      <w:b/>
      <w:bCs/>
      <w:kern w:val="36"/>
      <w:sz w:val="48"/>
      <w:szCs w:val="48"/>
      <w:lang w:eastAsia="el-GR"/>
    </w:rPr>
  </w:style>
  <w:style w:type="paragraph" w:customStyle="1" w:styleId="citation">
    <w:name w:val="citation"/>
    <w:basedOn w:val="Normal"/>
    <w:rsid w:val="001216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rsid w:val="001216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52096">
      <w:bodyDiv w:val="1"/>
      <w:marLeft w:val="0"/>
      <w:marRight w:val="0"/>
      <w:marTop w:val="0"/>
      <w:marBottom w:val="0"/>
      <w:divBdr>
        <w:top w:val="none" w:sz="0" w:space="0" w:color="auto"/>
        <w:left w:val="none" w:sz="0" w:space="0" w:color="auto"/>
        <w:bottom w:val="none" w:sz="0" w:space="0" w:color="auto"/>
        <w:right w:val="none" w:sz="0" w:space="0" w:color="auto"/>
      </w:divBdr>
      <w:divsChild>
        <w:div w:id="2094859609">
          <w:marLeft w:val="547"/>
          <w:marRight w:val="0"/>
          <w:marTop w:val="96"/>
          <w:marBottom w:val="0"/>
          <w:divBdr>
            <w:top w:val="none" w:sz="0" w:space="0" w:color="auto"/>
            <w:left w:val="none" w:sz="0" w:space="0" w:color="auto"/>
            <w:bottom w:val="none" w:sz="0" w:space="0" w:color="auto"/>
            <w:right w:val="none" w:sz="0" w:space="0" w:color="auto"/>
          </w:divBdr>
        </w:div>
        <w:div w:id="462967093">
          <w:marLeft w:val="547"/>
          <w:marRight w:val="0"/>
          <w:marTop w:val="96"/>
          <w:marBottom w:val="0"/>
          <w:divBdr>
            <w:top w:val="none" w:sz="0" w:space="0" w:color="auto"/>
            <w:left w:val="none" w:sz="0" w:space="0" w:color="auto"/>
            <w:bottom w:val="none" w:sz="0" w:space="0" w:color="auto"/>
            <w:right w:val="none" w:sz="0" w:space="0" w:color="auto"/>
          </w:divBdr>
        </w:div>
      </w:divsChild>
    </w:div>
    <w:div w:id="178859677">
      <w:bodyDiv w:val="1"/>
      <w:marLeft w:val="0"/>
      <w:marRight w:val="0"/>
      <w:marTop w:val="0"/>
      <w:marBottom w:val="0"/>
      <w:divBdr>
        <w:top w:val="none" w:sz="0" w:space="0" w:color="auto"/>
        <w:left w:val="none" w:sz="0" w:space="0" w:color="auto"/>
        <w:bottom w:val="none" w:sz="0" w:space="0" w:color="auto"/>
        <w:right w:val="none" w:sz="0" w:space="0" w:color="auto"/>
      </w:divBdr>
      <w:divsChild>
        <w:div w:id="346758244">
          <w:marLeft w:val="547"/>
          <w:marRight w:val="0"/>
          <w:marTop w:val="115"/>
          <w:marBottom w:val="0"/>
          <w:divBdr>
            <w:top w:val="none" w:sz="0" w:space="0" w:color="auto"/>
            <w:left w:val="none" w:sz="0" w:space="0" w:color="auto"/>
            <w:bottom w:val="none" w:sz="0" w:space="0" w:color="auto"/>
            <w:right w:val="none" w:sz="0" w:space="0" w:color="auto"/>
          </w:divBdr>
        </w:div>
        <w:div w:id="1747799723">
          <w:marLeft w:val="547"/>
          <w:marRight w:val="0"/>
          <w:marTop w:val="115"/>
          <w:marBottom w:val="0"/>
          <w:divBdr>
            <w:top w:val="none" w:sz="0" w:space="0" w:color="auto"/>
            <w:left w:val="none" w:sz="0" w:space="0" w:color="auto"/>
            <w:bottom w:val="none" w:sz="0" w:space="0" w:color="auto"/>
            <w:right w:val="none" w:sz="0" w:space="0" w:color="auto"/>
          </w:divBdr>
        </w:div>
        <w:div w:id="803429939">
          <w:marLeft w:val="547"/>
          <w:marRight w:val="0"/>
          <w:marTop w:val="115"/>
          <w:marBottom w:val="0"/>
          <w:divBdr>
            <w:top w:val="none" w:sz="0" w:space="0" w:color="auto"/>
            <w:left w:val="none" w:sz="0" w:space="0" w:color="auto"/>
            <w:bottom w:val="none" w:sz="0" w:space="0" w:color="auto"/>
            <w:right w:val="none" w:sz="0" w:space="0" w:color="auto"/>
          </w:divBdr>
        </w:div>
        <w:div w:id="1532768141">
          <w:marLeft w:val="547"/>
          <w:marRight w:val="0"/>
          <w:marTop w:val="115"/>
          <w:marBottom w:val="0"/>
          <w:divBdr>
            <w:top w:val="none" w:sz="0" w:space="0" w:color="auto"/>
            <w:left w:val="none" w:sz="0" w:space="0" w:color="auto"/>
            <w:bottom w:val="none" w:sz="0" w:space="0" w:color="auto"/>
            <w:right w:val="none" w:sz="0" w:space="0" w:color="auto"/>
          </w:divBdr>
        </w:div>
        <w:div w:id="1061559628">
          <w:marLeft w:val="547"/>
          <w:marRight w:val="0"/>
          <w:marTop w:val="115"/>
          <w:marBottom w:val="0"/>
          <w:divBdr>
            <w:top w:val="none" w:sz="0" w:space="0" w:color="auto"/>
            <w:left w:val="none" w:sz="0" w:space="0" w:color="auto"/>
            <w:bottom w:val="none" w:sz="0" w:space="0" w:color="auto"/>
            <w:right w:val="none" w:sz="0" w:space="0" w:color="auto"/>
          </w:divBdr>
        </w:div>
      </w:divsChild>
    </w:div>
    <w:div w:id="405035546">
      <w:bodyDiv w:val="1"/>
      <w:marLeft w:val="0"/>
      <w:marRight w:val="0"/>
      <w:marTop w:val="0"/>
      <w:marBottom w:val="0"/>
      <w:divBdr>
        <w:top w:val="none" w:sz="0" w:space="0" w:color="auto"/>
        <w:left w:val="none" w:sz="0" w:space="0" w:color="auto"/>
        <w:bottom w:val="none" w:sz="0" w:space="0" w:color="auto"/>
        <w:right w:val="none" w:sz="0" w:space="0" w:color="auto"/>
      </w:divBdr>
      <w:divsChild>
        <w:div w:id="1583299623">
          <w:marLeft w:val="547"/>
          <w:marRight w:val="0"/>
          <w:marTop w:val="96"/>
          <w:marBottom w:val="0"/>
          <w:divBdr>
            <w:top w:val="none" w:sz="0" w:space="0" w:color="auto"/>
            <w:left w:val="none" w:sz="0" w:space="0" w:color="auto"/>
            <w:bottom w:val="none" w:sz="0" w:space="0" w:color="auto"/>
            <w:right w:val="none" w:sz="0" w:space="0" w:color="auto"/>
          </w:divBdr>
        </w:div>
        <w:div w:id="1740402679">
          <w:marLeft w:val="547"/>
          <w:marRight w:val="0"/>
          <w:marTop w:val="96"/>
          <w:marBottom w:val="0"/>
          <w:divBdr>
            <w:top w:val="none" w:sz="0" w:space="0" w:color="auto"/>
            <w:left w:val="none" w:sz="0" w:space="0" w:color="auto"/>
            <w:bottom w:val="none" w:sz="0" w:space="0" w:color="auto"/>
            <w:right w:val="none" w:sz="0" w:space="0" w:color="auto"/>
          </w:divBdr>
        </w:div>
        <w:div w:id="420680047">
          <w:marLeft w:val="547"/>
          <w:marRight w:val="0"/>
          <w:marTop w:val="96"/>
          <w:marBottom w:val="0"/>
          <w:divBdr>
            <w:top w:val="none" w:sz="0" w:space="0" w:color="auto"/>
            <w:left w:val="none" w:sz="0" w:space="0" w:color="auto"/>
            <w:bottom w:val="none" w:sz="0" w:space="0" w:color="auto"/>
            <w:right w:val="none" w:sz="0" w:space="0" w:color="auto"/>
          </w:divBdr>
        </w:div>
        <w:div w:id="369382354">
          <w:marLeft w:val="547"/>
          <w:marRight w:val="0"/>
          <w:marTop w:val="96"/>
          <w:marBottom w:val="0"/>
          <w:divBdr>
            <w:top w:val="none" w:sz="0" w:space="0" w:color="auto"/>
            <w:left w:val="none" w:sz="0" w:space="0" w:color="auto"/>
            <w:bottom w:val="none" w:sz="0" w:space="0" w:color="auto"/>
            <w:right w:val="none" w:sz="0" w:space="0" w:color="auto"/>
          </w:divBdr>
        </w:div>
        <w:div w:id="24985094">
          <w:marLeft w:val="547"/>
          <w:marRight w:val="0"/>
          <w:marTop w:val="96"/>
          <w:marBottom w:val="0"/>
          <w:divBdr>
            <w:top w:val="none" w:sz="0" w:space="0" w:color="auto"/>
            <w:left w:val="none" w:sz="0" w:space="0" w:color="auto"/>
            <w:bottom w:val="none" w:sz="0" w:space="0" w:color="auto"/>
            <w:right w:val="none" w:sz="0" w:space="0" w:color="auto"/>
          </w:divBdr>
        </w:div>
      </w:divsChild>
    </w:div>
    <w:div w:id="603615575">
      <w:bodyDiv w:val="1"/>
      <w:marLeft w:val="0"/>
      <w:marRight w:val="0"/>
      <w:marTop w:val="0"/>
      <w:marBottom w:val="0"/>
      <w:divBdr>
        <w:top w:val="none" w:sz="0" w:space="0" w:color="auto"/>
        <w:left w:val="none" w:sz="0" w:space="0" w:color="auto"/>
        <w:bottom w:val="none" w:sz="0" w:space="0" w:color="auto"/>
        <w:right w:val="none" w:sz="0" w:space="0" w:color="auto"/>
      </w:divBdr>
    </w:div>
    <w:div w:id="612565429">
      <w:bodyDiv w:val="1"/>
      <w:marLeft w:val="0"/>
      <w:marRight w:val="0"/>
      <w:marTop w:val="0"/>
      <w:marBottom w:val="0"/>
      <w:divBdr>
        <w:top w:val="none" w:sz="0" w:space="0" w:color="auto"/>
        <w:left w:val="none" w:sz="0" w:space="0" w:color="auto"/>
        <w:bottom w:val="none" w:sz="0" w:space="0" w:color="auto"/>
        <w:right w:val="none" w:sz="0" w:space="0" w:color="auto"/>
      </w:divBdr>
      <w:divsChild>
        <w:div w:id="132218650">
          <w:marLeft w:val="547"/>
          <w:marRight w:val="0"/>
          <w:marTop w:val="96"/>
          <w:marBottom w:val="0"/>
          <w:divBdr>
            <w:top w:val="none" w:sz="0" w:space="0" w:color="auto"/>
            <w:left w:val="none" w:sz="0" w:space="0" w:color="auto"/>
            <w:bottom w:val="none" w:sz="0" w:space="0" w:color="auto"/>
            <w:right w:val="none" w:sz="0" w:space="0" w:color="auto"/>
          </w:divBdr>
        </w:div>
      </w:divsChild>
    </w:div>
    <w:div w:id="788279610">
      <w:bodyDiv w:val="1"/>
      <w:marLeft w:val="0"/>
      <w:marRight w:val="0"/>
      <w:marTop w:val="0"/>
      <w:marBottom w:val="0"/>
      <w:divBdr>
        <w:top w:val="none" w:sz="0" w:space="0" w:color="auto"/>
        <w:left w:val="none" w:sz="0" w:space="0" w:color="auto"/>
        <w:bottom w:val="none" w:sz="0" w:space="0" w:color="auto"/>
        <w:right w:val="none" w:sz="0" w:space="0" w:color="auto"/>
      </w:divBdr>
      <w:divsChild>
        <w:div w:id="1617981536">
          <w:marLeft w:val="547"/>
          <w:marRight w:val="0"/>
          <w:marTop w:val="115"/>
          <w:marBottom w:val="0"/>
          <w:divBdr>
            <w:top w:val="none" w:sz="0" w:space="0" w:color="auto"/>
            <w:left w:val="none" w:sz="0" w:space="0" w:color="auto"/>
            <w:bottom w:val="none" w:sz="0" w:space="0" w:color="auto"/>
            <w:right w:val="none" w:sz="0" w:space="0" w:color="auto"/>
          </w:divBdr>
        </w:div>
        <w:div w:id="2077973807">
          <w:marLeft w:val="547"/>
          <w:marRight w:val="0"/>
          <w:marTop w:val="115"/>
          <w:marBottom w:val="0"/>
          <w:divBdr>
            <w:top w:val="none" w:sz="0" w:space="0" w:color="auto"/>
            <w:left w:val="none" w:sz="0" w:space="0" w:color="auto"/>
            <w:bottom w:val="none" w:sz="0" w:space="0" w:color="auto"/>
            <w:right w:val="none" w:sz="0" w:space="0" w:color="auto"/>
          </w:divBdr>
        </w:div>
        <w:div w:id="340744742">
          <w:marLeft w:val="547"/>
          <w:marRight w:val="0"/>
          <w:marTop w:val="115"/>
          <w:marBottom w:val="0"/>
          <w:divBdr>
            <w:top w:val="none" w:sz="0" w:space="0" w:color="auto"/>
            <w:left w:val="none" w:sz="0" w:space="0" w:color="auto"/>
            <w:bottom w:val="none" w:sz="0" w:space="0" w:color="auto"/>
            <w:right w:val="none" w:sz="0" w:space="0" w:color="auto"/>
          </w:divBdr>
        </w:div>
        <w:div w:id="1641957454">
          <w:marLeft w:val="547"/>
          <w:marRight w:val="0"/>
          <w:marTop w:val="115"/>
          <w:marBottom w:val="0"/>
          <w:divBdr>
            <w:top w:val="none" w:sz="0" w:space="0" w:color="auto"/>
            <w:left w:val="none" w:sz="0" w:space="0" w:color="auto"/>
            <w:bottom w:val="none" w:sz="0" w:space="0" w:color="auto"/>
            <w:right w:val="none" w:sz="0" w:space="0" w:color="auto"/>
          </w:divBdr>
        </w:div>
        <w:div w:id="1280332176">
          <w:marLeft w:val="547"/>
          <w:marRight w:val="0"/>
          <w:marTop w:val="115"/>
          <w:marBottom w:val="0"/>
          <w:divBdr>
            <w:top w:val="none" w:sz="0" w:space="0" w:color="auto"/>
            <w:left w:val="none" w:sz="0" w:space="0" w:color="auto"/>
            <w:bottom w:val="none" w:sz="0" w:space="0" w:color="auto"/>
            <w:right w:val="none" w:sz="0" w:space="0" w:color="auto"/>
          </w:divBdr>
        </w:div>
      </w:divsChild>
    </w:div>
    <w:div w:id="1082946564">
      <w:bodyDiv w:val="1"/>
      <w:marLeft w:val="0"/>
      <w:marRight w:val="0"/>
      <w:marTop w:val="0"/>
      <w:marBottom w:val="0"/>
      <w:divBdr>
        <w:top w:val="none" w:sz="0" w:space="0" w:color="auto"/>
        <w:left w:val="none" w:sz="0" w:space="0" w:color="auto"/>
        <w:bottom w:val="none" w:sz="0" w:space="0" w:color="auto"/>
        <w:right w:val="none" w:sz="0" w:space="0" w:color="auto"/>
      </w:divBdr>
      <w:divsChild>
        <w:div w:id="1559975891">
          <w:marLeft w:val="547"/>
          <w:marRight w:val="0"/>
          <w:marTop w:val="115"/>
          <w:marBottom w:val="0"/>
          <w:divBdr>
            <w:top w:val="none" w:sz="0" w:space="0" w:color="auto"/>
            <w:left w:val="none" w:sz="0" w:space="0" w:color="auto"/>
            <w:bottom w:val="none" w:sz="0" w:space="0" w:color="auto"/>
            <w:right w:val="none" w:sz="0" w:space="0" w:color="auto"/>
          </w:divBdr>
        </w:div>
        <w:div w:id="1223637898">
          <w:marLeft w:val="547"/>
          <w:marRight w:val="0"/>
          <w:marTop w:val="115"/>
          <w:marBottom w:val="0"/>
          <w:divBdr>
            <w:top w:val="none" w:sz="0" w:space="0" w:color="auto"/>
            <w:left w:val="none" w:sz="0" w:space="0" w:color="auto"/>
            <w:bottom w:val="none" w:sz="0" w:space="0" w:color="auto"/>
            <w:right w:val="none" w:sz="0" w:space="0" w:color="auto"/>
          </w:divBdr>
        </w:div>
        <w:div w:id="17436032">
          <w:marLeft w:val="547"/>
          <w:marRight w:val="0"/>
          <w:marTop w:val="115"/>
          <w:marBottom w:val="0"/>
          <w:divBdr>
            <w:top w:val="none" w:sz="0" w:space="0" w:color="auto"/>
            <w:left w:val="none" w:sz="0" w:space="0" w:color="auto"/>
            <w:bottom w:val="none" w:sz="0" w:space="0" w:color="auto"/>
            <w:right w:val="none" w:sz="0" w:space="0" w:color="auto"/>
          </w:divBdr>
        </w:div>
        <w:div w:id="582564568">
          <w:marLeft w:val="547"/>
          <w:marRight w:val="0"/>
          <w:marTop w:val="115"/>
          <w:marBottom w:val="0"/>
          <w:divBdr>
            <w:top w:val="none" w:sz="0" w:space="0" w:color="auto"/>
            <w:left w:val="none" w:sz="0" w:space="0" w:color="auto"/>
            <w:bottom w:val="none" w:sz="0" w:space="0" w:color="auto"/>
            <w:right w:val="none" w:sz="0" w:space="0" w:color="auto"/>
          </w:divBdr>
        </w:div>
        <w:div w:id="712458113">
          <w:marLeft w:val="547"/>
          <w:marRight w:val="0"/>
          <w:marTop w:val="115"/>
          <w:marBottom w:val="0"/>
          <w:divBdr>
            <w:top w:val="none" w:sz="0" w:space="0" w:color="auto"/>
            <w:left w:val="none" w:sz="0" w:space="0" w:color="auto"/>
            <w:bottom w:val="none" w:sz="0" w:space="0" w:color="auto"/>
            <w:right w:val="none" w:sz="0" w:space="0" w:color="auto"/>
          </w:divBdr>
        </w:div>
      </w:divsChild>
    </w:div>
    <w:div w:id="1145048814">
      <w:bodyDiv w:val="1"/>
      <w:marLeft w:val="0"/>
      <w:marRight w:val="0"/>
      <w:marTop w:val="0"/>
      <w:marBottom w:val="0"/>
      <w:divBdr>
        <w:top w:val="none" w:sz="0" w:space="0" w:color="auto"/>
        <w:left w:val="none" w:sz="0" w:space="0" w:color="auto"/>
        <w:bottom w:val="none" w:sz="0" w:space="0" w:color="auto"/>
        <w:right w:val="none" w:sz="0" w:space="0" w:color="auto"/>
      </w:divBdr>
    </w:div>
    <w:div w:id="1170482933">
      <w:bodyDiv w:val="1"/>
      <w:marLeft w:val="0"/>
      <w:marRight w:val="0"/>
      <w:marTop w:val="0"/>
      <w:marBottom w:val="0"/>
      <w:divBdr>
        <w:top w:val="none" w:sz="0" w:space="0" w:color="auto"/>
        <w:left w:val="none" w:sz="0" w:space="0" w:color="auto"/>
        <w:bottom w:val="none" w:sz="0" w:space="0" w:color="auto"/>
        <w:right w:val="none" w:sz="0" w:space="0" w:color="auto"/>
      </w:divBdr>
      <w:divsChild>
        <w:div w:id="1931699524">
          <w:marLeft w:val="547"/>
          <w:marRight w:val="0"/>
          <w:marTop w:val="96"/>
          <w:marBottom w:val="0"/>
          <w:divBdr>
            <w:top w:val="none" w:sz="0" w:space="0" w:color="auto"/>
            <w:left w:val="none" w:sz="0" w:space="0" w:color="auto"/>
            <w:bottom w:val="none" w:sz="0" w:space="0" w:color="auto"/>
            <w:right w:val="none" w:sz="0" w:space="0" w:color="auto"/>
          </w:divBdr>
        </w:div>
        <w:div w:id="872427411">
          <w:marLeft w:val="547"/>
          <w:marRight w:val="0"/>
          <w:marTop w:val="96"/>
          <w:marBottom w:val="0"/>
          <w:divBdr>
            <w:top w:val="none" w:sz="0" w:space="0" w:color="auto"/>
            <w:left w:val="none" w:sz="0" w:space="0" w:color="auto"/>
            <w:bottom w:val="none" w:sz="0" w:space="0" w:color="auto"/>
            <w:right w:val="none" w:sz="0" w:space="0" w:color="auto"/>
          </w:divBdr>
        </w:div>
        <w:div w:id="1902327484">
          <w:marLeft w:val="547"/>
          <w:marRight w:val="0"/>
          <w:marTop w:val="96"/>
          <w:marBottom w:val="0"/>
          <w:divBdr>
            <w:top w:val="none" w:sz="0" w:space="0" w:color="auto"/>
            <w:left w:val="none" w:sz="0" w:space="0" w:color="auto"/>
            <w:bottom w:val="none" w:sz="0" w:space="0" w:color="auto"/>
            <w:right w:val="none" w:sz="0" w:space="0" w:color="auto"/>
          </w:divBdr>
        </w:div>
        <w:div w:id="1049498200">
          <w:marLeft w:val="547"/>
          <w:marRight w:val="0"/>
          <w:marTop w:val="96"/>
          <w:marBottom w:val="0"/>
          <w:divBdr>
            <w:top w:val="none" w:sz="0" w:space="0" w:color="auto"/>
            <w:left w:val="none" w:sz="0" w:space="0" w:color="auto"/>
            <w:bottom w:val="none" w:sz="0" w:space="0" w:color="auto"/>
            <w:right w:val="none" w:sz="0" w:space="0" w:color="auto"/>
          </w:divBdr>
        </w:div>
      </w:divsChild>
    </w:div>
    <w:div w:id="1225020236">
      <w:bodyDiv w:val="1"/>
      <w:marLeft w:val="0"/>
      <w:marRight w:val="0"/>
      <w:marTop w:val="0"/>
      <w:marBottom w:val="0"/>
      <w:divBdr>
        <w:top w:val="none" w:sz="0" w:space="0" w:color="auto"/>
        <w:left w:val="none" w:sz="0" w:space="0" w:color="auto"/>
        <w:bottom w:val="none" w:sz="0" w:space="0" w:color="auto"/>
        <w:right w:val="none" w:sz="0" w:space="0" w:color="auto"/>
      </w:divBdr>
      <w:divsChild>
        <w:div w:id="323824002">
          <w:marLeft w:val="547"/>
          <w:marRight w:val="0"/>
          <w:marTop w:val="115"/>
          <w:marBottom w:val="0"/>
          <w:divBdr>
            <w:top w:val="none" w:sz="0" w:space="0" w:color="auto"/>
            <w:left w:val="none" w:sz="0" w:space="0" w:color="auto"/>
            <w:bottom w:val="none" w:sz="0" w:space="0" w:color="auto"/>
            <w:right w:val="none" w:sz="0" w:space="0" w:color="auto"/>
          </w:divBdr>
        </w:div>
        <w:div w:id="1504080686">
          <w:marLeft w:val="547"/>
          <w:marRight w:val="0"/>
          <w:marTop w:val="115"/>
          <w:marBottom w:val="0"/>
          <w:divBdr>
            <w:top w:val="none" w:sz="0" w:space="0" w:color="auto"/>
            <w:left w:val="none" w:sz="0" w:space="0" w:color="auto"/>
            <w:bottom w:val="none" w:sz="0" w:space="0" w:color="auto"/>
            <w:right w:val="none" w:sz="0" w:space="0" w:color="auto"/>
          </w:divBdr>
        </w:div>
        <w:div w:id="1520773571">
          <w:marLeft w:val="547"/>
          <w:marRight w:val="0"/>
          <w:marTop w:val="115"/>
          <w:marBottom w:val="0"/>
          <w:divBdr>
            <w:top w:val="none" w:sz="0" w:space="0" w:color="auto"/>
            <w:left w:val="none" w:sz="0" w:space="0" w:color="auto"/>
            <w:bottom w:val="none" w:sz="0" w:space="0" w:color="auto"/>
            <w:right w:val="none" w:sz="0" w:space="0" w:color="auto"/>
          </w:divBdr>
        </w:div>
        <w:div w:id="519666418">
          <w:marLeft w:val="547"/>
          <w:marRight w:val="0"/>
          <w:marTop w:val="115"/>
          <w:marBottom w:val="0"/>
          <w:divBdr>
            <w:top w:val="none" w:sz="0" w:space="0" w:color="auto"/>
            <w:left w:val="none" w:sz="0" w:space="0" w:color="auto"/>
            <w:bottom w:val="none" w:sz="0" w:space="0" w:color="auto"/>
            <w:right w:val="none" w:sz="0" w:space="0" w:color="auto"/>
          </w:divBdr>
        </w:div>
      </w:divsChild>
    </w:div>
    <w:div w:id="1295256233">
      <w:bodyDiv w:val="1"/>
      <w:marLeft w:val="0"/>
      <w:marRight w:val="0"/>
      <w:marTop w:val="0"/>
      <w:marBottom w:val="0"/>
      <w:divBdr>
        <w:top w:val="none" w:sz="0" w:space="0" w:color="auto"/>
        <w:left w:val="none" w:sz="0" w:space="0" w:color="auto"/>
        <w:bottom w:val="none" w:sz="0" w:space="0" w:color="auto"/>
        <w:right w:val="none" w:sz="0" w:space="0" w:color="auto"/>
      </w:divBdr>
      <w:divsChild>
        <w:div w:id="2133791564">
          <w:marLeft w:val="547"/>
          <w:marRight w:val="0"/>
          <w:marTop w:val="96"/>
          <w:marBottom w:val="0"/>
          <w:divBdr>
            <w:top w:val="none" w:sz="0" w:space="0" w:color="auto"/>
            <w:left w:val="none" w:sz="0" w:space="0" w:color="auto"/>
            <w:bottom w:val="none" w:sz="0" w:space="0" w:color="auto"/>
            <w:right w:val="none" w:sz="0" w:space="0" w:color="auto"/>
          </w:divBdr>
        </w:div>
      </w:divsChild>
    </w:div>
    <w:div w:id="1306665266">
      <w:bodyDiv w:val="1"/>
      <w:marLeft w:val="0"/>
      <w:marRight w:val="0"/>
      <w:marTop w:val="0"/>
      <w:marBottom w:val="0"/>
      <w:divBdr>
        <w:top w:val="none" w:sz="0" w:space="0" w:color="auto"/>
        <w:left w:val="none" w:sz="0" w:space="0" w:color="auto"/>
        <w:bottom w:val="none" w:sz="0" w:space="0" w:color="auto"/>
        <w:right w:val="none" w:sz="0" w:space="0" w:color="auto"/>
      </w:divBdr>
      <w:divsChild>
        <w:div w:id="732851573">
          <w:marLeft w:val="547"/>
          <w:marRight w:val="0"/>
          <w:marTop w:val="154"/>
          <w:marBottom w:val="0"/>
          <w:divBdr>
            <w:top w:val="none" w:sz="0" w:space="0" w:color="auto"/>
            <w:left w:val="none" w:sz="0" w:space="0" w:color="auto"/>
            <w:bottom w:val="none" w:sz="0" w:space="0" w:color="auto"/>
            <w:right w:val="none" w:sz="0" w:space="0" w:color="auto"/>
          </w:divBdr>
        </w:div>
        <w:div w:id="1374042862">
          <w:marLeft w:val="547"/>
          <w:marRight w:val="0"/>
          <w:marTop w:val="154"/>
          <w:marBottom w:val="0"/>
          <w:divBdr>
            <w:top w:val="none" w:sz="0" w:space="0" w:color="auto"/>
            <w:left w:val="none" w:sz="0" w:space="0" w:color="auto"/>
            <w:bottom w:val="none" w:sz="0" w:space="0" w:color="auto"/>
            <w:right w:val="none" w:sz="0" w:space="0" w:color="auto"/>
          </w:divBdr>
        </w:div>
        <w:div w:id="1881084904">
          <w:marLeft w:val="547"/>
          <w:marRight w:val="0"/>
          <w:marTop w:val="154"/>
          <w:marBottom w:val="0"/>
          <w:divBdr>
            <w:top w:val="none" w:sz="0" w:space="0" w:color="auto"/>
            <w:left w:val="none" w:sz="0" w:space="0" w:color="auto"/>
            <w:bottom w:val="none" w:sz="0" w:space="0" w:color="auto"/>
            <w:right w:val="none" w:sz="0" w:space="0" w:color="auto"/>
          </w:divBdr>
        </w:div>
        <w:div w:id="210382580">
          <w:marLeft w:val="547"/>
          <w:marRight w:val="0"/>
          <w:marTop w:val="154"/>
          <w:marBottom w:val="0"/>
          <w:divBdr>
            <w:top w:val="none" w:sz="0" w:space="0" w:color="auto"/>
            <w:left w:val="none" w:sz="0" w:space="0" w:color="auto"/>
            <w:bottom w:val="none" w:sz="0" w:space="0" w:color="auto"/>
            <w:right w:val="none" w:sz="0" w:space="0" w:color="auto"/>
          </w:divBdr>
        </w:div>
        <w:div w:id="332269701">
          <w:marLeft w:val="547"/>
          <w:marRight w:val="0"/>
          <w:marTop w:val="154"/>
          <w:marBottom w:val="0"/>
          <w:divBdr>
            <w:top w:val="none" w:sz="0" w:space="0" w:color="auto"/>
            <w:left w:val="none" w:sz="0" w:space="0" w:color="auto"/>
            <w:bottom w:val="none" w:sz="0" w:space="0" w:color="auto"/>
            <w:right w:val="none" w:sz="0" w:space="0" w:color="auto"/>
          </w:divBdr>
        </w:div>
        <w:div w:id="1671717003">
          <w:marLeft w:val="547"/>
          <w:marRight w:val="0"/>
          <w:marTop w:val="154"/>
          <w:marBottom w:val="0"/>
          <w:divBdr>
            <w:top w:val="none" w:sz="0" w:space="0" w:color="auto"/>
            <w:left w:val="none" w:sz="0" w:space="0" w:color="auto"/>
            <w:bottom w:val="none" w:sz="0" w:space="0" w:color="auto"/>
            <w:right w:val="none" w:sz="0" w:space="0" w:color="auto"/>
          </w:divBdr>
        </w:div>
      </w:divsChild>
    </w:div>
    <w:div w:id="1417510867">
      <w:bodyDiv w:val="1"/>
      <w:marLeft w:val="0"/>
      <w:marRight w:val="0"/>
      <w:marTop w:val="0"/>
      <w:marBottom w:val="0"/>
      <w:divBdr>
        <w:top w:val="none" w:sz="0" w:space="0" w:color="auto"/>
        <w:left w:val="none" w:sz="0" w:space="0" w:color="auto"/>
        <w:bottom w:val="none" w:sz="0" w:space="0" w:color="auto"/>
        <w:right w:val="none" w:sz="0" w:space="0" w:color="auto"/>
      </w:divBdr>
    </w:div>
    <w:div w:id="1483154688">
      <w:bodyDiv w:val="1"/>
      <w:marLeft w:val="0"/>
      <w:marRight w:val="0"/>
      <w:marTop w:val="0"/>
      <w:marBottom w:val="0"/>
      <w:divBdr>
        <w:top w:val="none" w:sz="0" w:space="0" w:color="auto"/>
        <w:left w:val="none" w:sz="0" w:space="0" w:color="auto"/>
        <w:bottom w:val="none" w:sz="0" w:space="0" w:color="auto"/>
        <w:right w:val="none" w:sz="0" w:space="0" w:color="auto"/>
      </w:divBdr>
      <w:divsChild>
        <w:div w:id="550725948">
          <w:marLeft w:val="547"/>
          <w:marRight w:val="0"/>
          <w:marTop w:val="134"/>
          <w:marBottom w:val="0"/>
          <w:divBdr>
            <w:top w:val="none" w:sz="0" w:space="0" w:color="auto"/>
            <w:left w:val="none" w:sz="0" w:space="0" w:color="auto"/>
            <w:bottom w:val="none" w:sz="0" w:space="0" w:color="auto"/>
            <w:right w:val="none" w:sz="0" w:space="0" w:color="auto"/>
          </w:divBdr>
        </w:div>
        <w:div w:id="259608774">
          <w:marLeft w:val="547"/>
          <w:marRight w:val="0"/>
          <w:marTop w:val="134"/>
          <w:marBottom w:val="0"/>
          <w:divBdr>
            <w:top w:val="none" w:sz="0" w:space="0" w:color="auto"/>
            <w:left w:val="none" w:sz="0" w:space="0" w:color="auto"/>
            <w:bottom w:val="none" w:sz="0" w:space="0" w:color="auto"/>
            <w:right w:val="none" w:sz="0" w:space="0" w:color="auto"/>
          </w:divBdr>
        </w:div>
      </w:divsChild>
    </w:div>
    <w:div w:id="1950232206">
      <w:bodyDiv w:val="1"/>
      <w:marLeft w:val="0"/>
      <w:marRight w:val="0"/>
      <w:marTop w:val="0"/>
      <w:marBottom w:val="0"/>
      <w:divBdr>
        <w:top w:val="none" w:sz="0" w:space="0" w:color="auto"/>
        <w:left w:val="none" w:sz="0" w:space="0" w:color="auto"/>
        <w:bottom w:val="none" w:sz="0" w:space="0" w:color="auto"/>
        <w:right w:val="none" w:sz="0" w:space="0" w:color="auto"/>
      </w:divBdr>
      <w:divsChild>
        <w:div w:id="1426612212">
          <w:marLeft w:val="547"/>
          <w:marRight w:val="0"/>
          <w:marTop w:val="96"/>
          <w:marBottom w:val="0"/>
          <w:divBdr>
            <w:top w:val="none" w:sz="0" w:space="0" w:color="auto"/>
            <w:left w:val="none" w:sz="0" w:space="0" w:color="auto"/>
            <w:bottom w:val="none" w:sz="0" w:space="0" w:color="auto"/>
            <w:right w:val="none" w:sz="0" w:space="0" w:color="auto"/>
          </w:divBdr>
        </w:div>
        <w:div w:id="712115904">
          <w:marLeft w:val="547"/>
          <w:marRight w:val="0"/>
          <w:marTop w:val="96"/>
          <w:marBottom w:val="0"/>
          <w:divBdr>
            <w:top w:val="none" w:sz="0" w:space="0" w:color="auto"/>
            <w:left w:val="none" w:sz="0" w:space="0" w:color="auto"/>
            <w:bottom w:val="none" w:sz="0" w:space="0" w:color="auto"/>
            <w:right w:val="none" w:sz="0" w:space="0" w:color="auto"/>
          </w:divBdr>
        </w:div>
      </w:divsChild>
    </w:div>
    <w:div w:id="1991277816">
      <w:bodyDiv w:val="1"/>
      <w:marLeft w:val="0"/>
      <w:marRight w:val="0"/>
      <w:marTop w:val="0"/>
      <w:marBottom w:val="0"/>
      <w:divBdr>
        <w:top w:val="none" w:sz="0" w:space="0" w:color="auto"/>
        <w:left w:val="none" w:sz="0" w:space="0" w:color="auto"/>
        <w:bottom w:val="none" w:sz="0" w:space="0" w:color="auto"/>
        <w:right w:val="none" w:sz="0" w:space="0" w:color="auto"/>
      </w:divBdr>
    </w:div>
    <w:div w:id="2012754662">
      <w:bodyDiv w:val="1"/>
      <w:marLeft w:val="0"/>
      <w:marRight w:val="0"/>
      <w:marTop w:val="0"/>
      <w:marBottom w:val="0"/>
      <w:divBdr>
        <w:top w:val="none" w:sz="0" w:space="0" w:color="auto"/>
        <w:left w:val="none" w:sz="0" w:space="0" w:color="auto"/>
        <w:bottom w:val="none" w:sz="0" w:space="0" w:color="auto"/>
        <w:right w:val="none" w:sz="0" w:space="0" w:color="auto"/>
      </w:divBdr>
      <w:divsChild>
        <w:div w:id="203838152">
          <w:marLeft w:val="547"/>
          <w:marRight w:val="0"/>
          <w:marTop w:val="115"/>
          <w:marBottom w:val="0"/>
          <w:divBdr>
            <w:top w:val="none" w:sz="0" w:space="0" w:color="auto"/>
            <w:left w:val="none" w:sz="0" w:space="0" w:color="auto"/>
            <w:bottom w:val="none" w:sz="0" w:space="0" w:color="auto"/>
            <w:right w:val="none" w:sz="0" w:space="0" w:color="auto"/>
          </w:divBdr>
        </w:div>
        <w:div w:id="2023777111">
          <w:marLeft w:val="547"/>
          <w:marRight w:val="0"/>
          <w:marTop w:val="115"/>
          <w:marBottom w:val="0"/>
          <w:divBdr>
            <w:top w:val="none" w:sz="0" w:space="0" w:color="auto"/>
            <w:left w:val="none" w:sz="0" w:space="0" w:color="auto"/>
            <w:bottom w:val="none" w:sz="0" w:space="0" w:color="auto"/>
            <w:right w:val="none" w:sz="0" w:space="0" w:color="auto"/>
          </w:divBdr>
        </w:div>
        <w:div w:id="38088991">
          <w:marLeft w:val="547"/>
          <w:marRight w:val="0"/>
          <w:marTop w:val="115"/>
          <w:marBottom w:val="0"/>
          <w:divBdr>
            <w:top w:val="none" w:sz="0" w:space="0" w:color="auto"/>
            <w:left w:val="none" w:sz="0" w:space="0" w:color="auto"/>
            <w:bottom w:val="none" w:sz="0" w:space="0" w:color="auto"/>
            <w:right w:val="none" w:sz="0" w:space="0" w:color="auto"/>
          </w:divBdr>
        </w:div>
      </w:divsChild>
    </w:div>
    <w:div w:id="2032610793">
      <w:bodyDiv w:val="1"/>
      <w:marLeft w:val="0"/>
      <w:marRight w:val="0"/>
      <w:marTop w:val="0"/>
      <w:marBottom w:val="0"/>
      <w:divBdr>
        <w:top w:val="none" w:sz="0" w:space="0" w:color="auto"/>
        <w:left w:val="none" w:sz="0" w:space="0" w:color="auto"/>
        <w:bottom w:val="none" w:sz="0" w:space="0" w:color="auto"/>
        <w:right w:val="none" w:sz="0" w:space="0" w:color="auto"/>
      </w:divBdr>
      <w:divsChild>
        <w:div w:id="885797355">
          <w:marLeft w:val="547"/>
          <w:marRight w:val="0"/>
          <w:marTop w:val="86"/>
          <w:marBottom w:val="0"/>
          <w:divBdr>
            <w:top w:val="none" w:sz="0" w:space="0" w:color="auto"/>
            <w:left w:val="none" w:sz="0" w:space="0" w:color="auto"/>
            <w:bottom w:val="none" w:sz="0" w:space="0" w:color="auto"/>
            <w:right w:val="none" w:sz="0" w:space="0" w:color="auto"/>
          </w:divBdr>
        </w:div>
        <w:div w:id="2098861971">
          <w:marLeft w:val="547"/>
          <w:marRight w:val="0"/>
          <w:marTop w:val="86"/>
          <w:marBottom w:val="0"/>
          <w:divBdr>
            <w:top w:val="none" w:sz="0" w:space="0" w:color="auto"/>
            <w:left w:val="none" w:sz="0" w:space="0" w:color="auto"/>
            <w:bottom w:val="none" w:sz="0" w:space="0" w:color="auto"/>
            <w:right w:val="none" w:sz="0" w:space="0" w:color="auto"/>
          </w:divBdr>
        </w:div>
        <w:div w:id="1321957057">
          <w:marLeft w:val="547"/>
          <w:marRight w:val="0"/>
          <w:marTop w:val="86"/>
          <w:marBottom w:val="0"/>
          <w:divBdr>
            <w:top w:val="none" w:sz="0" w:space="0" w:color="auto"/>
            <w:left w:val="none" w:sz="0" w:space="0" w:color="auto"/>
            <w:bottom w:val="none" w:sz="0" w:space="0" w:color="auto"/>
            <w:right w:val="none" w:sz="0" w:space="0" w:color="auto"/>
          </w:divBdr>
        </w:div>
        <w:div w:id="742795343">
          <w:marLeft w:val="547"/>
          <w:marRight w:val="0"/>
          <w:marTop w:val="86"/>
          <w:marBottom w:val="0"/>
          <w:divBdr>
            <w:top w:val="none" w:sz="0" w:space="0" w:color="auto"/>
            <w:left w:val="none" w:sz="0" w:space="0" w:color="auto"/>
            <w:bottom w:val="none" w:sz="0" w:space="0" w:color="auto"/>
            <w:right w:val="none" w:sz="0" w:space="0" w:color="auto"/>
          </w:divBdr>
        </w:div>
        <w:div w:id="649944018">
          <w:marLeft w:val="547"/>
          <w:marRight w:val="0"/>
          <w:marTop w:val="86"/>
          <w:marBottom w:val="0"/>
          <w:divBdr>
            <w:top w:val="none" w:sz="0" w:space="0" w:color="auto"/>
            <w:left w:val="none" w:sz="0" w:space="0" w:color="auto"/>
            <w:bottom w:val="none" w:sz="0" w:space="0" w:color="auto"/>
            <w:right w:val="none" w:sz="0" w:space="0" w:color="auto"/>
          </w:divBdr>
        </w:div>
        <w:div w:id="1677994807">
          <w:marLeft w:val="547"/>
          <w:marRight w:val="0"/>
          <w:marTop w:val="86"/>
          <w:marBottom w:val="0"/>
          <w:divBdr>
            <w:top w:val="none" w:sz="0" w:space="0" w:color="auto"/>
            <w:left w:val="none" w:sz="0" w:space="0" w:color="auto"/>
            <w:bottom w:val="none" w:sz="0" w:space="0" w:color="auto"/>
            <w:right w:val="none" w:sz="0" w:space="0" w:color="auto"/>
          </w:divBdr>
        </w:div>
        <w:div w:id="124394538">
          <w:marLeft w:val="547"/>
          <w:marRight w:val="0"/>
          <w:marTop w:val="86"/>
          <w:marBottom w:val="0"/>
          <w:divBdr>
            <w:top w:val="none" w:sz="0" w:space="0" w:color="auto"/>
            <w:left w:val="none" w:sz="0" w:space="0" w:color="auto"/>
            <w:bottom w:val="none" w:sz="0" w:space="0" w:color="auto"/>
            <w:right w:val="none" w:sz="0" w:space="0" w:color="auto"/>
          </w:divBdr>
        </w:div>
        <w:div w:id="1957908579">
          <w:marLeft w:val="547"/>
          <w:marRight w:val="0"/>
          <w:marTop w:val="86"/>
          <w:marBottom w:val="0"/>
          <w:divBdr>
            <w:top w:val="none" w:sz="0" w:space="0" w:color="auto"/>
            <w:left w:val="none" w:sz="0" w:space="0" w:color="auto"/>
            <w:bottom w:val="none" w:sz="0" w:space="0" w:color="auto"/>
            <w:right w:val="none" w:sz="0" w:space="0" w:color="auto"/>
          </w:divBdr>
        </w:div>
        <w:div w:id="370106705">
          <w:marLeft w:val="547"/>
          <w:marRight w:val="0"/>
          <w:marTop w:val="86"/>
          <w:marBottom w:val="0"/>
          <w:divBdr>
            <w:top w:val="none" w:sz="0" w:space="0" w:color="auto"/>
            <w:left w:val="none" w:sz="0" w:space="0" w:color="auto"/>
            <w:bottom w:val="none" w:sz="0" w:space="0" w:color="auto"/>
            <w:right w:val="none" w:sz="0" w:space="0" w:color="auto"/>
          </w:divBdr>
        </w:div>
        <w:div w:id="5551193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 Id="rId35"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2155</Words>
  <Characters>11640</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dc:creator>
  <cp:lastModifiedBy>bnikolop</cp:lastModifiedBy>
  <cp:revision>2</cp:revision>
  <dcterms:created xsi:type="dcterms:W3CDTF">2020-04-27T09:02:00Z</dcterms:created>
  <dcterms:modified xsi:type="dcterms:W3CDTF">2020-04-27T09:02:00Z</dcterms:modified>
</cp:coreProperties>
</file>