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9" w:rsidRPr="00822D97" w:rsidRDefault="00C17E89" w:rsidP="00060C11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060C11" w:rsidRPr="003003A7" w:rsidRDefault="005802A8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02A8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>
            <wp:extent cx="5274310" cy="1917931"/>
            <wp:effectExtent l="0" t="0" r="2540" b="6350"/>
            <wp:docPr id="1" name="Picture 1" descr="F:\ERASMUSAeconm\project\up_2017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Aeconm\project\up_2017_logo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C11" w:rsidRPr="003003A7" w:rsidRDefault="005802A8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03A7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2D97" w:rsidRPr="003003A7" w:rsidRDefault="00822D97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5802A8" w:rsidP="00300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3A7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2572FF" w:rsidRPr="00300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00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Surname</w:t>
      </w: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2D97" w:rsidRPr="003003A7" w:rsidRDefault="00822D97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2A8D" w:rsidRPr="003003A7" w:rsidRDefault="00472A8D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03A7">
        <w:rPr>
          <w:rFonts w:ascii="Times New Roman" w:hAnsi="Times New Roman" w:cs="Times New Roman"/>
          <w:sz w:val="24"/>
          <w:szCs w:val="24"/>
          <w:lang w:val="en-US"/>
        </w:rPr>
        <w:t xml:space="preserve">This is a spring term project submitted to the course instructor by email </w:t>
      </w:r>
      <w:r w:rsidR="00BC457D" w:rsidRPr="003003A7">
        <w:rPr>
          <w:rFonts w:ascii="Times New Roman" w:hAnsi="Times New Roman" w:cs="Times New Roman"/>
          <w:sz w:val="24"/>
          <w:szCs w:val="24"/>
          <w:lang w:val="en-US"/>
        </w:rPr>
        <w:t>as partial fulfillment of the r</w:t>
      </w:r>
      <w:r w:rsidRPr="003003A7">
        <w:rPr>
          <w:rFonts w:ascii="Times New Roman" w:hAnsi="Times New Roman" w:cs="Times New Roman"/>
          <w:sz w:val="24"/>
          <w:szCs w:val="24"/>
          <w:lang w:val="en-US"/>
        </w:rPr>
        <w:t>equirements for completing successfully the undergraduate ERASMUS course “Applied Econometrics” ECO-421)</w:t>
      </w:r>
    </w:p>
    <w:p w:rsidR="002572FF" w:rsidRPr="003003A7" w:rsidRDefault="002572FF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262B" w:rsidRPr="003003A7" w:rsidRDefault="00472A8D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03A7">
        <w:rPr>
          <w:rFonts w:ascii="Times New Roman" w:hAnsi="Times New Roman" w:cs="Times New Roman"/>
          <w:b/>
          <w:sz w:val="24"/>
          <w:szCs w:val="24"/>
          <w:lang w:val="en-US"/>
        </w:rPr>
        <w:t>Course I</w:t>
      </w:r>
      <w:r w:rsidR="00B1262B" w:rsidRPr="003003A7">
        <w:rPr>
          <w:rFonts w:ascii="Times New Roman" w:hAnsi="Times New Roman" w:cs="Times New Roman"/>
          <w:b/>
          <w:sz w:val="24"/>
          <w:szCs w:val="24"/>
          <w:lang w:val="en-US"/>
        </w:rPr>
        <w:t>nstructor:</w:t>
      </w:r>
      <w:r w:rsidR="00B1262B" w:rsidRPr="003003A7">
        <w:rPr>
          <w:rFonts w:ascii="Times New Roman" w:hAnsi="Times New Roman" w:cs="Times New Roman"/>
          <w:sz w:val="24"/>
          <w:szCs w:val="24"/>
          <w:lang w:val="en-US"/>
        </w:rPr>
        <w:t xml:space="preserve"> Associate Professor </w:t>
      </w:r>
      <w:proofErr w:type="spellStart"/>
      <w:r w:rsidR="00B1262B" w:rsidRPr="003003A7">
        <w:rPr>
          <w:rFonts w:ascii="Times New Roman" w:hAnsi="Times New Roman" w:cs="Times New Roman"/>
          <w:sz w:val="24"/>
          <w:szCs w:val="24"/>
          <w:lang w:val="en-US"/>
        </w:rPr>
        <w:t>Ioannis</w:t>
      </w:r>
      <w:proofErr w:type="spellEnd"/>
      <w:r w:rsidR="00B1262B" w:rsidRPr="003003A7">
        <w:rPr>
          <w:rFonts w:ascii="Times New Roman" w:hAnsi="Times New Roman" w:cs="Times New Roman"/>
          <w:sz w:val="24"/>
          <w:szCs w:val="24"/>
          <w:lang w:val="en-US"/>
        </w:rPr>
        <w:t xml:space="preserve"> A. Venetis</w:t>
      </w: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02A8" w:rsidRPr="003003A7" w:rsidRDefault="005802A8" w:rsidP="00300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3A7">
        <w:rPr>
          <w:rFonts w:ascii="Times New Roman" w:hAnsi="Times New Roman" w:cs="Times New Roman"/>
          <w:b/>
          <w:sz w:val="24"/>
          <w:szCs w:val="24"/>
          <w:lang w:val="en-US"/>
        </w:rPr>
        <w:t>School of Economic Sciences and Business Administration,</w:t>
      </w:r>
    </w:p>
    <w:p w:rsidR="00060C11" w:rsidRPr="003003A7" w:rsidRDefault="005802A8" w:rsidP="00300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3A7">
        <w:rPr>
          <w:rFonts w:ascii="Times New Roman" w:hAnsi="Times New Roman" w:cs="Times New Roman"/>
          <w:b/>
          <w:sz w:val="24"/>
          <w:szCs w:val="24"/>
          <w:lang w:val="en-US"/>
        </w:rPr>
        <w:t>Department of Economics</w:t>
      </w: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2D97" w:rsidRPr="003003A7" w:rsidRDefault="00822D97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2D97" w:rsidRPr="003003A7" w:rsidRDefault="00822D97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5802A8" w:rsidP="00300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03A7">
        <w:rPr>
          <w:rFonts w:ascii="Times New Roman" w:hAnsi="Times New Roman" w:cs="Times New Roman"/>
          <w:sz w:val="24"/>
          <w:szCs w:val="24"/>
          <w:lang w:val="en-US"/>
        </w:rPr>
        <w:t>Month  Year</w:t>
      </w:r>
      <w:proofErr w:type="gramEnd"/>
    </w:p>
    <w:p w:rsidR="00060C11" w:rsidRPr="003003A7" w:rsidRDefault="00060C11" w:rsidP="003003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3003A7" w:rsidRDefault="00060C11" w:rsidP="003003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0C11" w:rsidRPr="00660A2E" w:rsidRDefault="00060C11" w:rsidP="00060C11">
      <w:pPr>
        <w:spacing w:after="0" w:line="240" w:lineRule="auto"/>
        <w:rPr>
          <w:rFonts w:ascii="Bookman Old Style" w:hAnsi="Bookman Old Style"/>
          <w:lang w:val="en-US"/>
        </w:rPr>
        <w:sectPr w:rsidR="00060C11" w:rsidRPr="00660A2E" w:rsidSect="00582CDE">
          <w:pgSz w:w="11906" w:h="16838"/>
          <w:pgMar w:top="1440" w:right="1800" w:bottom="1440" w:left="1800" w:header="709" w:footer="709" w:gutter="0"/>
          <w:cols w:space="708"/>
          <w:docGrid w:linePitch="360"/>
        </w:sectPr>
      </w:pPr>
    </w:p>
    <w:p w:rsidR="00660A2E" w:rsidRPr="008419D6" w:rsidRDefault="00660A2E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F95" w:rsidRPr="008419D6" w:rsidRDefault="00921F95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F95" w:rsidRPr="008419D6" w:rsidRDefault="00921F95" w:rsidP="005F2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9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CERTIFICATION OF THE </w:t>
      </w:r>
      <w:r w:rsidR="008011E9" w:rsidRPr="008419D6">
        <w:rPr>
          <w:rFonts w:ascii="Times New Roman" w:hAnsi="Times New Roman" w:cs="Times New Roman"/>
          <w:b/>
          <w:sz w:val="24"/>
          <w:szCs w:val="24"/>
          <w:lang w:val="en-US"/>
        </w:rPr>
        <w:t>TERM PROJECT</w:t>
      </w:r>
      <w:r w:rsidRPr="008419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PREPARATION</w:t>
      </w: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“This project is submitted in accordance with the University of </w:t>
      </w:r>
      <w:proofErr w:type="spellStart"/>
      <w:r w:rsidRPr="008419D6">
        <w:rPr>
          <w:rFonts w:ascii="Times New Roman" w:hAnsi="Times New Roman" w:cs="Times New Roman"/>
          <w:sz w:val="24"/>
          <w:szCs w:val="24"/>
          <w:lang w:val="en-US"/>
        </w:rPr>
        <w:t>Patras</w:t>
      </w:r>
      <w:proofErr w:type="spellEnd"/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regulations. </w:t>
      </w:r>
      <w:r w:rsidR="00921F95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I hereby declare that this particular 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921F95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has been written by me, in order to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partially fulfil the requirements of ERASMUS course</w:t>
      </w: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1E9" w:rsidRPr="008419D6" w:rsidRDefault="008011E9" w:rsidP="005F2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9D6">
        <w:rPr>
          <w:rFonts w:ascii="Times New Roman" w:hAnsi="Times New Roman" w:cs="Times New Roman"/>
          <w:b/>
          <w:sz w:val="24"/>
          <w:szCs w:val="24"/>
          <w:lang w:val="en-US"/>
        </w:rPr>
        <w:t>“Applied Econometrics” ECO-421</w:t>
      </w: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F95" w:rsidRPr="008419D6" w:rsidRDefault="00921F95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9D6">
        <w:rPr>
          <w:rFonts w:ascii="Times New Roman" w:hAnsi="Times New Roman" w:cs="Times New Roman"/>
          <w:sz w:val="24"/>
          <w:szCs w:val="24"/>
          <w:lang w:val="en-US"/>
        </w:rPr>
        <w:t>and has not been submitted to or approved by any other</w:t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postgraduate or undergraduate program in Greece or abroad. This </w:t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>term project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presents</w:t>
      </w:r>
      <w:r w:rsidR="005F2626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>my personal views on the subject. All the sources I have used for the preparation</w:t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of this particular </w:t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>term project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are mentioned explicitly with references being made</w:t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>either to their authors, or to the URL’s (if found on the internet).”</w:t>
      </w:r>
    </w:p>
    <w:p w:rsidR="00822D97" w:rsidRPr="008419D6" w:rsidRDefault="00822D97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F95" w:rsidRPr="008419D6" w:rsidRDefault="00921F95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9D6">
        <w:rPr>
          <w:rFonts w:ascii="Times New Roman" w:hAnsi="Times New Roman" w:cs="Times New Roman"/>
          <w:sz w:val="24"/>
          <w:szCs w:val="24"/>
          <w:lang w:val="en-US"/>
        </w:rPr>
        <w:t>[STUDENT’S</w:t>
      </w:r>
      <w:r w:rsidR="00BE3D24"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 xml:space="preserve">FULLNAME] </w:t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71D" w:rsidRPr="008419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1E9" w:rsidRPr="008419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19D6">
        <w:rPr>
          <w:rFonts w:ascii="Times New Roman" w:hAnsi="Times New Roman" w:cs="Times New Roman"/>
          <w:sz w:val="24"/>
          <w:szCs w:val="24"/>
          <w:lang w:val="en-US"/>
        </w:rPr>
        <w:t>[SIGNATURE]</w:t>
      </w:r>
    </w:p>
    <w:p w:rsidR="00921F95" w:rsidRPr="008419D6" w:rsidRDefault="00921F95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1E9" w:rsidRPr="008419D6" w:rsidRDefault="008011E9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2D97" w:rsidRPr="008419D6" w:rsidRDefault="00822D97" w:rsidP="005F2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2D97" w:rsidRPr="00921F95" w:rsidRDefault="00822D97" w:rsidP="00060C11">
      <w:pPr>
        <w:spacing w:after="0" w:line="240" w:lineRule="auto"/>
        <w:rPr>
          <w:rFonts w:ascii="Bookman Old Style" w:hAnsi="Bookman Old Style"/>
          <w:lang w:val="en-US"/>
        </w:rPr>
        <w:sectPr w:rsidR="00822D97" w:rsidRPr="00921F95" w:rsidSect="00582CDE">
          <w:pgSz w:w="11906" w:h="16838"/>
          <w:pgMar w:top="1440" w:right="1800" w:bottom="1440" w:left="1800" w:header="709" w:footer="709" w:gutter="0"/>
          <w:cols w:space="708"/>
          <w:docGrid w:linePitch="360"/>
        </w:sectPr>
      </w:pPr>
    </w:p>
    <w:p w:rsidR="00822D97" w:rsidRPr="00DD1106" w:rsidRDefault="00822D97" w:rsidP="00822D97">
      <w:pPr>
        <w:spacing w:after="0" w:line="240" w:lineRule="auto"/>
        <w:rPr>
          <w:rFonts w:ascii="Bookman Old Style" w:hAnsi="Bookman Old Style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33366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A659D" w:rsidRDefault="00DA659D">
          <w:pPr>
            <w:pStyle w:val="TOCHeading"/>
          </w:pPr>
          <w:proofErr w:type="spellStart"/>
          <w:r>
            <w:t>Contents</w:t>
          </w:r>
          <w:proofErr w:type="spellEnd"/>
        </w:p>
        <w:p w:rsidR="0070137D" w:rsidRDefault="00DA659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r w:rsidRPr="0070137D">
            <w:rPr>
              <w:rFonts w:cstheme="minorHAnsi"/>
              <w:sz w:val="24"/>
              <w:szCs w:val="24"/>
            </w:rPr>
            <w:fldChar w:fldCharType="begin"/>
          </w:r>
          <w:r w:rsidRPr="0070137D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70137D">
            <w:rPr>
              <w:rFonts w:cstheme="minorHAnsi"/>
              <w:sz w:val="24"/>
              <w:szCs w:val="24"/>
            </w:rPr>
            <w:fldChar w:fldCharType="separate"/>
          </w:r>
          <w:hyperlink w:anchor="_Toc99810666" w:history="1">
            <w:r w:rsidR="0070137D"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1. Introduction</w:t>
            </w:r>
            <w:r w:rsidR="0070137D">
              <w:rPr>
                <w:noProof/>
                <w:webHidden/>
              </w:rPr>
              <w:tab/>
            </w:r>
            <w:r w:rsidR="0070137D">
              <w:rPr>
                <w:noProof/>
                <w:webHidden/>
              </w:rPr>
              <w:fldChar w:fldCharType="begin"/>
            </w:r>
            <w:r w:rsidR="0070137D">
              <w:rPr>
                <w:noProof/>
                <w:webHidden/>
              </w:rPr>
              <w:instrText xml:space="preserve"> PAGEREF _Toc99810666 \h </w:instrText>
            </w:r>
            <w:r w:rsidR="0070137D">
              <w:rPr>
                <w:noProof/>
                <w:webHidden/>
              </w:rPr>
            </w:r>
            <w:r w:rsidR="0070137D">
              <w:rPr>
                <w:noProof/>
                <w:webHidden/>
              </w:rPr>
              <w:fldChar w:fldCharType="separate"/>
            </w:r>
            <w:r w:rsidR="0070137D">
              <w:rPr>
                <w:noProof/>
                <w:webHidden/>
              </w:rPr>
              <w:t>4</w:t>
            </w:r>
            <w:r w:rsidR="0070137D"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67" w:history="1">
            <w:r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2. Question 1(i)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68" w:history="1">
            <w:r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2.1. The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69" w:history="1">
            <w:r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2.1.1.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70" w:history="1">
            <w:r w:rsidRPr="00DD11E0">
              <w:rPr>
                <w:rStyle w:val="Hyperlink"/>
                <w:noProof/>
                <w:lang w:val="en-US"/>
              </w:rPr>
              <w:t>2.1.2. Estimation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71" w:history="1">
            <w:r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2.2.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72" w:history="1">
            <w:r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3. Concluding remarks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37D" w:rsidRDefault="0070137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GB" w:eastAsia="en-GB"/>
            </w:rPr>
          </w:pPr>
          <w:hyperlink w:anchor="_Toc99810673" w:history="1">
            <w:r w:rsidRPr="00DD11E0">
              <w:rPr>
                <w:rStyle w:val="Hyperlink"/>
                <w:rFonts w:ascii="Bookman Old Style" w:hAnsi="Bookman Old Style"/>
                <w:noProof/>
                <w:lang w:val="en-US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_Toc99810673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659D" w:rsidRDefault="00DA659D">
          <w:r w:rsidRPr="0070137D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A0630" w:rsidRPr="008A0630" w:rsidRDefault="008A0630" w:rsidP="00822D97">
      <w:pPr>
        <w:spacing w:after="0" w:line="240" w:lineRule="auto"/>
        <w:rPr>
          <w:rFonts w:ascii="Bookman Old Style" w:hAnsi="Bookman Old Style"/>
        </w:rPr>
      </w:pPr>
    </w:p>
    <w:p w:rsidR="00796D7C" w:rsidRPr="00796D7C" w:rsidRDefault="00796D7C" w:rsidP="00822D97">
      <w:pPr>
        <w:spacing w:after="0" w:line="240" w:lineRule="auto"/>
        <w:rPr>
          <w:rFonts w:ascii="Bookman Old Style" w:hAnsi="Bookman Old Style"/>
        </w:rPr>
      </w:pPr>
    </w:p>
    <w:p w:rsidR="0071333D" w:rsidRDefault="0071333D" w:rsidP="00822D97">
      <w:pPr>
        <w:spacing w:after="0" w:line="240" w:lineRule="auto"/>
        <w:rPr>
          <w:rFonts w:ascii="Bookman Old Style" w:hAnsi="Bookman Old Style"/>
          <w:lang w:val="en-US"/>
        </w:rPr>
        <w:sectPr w:rsidR="0071333D" w:rsidSect="00582CDE">
          <w:pgSz w:w="11906" w:h="16838"/>
          <w:pgMar w:top="1440" w:right="1800" w:bottom="1440" w:left="1800" w:header="709" w:footer="709" w:gutter="0"/>
          <w:cols w:space="708"/>
          <w:docGrid w:linePitch="360"/>
        </w:sectPr>
      </w:pPr>
    </w:p>
    <w:p w:rsidR="00796D7C" w:rsidRPr="00921F95" w:rsidRDefault="00551E02" w:rsidP="00D032DD">
      <w:pPr>
        <w:pStyle w:val="Heading1"/>
        <w:rPr>
          <w:rFonts w:ascii="Bookman Old Style" w:hAnsi="Bookman Old Style"/>
          <w:color w:val="auto"/>
          <w:lang w:val="en-US"/>
        </w:rPr>
      </w:pPr>
      <w:bookmarkStart w:id="0" w:name="_Toc99810666"/>
      <w:r w:rsidRPr="00921F95">
        <w:rPr>
          <w:rFonts w:ascii="Bookman Old Style" w:hAnsi="Bookman Old Style"/>
          <w:color w:val="auto"/>
          <w:lang w:val="en-US"/>
        </w:rPr>
        <w:lastRenderedPageBreak/>
        <w:t xml:space="preserve">1. </w:t>
      </w:r>
      <w:r w:rsidR="005802A8">
        <w:rPr>
          <w:rFonts w:ascii="Bookman Old Style" w:hAnsi="Bookman Old Style"/>
          <w:color w:val="auto"/>
          <w:lang w:val="en-US"/>
        </w:rPr>
        <w:t>Introduction</w:t>
      </w:r>
      <w:bookmarkEnd w:id="0"/>
    </w:p>
    <w:p w:rsidR="008419D6" w:rsidRPr="005A7E49" w:rsidRDefault="008419D6" w:rsidP="00D94E72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000000"/>
        </w:rPr>
      </w:pPr>
      <w:bookmarkStart w:id="1" w:name="_GoBack"/>
      <w:r w:rsidRPr="005A7E49">
        <w:rPr>
          <w:color w:val="000000"/>
        </w:rPr>
        <w:t xml:space="preserve">Contrary to popular belief, Lorem Ipsum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Pr="005A7E49">
        <w:rPr>
          <w:color w:val="000000"/>
        </w:rPr>
        <w:t>consectetur</w:t>
      </w:r>
      <w:proofErr w:type="spellEnd"/>
      <w:r w:rsidRPr="005A7E49">
        <w:rPr>
          <w:color w:val="000000"/>
        </w:rPr>
        <w:t xml:space="preserve">, from a Lorem Ipsum passage, and going through the cites of the word in classical literature, discovered the undoubtable source. Lorem Ipsum comes from sections 1.10.32 and 1.10.33 of "de </w:t>
      </w:r>
      <w:proofErr w:type="spellStart"/>
      <w:r w:rsidRPr="005A7E49">
        <w:rPr>
          <w:color w:val="000000"/>
        </w:rPr>
        <w:t>Finibus</w:t>
      </w:r>
      <w:proofErr w:type="spellEnd"/>
      <w:r w:rsidRPr="005A7E49">
        <w:rPr>
          <w:color w:val="000000"/>
        </w:rPr>
        <w:t xml:space="preserve"> </w:t>
      </w:r>
      <w:proofErr w:type="spellStart"/>
      <w:r w:rsidRPr="005A7E49">
        <w:rPr>
          <w:color w:val="000000"/>
        </w:rPr>
        <w:t>Bonorum</w:t>
      </w:r>
      <w:proofErr w:type="spellEnd"/>
      <w:r w:rsidRPr="005A7E49">
        <w:rPr>
          <w:color w:val="000000"/>
        </w:rPr>
        <w:t xml:space="preserve"> et </w:t>
      </w:r>
      <w:proofErr w:type="spellStart"/>
      <w:r w:rsidRPr="005A7E49">
        <w:rPr>
          <w:color w:val="000000"/>
        </w:rPr>
        <w:t>Malorum</w:t>
      </w:r>
      <w:proofErr w:type="spellEnd"/>
      <w:r w:rsidRPr="005A7E49">
        <w:rPr>
          <w:color w:val="000000"/>
        </w:rPr>
        <w:t xml:space="preserve">" (The Extremes of Good and Evil) by Cicero, written in 45 BC. This book is a treatise on the theory of ethics, very popular during the Renaissance. The first line of Lorem Ipsum, "Lorem ipsum </w:t>
      </w:r>
      <w:proofErr w:type="spellStart"/>
      <w:r w:rsidRPr="005A7E49">
        <w:rPr>
          <w:color w:val="000000"/>
        </w:rPr>
        <w:t>dolor</w:t>
      </w:r>
      <w:proofErr w:type="spellEnd"/>
      <w:r w:rsidRPr="005A7E49">
        <w:rPr>
          <w:color w:val="000000"/>
        </w:rPr>
        <w:t xml:space="preserve"> sit </w:t>
      </w:r>
      <w:proofErr w:type="spellStart"/>
      <w:proofErr w:type="gramStart"/>
      <w:r w:rsidRPr="005A7E49">
        <w:rPr>
          <w:color w:val="000000"/>
        </w:rPr>
        <w:t>amet</w:t>
      </w:r>
      <w:proofErr w:type="spellEnd"/>
      <w:r w:rsidRPr="005A7E49">
        <w:rPr>
          <w:color w:val="000000"/>
        </w:rPr>
        <w:t>..</w:t>
      </w:r>
      <w:proofErr w:type="gramEnd"/>
      <w:r w:rsidRPr="005A7E49">
        <w:rPr>
          <w:color w:val="000000"/>
        </w:rPr>
        <w:t>", comes from a line in section 1.10.32.</w:t>
      </w:r>
    </w:p>
    <w:p w:rsidR="008419D6" w:rsidRPr="005A7E49" w:rsidRDefault="008419D6" w:rsidP="00D94E72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000000"/>
        </w:rPr>
      </w:pPr>
      <w:r w:rsidRPr="005A7E49">
        <w:rPr>
          <w:color w:val="000000"/>
        </w:rPr>
        <w:t xml:space="preserve">The standard chunk of Lorem Ipsum used since the 1500s is reproduced below for those interested. Sections 1.10.32 and 1.10.33 from "de </w:t>
      </w:r>
      <w:proofErr w:type="spellStart"/>
      <w:r w:rsidRPr="005A7E49">
        <w:rPr>
          <w:color w:val="000000"/>
        </w:rPr>
        <w:t>Finibus</w:t>
      </w:r>
      <w:proofErr w:type="spellEnd"/>
      <w:r w:rsidRPr="005A7E49">
        <w:rPr>
          <w:color w:val="000000"/>
        </w:rPr>
        <w:t xml:space="preserve"> </w:t>
      </w:r>
      <w:proofErr w:type="spellStart"/>
      <w:r w:rsidRPr="005A7E49">
        <w:rPr>
          <w:color w:val="000000"/>
        </w:rPr>
        <w:t>Bonorum</w:t>
      </w:r>
      <w:proofErr w:type="spellEnd"/>
      <w:r w:rsidRPr="005A7E49">
        <w:rPr>
          <w:color w:val="000000"/>
        </w:rPr>
        <w:t xml:space="preserve"> et </w:t>
      </w:r>
      <w:proofErr w:type="spellStart"/>
      <w:r w:rsidRPr="005A7E49">
        <w:rPr>
          <w:color w:val="000000"/>
        </w:rPr>
        <w:t>Malorum</w:t>
      </w:r>
      <w:proofErr w:type="spellEnd"/>
      <w:r w:rsidRPr="005A7E49">
        <w:rPr>
          <w:color w:val="000000"/>
        </w:rPr>
        <w:t>" by Cicero are also reproduced in their exact original form, accompanied by English versions from the 1914 translation by H. Rackham.</w:t>
      </w:r>
    </w:p>
    <w:bookmarkEnd w:id="1"/>
    <w:p w:rsidR="00BA25E4" w:rsidRPr="005A7E49" w:rsidRDefault="00BA25E4" w:rsidP="005A7E4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1106" w:rsidRPr="005A7E49" w:rsidRDefault="00BA25E4" w:rsidP="00DD1106">
      <w:pPr>
        <w:keepNext/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4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C0F0AC7" wp14:editId="681D72C5">
            <wp:extent cx="4680877" cy="2201594"/>
            <wp:effectExtent l="19050" t="0" r="542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20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97" w:rsidRPr="005A7E49" w:rsidRDefault="005802A8" w:rsidP="00DD1106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2" w:name="_Toc459198606"/>
      <w:r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t>Graph</w:t>
      </w:r>
      <w:r w:rsidR="00DD1106"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B1DAB" w:rsidRPr="005A7E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DD1106"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</w:instrText>
      </w:r>
      <w:r w:rsidR="00DD1106" w:rsidRPr="005A7E49">
        <w:rPr>
          <w:rFonts w:ascii="Times New Roman" w:hAnsi="Times New Roman" w:cs="Times New Roman"/>
          <w:color w:val="auto"/>
          <w:sz w:val="24"/>
          <w:szCs w:val="24"/>
        </w:rPr>
        <w:instrText>Γράφημα</w:instrText>
      </w:r>
      <w:r w:rsidR="00DD1106"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\* ARABIC </w:instrText>
      </w:r>
      <w:r w:rsidR="00AB1DAB" w:rsidRPr="005A7E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DA4183" w:rsidRPr="005A7E49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="00AB1DAB" w:rsidRPr="005A7E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DD1106"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5A7E4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Trig functions</w:t>
      </w:r>
      <w:r w:rsidR="00DD1106" w:rsidRPr="005A7E4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bookmarkEnd w:id="2"/>
    </w:p>
    <w:p w:rsidR="00472A8D" w:rsidRPr="005A7E49" w:rsidRDefault="00472A8D" w:rsidP="00D94E72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1106" w:rsidRPr="005A7E49" w:rsidRDefault="008419D6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standard chunk of Lorem Ipsum used since the 1500s is reproduced below for those interested. Sections 1.10.32 and 1.10.33 from "de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Finibus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Bonorum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et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Malorum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" by Cicero are also reproduced in their exact original form, accompanied by English versions from the 1914 translation by H. Rackham.</w:t>
      </w:r>
    </w:p>
    <w:p w:rsidR="00BA25E4" w:rsidRDefault="008419D6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The standard chunk of Lorem Ipsum used since the 1500s is reproduced below for those interested. Sections 1.10.32 and 1.10.33 from "de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Finibus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Bonorum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et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Malorum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" by Cicero are also reproduced in their exact original form, accompanied by English versions from the 1914 translation by H. Rackham.</w:t>
      </w:r>
    </w:p>
    <w:p w:rsidR="005A7E49" w:rsidRPr="005A7E49" w:rsidRDefault="005A7E49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standard chunk of Lorem Ipsum used since the 1500s is reproduced below for those interested. Sections 1.10.32 and 1.10.33 from "de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Finibus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Bonorum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et </w:t>
      </w:r>
      <w:proofErr w:type="spellStart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Malorum</w:t>
      </w:r>
      <w:proofErr w:type="spellEnd"/>
      <w:r w:rsidRPr="005A7E49">
        <w:rPr>
          <w:rFonts w:ascii="Times New Roman" w:hAnsi="Times New Roman" w:cs="Times New Roman"/>
          <w:color w:val="000000"/>
          <w:sz w:val="24"/>
          <w:szCs w:val="24"/>
          <w:lang w:val="en-GB"/>
        </w:rPr>
        <w:t>" by Cicero are also reproduced in their exact original form, accompanied by English versions from the 1914 translation by H. Rackham.</w:t>
      </w:r>
    </w:p>
    <w:p w:rsidR="00DA659D" w:rsidRPr="005A7E49" w:rsidRDefault="00DA659D" w:rsidP="00D94E72">
      <w:pPr>
        <w:spacing w:before="120" w:after="12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663C1" w:rsidRPr="005802A8" w:rsidRDefault="00551E02" w:rsidP="00D94E72">
      <w:pPr>
        <w:pStyle w:val="Heading1"/>
        <w:spacing w:before="120" w:after="120"/>
        <w:ind w:firstLine="567"/>
        <w:rPr>
          <w:rFonts w:ascii="Bookman Old Style" w:hAnsi="Bookman Old Style"/>
          <w:color w:val="auto"/>
          <w:lang w:val="en-US"/>
        </w:rPr>
      </w:pPr>
      <w:bookmarkStart w:id="3" w:name="_Toc99810667"/>
      <w:r w:rsidRPr="005802A8">
        <w:rPr>
          <w:rFonts w:ascii="Bookman Old Style" w:hAnsi="Bookman Old Style"/>
          <w:color w:val="auto"/>
          <w:lang w:val="en-US"/>
        </w:rPr>
        <w:lastRenderedPageBreak/>
        <w:t xml:space="preserve">2. </w:t>
      </w:r>
      <w:r w:rsidR="005802A8">
        <w:rPr>
          <w:rFonts w:ascii="Bookman Old Style" w:hAnsi="Bookman Old Style"/>
          <w:color w:val="auto"/>
          <w:lang w:val="en-US"/>
        </w:rPr>
        <w:t>Question 1(</w:t>
      </w:r>
      <w:proofErr w:type="spellStart"/>
      <w:r w:rsidR="005802A8">
        <w:rPr>
          <w:rFonts w:ascii="Bookman Old Style" w:hAnsi="Bookman Old Style"/>
          <w:color w:val="auto"/>
          <w:lang w:val="en-US"/>
        </w:rPr>
        <w:t>i</w:t>
      </w:r>
      <w:proofErr w:type="spellEnd"/>
      <w:r w:rsidR="005802A8">
        <w:rPr>
          <w:rFonts w:ascii="Bookman Old Style" w:hAnsi="Bookman Old Style"/>
          <w:color w:val="auto"/>
          <w:lang w:val="en-US"/>
        </w:rPr>
        <w:t>)</w:t>
      </w:r>
      <w:bookmarkEnd w:id="3"/>
    </w:p>
    <w:p w:rsidR="00FD6D2B" w:rsidRPr="005802A8" w:rsidRDefault="00551E02" w:rsidP="00D94E72">
      <w:pPr>
        <w:pStyle w:val="Heading2"/>
        <w:spacing w:before="120" w:after="120"/>
        <w:ind w:firstLine="567"/>
        <w:rPr>
          <w:rFonts w:ascii="Bookman Old Style" w:hAnsi="Bookman Old Style"/>
          <w:color w:val="auto"/>
          <w:lang w:val="en-US"/>
        </w:rPr>
      </w:pPr>
      <w:bookmarkStart w:id="4" w:name="_Toc99810668"/>
      <w:r w:rsidRPr="005802A8">
        <w:rPr>
          <w:rFonts w:ascii="Bookman Old Style" w:hAnsi="Bookman Old Style"/>
          <w:color w:val="auto"/>
          <w:lang w:val="en-US"/>
        </w:rPr>
        <w:t xml:space="preserve">2.1. </w:t>
      </w:r>
      <w:r w:rsidR="005802A8">
        <w:rPr>
          <w:rFonts w:ascii="Bookman Old Style" w:hAnsi="Bookman Old Style"/>
          <w:color w:val="auto"/>
          <w:lang w:val="en-US"/>
        </w:rPr>
        <w:t>The model</w:t>
      </w:r>
      <w:bookmarkEnd w:id="4"/>
    </w:p>
    <w:p w:rsidR="00FD6D2B" w:rsidRPr="005A7E49" w:rsidRDefault="005802A8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This is a text example. This is a text example this is a text example this is a text example this is a text example this is a text </w:t>
      </w:r>
      <w:proofErr w:type="gramStart"/>
      <w:r w:rsidRPr="005A7E49">
        <w:rPr>
          <w:rFonts w:ascii="Times New Roman" w:hAnsi="Times New Roman" w:cs="Times New Roman"/>
          <w:sz w:val="24"/>
          <w:szCs w:val="24"/>
          <w:lang w:val="en-US"/>
        </w:rPr>
        <w:t>example,</w:t>
      </w:r>
      <w:proofErr w:type="gramEnd"/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 this is a text example this is a text example this is a text example. This is a text example. This is a text example this is a text example this is a text example this is a text example this is a text example, this is a text example this is a text example this is a text example.</w:t>
      </w:r>
      <w:r w:rsidR="00584A63" w:rsidRPr="005A7E4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F106F" w:rsidRPr="005A7E49" w:rsidRDefault="00202D4B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8F106F" w:rsidRPr="00072D51" w:rsidRDefault="00551E02" w:rsidP="00D94E72">
      <w:pPr>
        <w:pStyle w:val="Heading3"/>
        <w:spacing w:before="120" w:after="120"/>
        <w:ind w:firstLine="567"/>
        <w:rPr>
          <w:rFonts w:ascii="Bookman Old Style" w:hAnsi="Bookman Old Style"/>
          <w:color w:val="auto"/>
          <w:sz w:val="24"/>
          <w:szCs w:val="24"/>
          <w:lang w:val="en-US"/>
        </w:rPr>
      </w:pPr>
      <w:bookmarkStart w:id="5" w:name="_Toc99810669"/>
      <w:r w:rsidRPr="00072D51">
        <w:rPr>
          <w:rFonts w:ascii="Bookman Old Style" w:hAnsi="Bookman Old Style"/>
          <w:color w:val="auto"/>
          <w:sz w:val="24"/>
          <w:szCs w:val="24"/>
          <w:lang w:val="en-US"/>
        </w:rPr>
        <w:t xml:space="preserve">2.1.1. </w:t>
      </w:r>
      <w:r w:rsidR="00072D51" w:rsidRPr="00072D51">
        <w:rPr>
          <w:rFonts w:ascii="Bookman Old Style" w:hAnsi="Bookman Old Style"/>
          <w:color w:val="auto"/>
          <w:sz w:val="24"/>
          <w:szCs w:val="24"/>
          <w:lang w:val="en-US"/>
        </w:rPr>
        <w:t>Identification</w:t>
      </w:r>
      <w:bookmarkEnd w:id="5"/>
    </w:p>
    <w:p w:rsidR="008F106F" w:rsidRPr="005A7E49" w:rsidRDefault="00202D4B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DD1106" w:rsidRDefault="00DD1106" w:rsidP="00DD1106">
      <w:pPr>
        <w:keepNext/>
        <w:spacing w:before="120" w:after="120" w:line="480" w:lineRule="auto"/>
        <w:ind w:firstLine="567"/>
        <w:jc w:val="center"/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CC8E0C8" wp14:editId="5164441A">
            <wp:extent cx="3353183" cy="2520000"/>
            <wp:effectExtent l="19050" t="0" r="0" b="0"/>
            <wp:docPr id="2" name="Εικόνα 1" descr="C:\A_PATRA_texts\PMS_2014_ff\protypodiplomatikisergasias\DissertationGreek\MU3BY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_PATRA_texts\PMS_2014_ff\protypodiplomatikisergasias\DissertationGreek\MU3BY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8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06" w:rsidRPr="008011E9" w:rsidRDefault="005802A8" w:rsidP="00DD1106">
      <w:pPr>
        <w:pStyle w:val="Caption"/>
        <w:jc w:val="center"/>
        <w:rPr>
          <w:rFonts w:ascii="Bookman Old Style" w:hAnsi="Bookman Old Style"/>
          <w:b w:val="0"/>
          <w:color w:val="auto"/>
          <w:lang w:val="en-US"/>
        </w:rPr>
      </w:pPr>
      <w:bookmarkStart w:id="6" w:name="_Toc459198607"/>
      <w:r w:rsidRPr="008011E9">
        <w:rPr>
          <w:rFonts w:ascii="Bookman Old Style" w:hAnsi="Bookman Old Style"/>
          <w:color w:val="auto"/>
          <w:lang w:val="en-US"/>
        </w:rPr>
        <w:t>Graph</w:t>
      </w:r>
      <w:r w:rsidR="00DD1106" w:rsidRPr="008011E9">
        <w:rPr>
          <w:rFonts w:ascii="Bookman Old Style" w:hAnsi="Bookman Old Style"/>
          <w:color w:val="auto"/>
          <w:lang w:val="en-US"/>
        </w:rPr>
        <w:t xml:space="preserve"> </w:t>
      </w:r>
      <w:r w:rsidR="00AB1DAB" w:rsidRPr="00584A63">
        <w:rPr>
          <w:rFonts w:ascii="Bookman Old Style" w:hAnsi="Bookman Old Style"/>
          <w:color w:val="auto"/>
        </w:rPr>
        <w:fldChar w:fldCharType="begin"/>
      </w:r>
      <w:r w:rsidR="00DD1106" w:rsidRPr="008011E9">
        <w:rPr>
          <w:rFonts w:ascii="Bookman Old Style" w:hAnsi="Bookman Old Style"/>
          <w:color w:val="auto"/>
          <w:lang w:val="en-US"/>
        </w:rPr>
        <w:instrText xml:space="preserve"> SEQ </w:instrText>
      </w:r>
      <w:r w:rsidR="00DD1106" w:rsidRPr="00584A63">
        <w:rPr>
          <w:rFonts w:ascii="Bookman Old Style" w:hAnsi="Bookman Old Style"/>
          <w:color w:val="auto"/>
        </w:rPr>
        <w:instrText>Γράφημα</w:instrText>
      </w:r>
      <w:r w:rsidR="00DD1106" w:rsidRPr="008011E9">
        <w:rPr>
          <w:rFonts w:ascii="Bookman Old Style" w:hAnsi="Bookman Old Style"/>
          <w:color w:val="auto"/>
          <w:lang w:val="en-US"/>
        </w:rPr>
        <w:instrText xml:space="preserve"> \* ARABIC </w:instrText>
      </w:r>
      <w:r w:rsidR="00AB1DAB" w:rsidRPr="00584A63">
        <w:rPr>
          <w:rFonts w:ascii="Bookman Old Style" w:hAnsi="Bookman Old Style"/>
          <w:color w:val="auto"/>
        </w:rPr>
        <w:fldChar w:fldCharType="separate"/>
      </w:r>
      <w:r w:rsidR="00DA4183" w:rsidRPr="008011E9">
        <w:rPr>
          <w:rFonts w:ascii="Bookman Old Style" w:hAnsi="Bookman Old Style"/>
          <w:noProof/>
          <w:color w:val="auto"/>
          <w:lang w:val="en-US"/>
        </w:rPr>
        <w:t>2</w:t>
      </w:r>
      <w:r w:rsidR="00AB1DAB" w:rsidRPr="00584A63">
        <w:rPr>
          <w:rFonts w:ascii="Bookman Old Style" w:hAnsi="Bookman Old Style"/>
          <w:color w:val="auto"/>
        </w:rPr>
        <w:fldChar w:fldCharType="end"/>
      </w:r>
      <w:r w:rsidR="00DD1106" w:rsidRPr="008011E9">
        <w:rPr>
          <w:rFonts w:ascii="Bookman Old Style" w:hAnsi="Bookman Old Style"/>
          <w:color w:val="auto"/>
          <w:lang w:val="en-US"/>
        </w:rPr>
        <w:t>.</w:t>
      </w:r>
      <w:r w:rsidRPr="008011E9">
        <w:rPr>
          <w:rFonts w:ascii="Bookman Old Style" w:hAnsi="Bookman Old Style"/>
          <w:b w:val="0"/>
          <w:color w:val="auto"/>
          <w:lang w:val="en-US"/>
        </w:rPr>
        <w:t xml:space="preserve"> Another graph example</w:t>
      </w:r>
      <w:r w:rsidR="00DD1106" w:rsidRPr="008011E9">
        <w:rPr>
          <w:rFonts w:ascii="Bookman Old Style" w:hAnsi="Bookman Old Style"/>
          <w:b w:val="0"/>
          <w:color w:val="auto"/>
          <w:lang w:val="en-US"/>
        </w:rPr>
        <w:t>.</w:t>
      </w:r>
      <w:bookmarkEnd w:id="6"/>
    </w:p>
    <w:p w:rsidR="008F106F" w:rsidRPr="005A7E49" w:rsidRDefault="00202D4B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8F106F" w:rsidRPr="005A7E49" w:rsidRDefault="00551E02" w:rsidP="00D94E72">
      <w:pPr>
        <w:pStyle w:val="Heading3"/>
        <w:spacing w:before="120" w:after="12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7" w:name="_Toc99810670"/>
      <w:r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2.1.2. </w:t>
      </w:r>
      <w:r w:rsidR="005802A8" w:rsidRPr="005A7E49">
        <w:rPr>
          <w:rFonts w:ascii="Times New Roman" w:hAnsi="Times New Roman" w:cs="Times New Roman"/>
          <w:color w:val="auto"/>
          <w:sz w:val="24"/>
          <w:szCs w:val="24"/>
          <w:lang w:val="en-US"/>
        </w:rPr>
        <w:t>Estimation results</w:t>
      </w:r>
      <w:bookmarkEnd w:id="7"/>
    </w:p>
    <w:p w:rsidR="008F106F" w:rsidRDefault="00202D4B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202D4B" w:rsidRPr="005A7E49" w:rsidRDefault="00202D4B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8F106F" w:rsidRPr="005A7E49" w:rsidRDefault="005802A8" w:rsidP="00D94E72">
      <w:pPr>
        <w:pStyle w:val="Heading4"/>
        <w:spacing w:before="120" w:after="120" w:line="360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>Case</w:t>
      </w:r>
      <w:r w:rsidR="008F106F" w:rsidRPr="005A7E4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1</w:t>
      </w:r>
    </w:p>
    <w:p w:rsidR="008F106F" w:rsidRPr="005A7E49" w:rsidRDefault="00202D4B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8F106F" w:rsidRPr="005A7E49" w:rsidRDefault="005802A8" w:rsidP="00D94E72">
      <w:pPr>
        <w:pStyle w:val="Heading4"/>
        <w:spacing w:before="120" w:after="120" w:line="360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Case</w:t>
      </w:r>
      <w:r w:rsidR="008F106F" w:rsidRPr="005A7E4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2</w:t>
      </w:r>
    </w:p>
    <w:p w:rsidR="005802A8" w:rsidRPr="005A7E49" w:rsidRDefault="005A7E49" w:rsidP="00D94E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 to make a type specimen book.</w:t>
      </w:r>
    </w:p>
    <w:p w:rsidR="00675E5A" w:rsidRPr="005A7E49" w:rsidRDefault="005802A8" w:rsidP="00D94E72">
      <w:pPr>
        <w:spacing w:before="120" w:after="12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t>Below a table example</w:t>
      </w: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1381"/>
        <w:gridCol w:w="1381"/>
        <w:gridCol w:w="1380"/>
        <w:gridCol w:w="1380"/>
        <w:gridCol w:w="1382"/>
        <w:gridCol w:w="1382"/>
      </w:tblGrid>
      <w:tr w:rsidR="00675E5A" w:rsidTr="0058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</w:tcPr>
          <w:p w:rsidR="00675E5A" w:rsidRDefault="00675E5A">
            <w:r>
              <w:t>Όνομα επιστολής</w:t>
            </w:r>
          </w:p>
        </w:tc>
        <w:tc>
          <w:tcPr>
            <w:tcW w:w="833" w:type="pct"/>
          </w:tcPr>
          <w:p w:rsidR="00675E5A" w:rsidRDefault="00675E5A">
            <w:r>
              <w:t>Κεφαλαία γράμματα</w:t>
            </w:r>
          </w:p>
        </w:tc>
        <w:tc>
          <w:tcPr>
            <w:tcW w:w="833" w:type="pct"/>
          </w:tcPr>
          <w:p w:rsidR="00675E5A" w:rsidRDefault="00675E5A">
            <w:r>
              <w:t>Μικρά γράμματα</w:t>
            </w:r>
          </w:p>
        </w:tc>
        <w:tc>
          <w:tcPr>
            <w:tcW w:w="833" w:type="pct"/>
          </w:tcPr>
          <w:p w:rsidR="00675E5A" w:rsidRDefault="00675E5A">
            <w:r>
              <w:t>Όνομα επιστολής</w:t>
            </w:r>
          </w:p>
        </w:tc>
        <w:tc>
          <w:tcPr>
            <w:tcW w:w="834" w:type="pct"/>
          </w:tcPr>
          <w:p w:rsidR="00675E5A" w:rsidRDefault="00675E5A">
            <w:r>
              <w:t>Κεφαλαία γράμματα</w:t>
            </w:r>
          </w:p>
        </w:tc>
        <w:tc>
          <w:tcPr>
            <w:tcW w:w="834" w:type="pct"/>
          </w:tcPr>
          <w:p w:rsidR="00675E5A" w:rsidRDefault="00675E5A">
            <w:r>
              <w:t>Μικρά γράμματα</w:t>
            </w:r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Άλφα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Νι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Βήτα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Χι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Γάμα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Όμικρον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Δέλτα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Πι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Έψιλον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Ρο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Ζήτα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Σίγμα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Ήτα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Ταυ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Θήτα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Ύψιλον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Γιώτα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Ι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ι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Φι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φ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Κάπα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Κ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κ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Χι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χ</m:t>
                </m:r>
              </m:oMath>
            </m:oMathPara>
          </w:p>
        </w:tc>
      </w:tr>
      <w:tr w:rsidR="00675E5A" w:rsidTr="005802A8">
        <w:tc>
          <w:tcPr>
            <w:tcW w:w="833" w:type="pct"/>
          </w:tcPr>
          <w:p w:rsidR="00675E5A" w:rsidRDefault="00675E5A">
            <w:r>
              <w:t>Λάμδα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roofErr w:type="spellStart"/>
            <w:r>
              <w:t>Ψι</w:t>
            </w:r>
            <w:proofErr w:type="spellEnd"/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  <w:tc>
          <w:tcPr>
            <w:tcW w:w="834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</w:tr>
      <w:tr w:rsidR="00675E5A" w:rsidTr="00675E5A">
        <w:tc>
          <w:tcPr>
            <w:tcW w:w="833" w:type="pct"/>
          </w:tcPr>
          <w:p w:rsidR="00675E5A" w:rsidRDefault="00675E5A">
            <w:r>
              <w:t>Μι</w:t>
            </w:r>
          </w:p>
        </w:tc>
        <w:tc>
          <w:tcPr>
            <w:tcW w:w="833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pPr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833" w:type="pct"/>
          </w:tcPr>
          <w:p w:rsidR="00675E5A" w:rsidRDefault="00675E5A">
            <w:r>
              <w:t>Ωμέγα</w:t>
            </w:r>
          </w:p>
        </w:tc>
        <w:tc>
          <w:tcPr>
            <w:tcW w:w="834" w:type="pct"/>
          </w:tcPr>
          <w:p w:rsidR="00675E5A" w:rsidRDefault="00675E5A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834" w:type="pct"/>
            <w:vAlign w:val="center"/>
          </w:tcPr>
          <w:p w:rsidR="00675E5A" w:rsidRDefault="00675E5A" w:rsidP="00FB19A0">
            <w:pPr>
              <w:keepNext/>
              <w:rPr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</w:tbl>
    <w:p w:rsidR="00C01139" w:rsidRPr="005802A8" w:rsidRDefault="005802A8" w:rsidP="00FB19A0">
      <w:pPr>
        <w:pStyle w:val="Caption"/>
        <w:rPr>
          <w:rFonts w:ascii="Bookman Old Style" w:hAnsi="Bookman Old Style"/>
          <w:b w:val="0"/>
          <w:color w:val="auto"/>
          <w:sz w:val="24"/>
          <w:szCs w:val="24"/>
          <w:lang w:val="en-US"/>
        </w:rPr>
      </w:pPr>
      <w:bookmarkStart w:id="8" w:name="_Toc459198502"/>
      <w:bookmarkStart w:id="9" w:name="_Toc459198664"/>
      <w:r w:rsidRPr="005802A8">
        <w:rPr>
          <w:rFonts w:ascii="Bookman Old Style" w:hAnsi="Bookman Old Style"/>
          <w:color w:val="auto"/>
          <w:lang w:val="en-US"/>
        </w:rPr>
        <w:t>Table</w:t>
      </w:r>
      <w:r w:rsidR="00FB19A0" w:rsidRPr="005802A8">
        <w:rPr>
          <w:rFonts w:ascii="Bookman Old Style" w:hAnsi="Bookman Old Style"/>
          <w:color w:val="auto"/>
          <w:lang w:val="en-US"/>
        </w:rPr>
        <w:t xml:space="preserve"> </w:t>
      </w:r>
      <w:r w:rsidR="00AB1DAB" w:rsidRPr="00FB19A0">
        <w:rPr>
          <w:rFonts w:ascii="Bookman Old Style" w:hAnsi="Bookman Old Style"/>
          <w:color w:val="auto"/>
        </w:rPr>
        <w:fldChar w:fldCharType="begin"/>
      </w:r>
      <w:r w:rsidR="00FB19A0" w:rsidRPr="005802A8">
        <w:rPr>
          <w:rFonts w:ascii="Bookman Old Style" w:hAnsi="Bookman Old Style"/>
          <w:color w:val="auto"/>
          <w:lang w:val="en-US"/>
        </w:rPr>
        <w:instrText xml:space="preserve"> SEQ </w:instrText>
      </w:r>
      <w:r w:rsidR="00FB19A0" w:rsidRPr="00FB19A0">
        <w:rPr>
          <w:rFonts w:ascii="Bookman Old Style" w:hAnsi="Bookman Old Style"/>
          <w:color w:val="auto"/>
        </w:rPr>
        <w:instrText>Πίνακας</w:instrText>
      </w:r>
      <w:r w:rsidR="00FB19A0" w:rsidRPr="005802A8">
        <w:rPr>
          <w:rFonts w:ascii="Bookman Old Style" w:hAnsi="Bookman Old Style"/>
          <w:color w:val="auto"/>
          <w:lang w:val="en-US"/>
        </w:rPr>
        <w:instrText xml:space="preserve"> \* ARABIC </w:instrText>
      </w:r>
      <w:r w:rsidR="00AB1DAB" w:rsidRPr="00FB19A0">
        <w:rPr>
          <w:rFonts w:ascii="Bookman Old Style" w:hAnsi="Bookman Old Style"/>
          <w:color w:val="auto"/>
        </w:rPr>
        <w:fldChar w:fldCharType="separate"/>
      </w:r>
      <w:r w:rsidR="00DA4183" w:rsidRPr="005802A8">
        <w:rPr>
          <w:rFonts w:ascii="Bookman Old Style" w:hAnsi="Bookman Old Style"/>
          <w:noProof/>
          <w:color w:val="auto"/>
          <w:lang w:val="en-US"/>
        </w:rPr>
        <w:t>1</w:t>
      </w:r>
      <w:r w:rsidR="00AB1DAB" w:rsidRPr="00FB19A0">
        <w:rPr>
          <w:rFonts w:ascii="Bookman Old Style" w:hAnsi="Bookman Old Style"/>
          <w:color w:val="auto"/>
        </w:rPr>
        <w:fldChar w:fldCharType="end"/>
      </w:r>
      <w:r w:rsidR="00FB19A0" w:rsidRPr="005802A8">
        <w:rPr>
          <w:rFonts w:ascii="Bookman Old Style" w:hAnsi="Bookman Old Style"/>
          <w:color w:val="auto"/>
          <w:lang w:val="en-US"/>
        </w:rPr>
        <w:t xml:space="preserve">. </w:t>
      </w:r>
      <w:r w:rsidRPr="005802A8">
        <w:rPr>
          <w:rFonts w:ascii="Bookman Old Style" w:hAnsi="Bookman Old Style"/>
          <w:b w:val="0"/>
          <w:color w:val="auto"/>
          <w:lang w:val="en-US"/>
        </w:rPr>
        <w:t>Table caption</w:t>
      </w:r>
      <w:bookmarkEnd w:id="8"/>
      <w:bookmarkEnd w:id="9"/>
    </w:p>
    <w:p w:rsidR="00C01139" w:rsidRPr="005A7E49" w:rsidRDefault="005A7E49" w:rsidP="00DA2D3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Lorem Ipsum</w:t>
      </w:r>
      <w:r w:rsidRPr="005A7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is simply dummy text of the printing and typesetting industry. Lorem Ipsum has been the industry's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lastRenderedPageBreak/>
        <w:t xml:space="preserve">release of </w:t>
      </w:r>
      <w:proofErr w:type="spellStart"/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Letraset</w:t>
      </w:r>
      <w:proofErr w:type="spellEnd"/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sheets containing Lorem Ipsum passages, and more recently with desktop publishing software like Aldus PageMaker including versions of Lorem Ipsum.</w:t>
      </w:r>
    </w:p>
    <w:p w:rsidR="00FD6D2B" w:rsidRPr="005802A8" w:rsidRDefault="00551E02" w:rsidP="00DA2D39">
      <w:pPr>
        <w:pStyle w:val="Heading2"/>
        <w:spacing w:before="120" w:after="120"/>
        <w:ind w:firstLine="567"/>
        <w:rPr>
          <w:rFonts w:ascii="Bookman Old Style" w:hAnsi="Bookman Old Style"/>
          <w:color w:val="auto"/>
          <w:lang w:val="en-US"/>
        </w:rPr>
      </w:pPr>
      <w:bookmarkStart w:id="10" w:name="_Toc99810671"/>
      <w:r w:rsidRPr="005802A8">
        <w:rPr>
          <w:rFonts w:ascii="Bookman Old Style" w:hAnsi="Bookman Old Style"/>
          <w:color w:val="auto"/>
          <w:lang w:val="en-US"/>
        </w:rPr>
        <w:t xml:space="preserve">2.2. </w:t>
      </w:r>
      <w:r w:rsidR="005802A8">
        <w:rPr>
          <w:rFonts w:ascii="Bookman Old Style" w:hAnsi="Bookman Old Style"/>
          <w:color w:val="auto"/>
          <w:lang w:val="en-US"/>
        </w:rPr>
        <w:t>Testing</w:t>
      </w:r>
      <w:bookmarkEnd w:id="10"/>
    </w:p>
    <w:p w:rsidR="00FD6D2B" w:rsidRPr="008419D6" w:rsidRDefault="008419D6" w:rsidP="00DA2D3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19D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</w:t>
      </w:r>
      <w:r w:rsidRPr="008419D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orem Ipsum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Letraset</w:t>
      </w:r>
      <w:proofErr w:type="spellEnd"/>
      <w:r w:rsidRPr="0084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sheets containing Lorem Ipsum passages, and more recently with desktop publishing software like Aldus PageMaker including versions of Lorem Ipsum.</w:t>
      </w:r>
    </w:p>
    <w:p w:rsidR="00DA659D" w:rsidRDefault="00DA659D" w:rsidP="00DA2D39">
      <w:pPr>
        <w:spacing w:before="120" w:after="120"/>
        <w:ind w:firstLine="567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:rsidR="008F106F" w:rsidRPr="005802A8" w:rsidRDefault="00551E02" w:rsidP="008F106F">
      <w:pPr>
        <w:pStyle w:val="Heading1"/>
        <w:rPr>
          <w:rFonts w:ascii="Bookman Old Style" w:hAnsi="Bookman Old Style"/>
          <w:color w:val="auto"/>
          <w:lang w:val="en-US"/>
        </w:rPr>
      </w:pPr>
      <w:bookmarkStart w:id="11" w:name="_Toc99810672"/>
      <w:r w:rsidRPr="005802A8">
        <w:rPr>
          <w:rFonts w:ascii="Bookman Old Style" w:hAnsi="Bookman Old Style"/>
          <w:color w:val="auto"/>
          <w:lang w:val="en-US"/>
        </w:rPr>
        <w:lastRenderedPageBreak/>
        <w:t xml:space="preserve">3. </w:t>
      </w:r>
      <w:r w:rsidR="005802A8">
        <w:rPr>
          <w:rFonts w:ascii="Bookman Old Style" w:hAnsi="Bookman Old Style"/>
          <w:color w:val="auto"/>
          <w:lang w:val="en-US"/>
        </w:rPr>
        <w:t>Concluding remarks</w:t>
      </w:r>
      <w:bookmarkEnd w:id="11"/>
    </w:p>
    <w:p w:rsidR="00B02057" w:rsidRPr="005A7E49" w:rsidRDefault="005802A8" w:rsidP="005A7E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t>Example of a mathematical formula</w:t>
      </w:r>
    </w:p>
    <w:p w:rsidR="00B02057" w:rsidRPr="005A7E49" w:rsidRDefault="00B02057" w:rsidP="005A7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>,  -∞&lt;x&lt;∞</m:t>
          </m:r>
        </m:oMath>
      </m:oMathPara>
    </w:p>
    <w:p w:rsidR="00B02057" w:rsidRPr="005A7E49" w:rsidRDefault="005802A8" w:rsidP="005A7E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t>can be seen above.</w:t>
      </w:r>
    </w:p>
    <w:p w:rsidR="00DA659D" w:rsidRPr="005A7E49" w:rsidRDefault="00DA659D" w:rsidP="005A7E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F106F" w:rsidRPr="00921F95" w:rsidRDefault="005802A8" w:rsidP="008F106F">
      <w:pPr>
        <w:pStyle w:val="Heading1"/>
        <w:rPr>
          <w:rFonts w:ascii="Bookman Old Style" w:hAnsi="Bookman Old Style"/>
          <w:color w:val="auto"/>
          <w:lang w:val="en-US"/>
        </w:rPr>
      </w:pPr>
      <w:bookmarkStart w:id="12" w:name="_Toc99810673"/>
      <w:r w:rsidRPr="00921F95">
        <w:rPr>
          <w:rFonts w:ascii="Bookman Old Style" w:hAnsi="Bookman Old Style"/>
          <w:color w:val="auto"/>
          <w:lang w:val="en-US"/>
        </w:rPr>
        <w:lastRenderedPageBreak/>
        <w:t>References</w:t>
      </w:r>
      <w:bookmarkEnd w:id="12"/>
    </w:p>
    <w:p w:rsidR="008F106F" w:rsidRPr="005A7E49" w:rsidRDefault="008F106F" w:rsidP="005A7E4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0A2E" w:rsidRPr="005A7E49" w:rsidRDefault="00660A2E" w:rsidP="005A7E4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Carlos </w:t>
      </w:r>
      <w:proofErr w:type="spellStart"/>
      <w:r w:rsidRPr="005A7E49">
        <w:rPr>
          <w:rFonts w:ascii="Times New Roman" w:hAnsi="Times New Roman" w:cs="Times New Roman"/>
          <w:sz w:val="24"/>
          <w:szCs w:val="24"/>
          <w:lang w:val="en-US"/>
        </w:rPr>
        <w:t>Pinho</w:t>
      </w:r>
      <w:proofErr w:type="spellEnd"/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, J., Paula Rodrigues, A., &amp; </w:t>
      </w:r>
      <w:proofErr w:type="spellStart"/>
      <w:r w:rsidRPr="005A7E49">
        <w:rPr>
          <w:rFonts w:ascii="Times New Roman" w:hAnsi="Times New Roman" w:cs="Times New Roman"/>
          <w:sz w:val="24"/>
          <w:szCs w:val="24"/>
          <w:lang w:val="en-US"/>
        </w:rPr>
        <w:t>Dibb</w:t>
      </w:r>
      <w:proofErr w:type="spellEnd"/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, S. (2014). The role of corporate culture, market orientation and </w:t>
      </w:r>
      <w:r w:rsidR="005A7E49" w:rsidRPr="005A7E49"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 commitment to </w:t>
      </w:r>
      <w:r w:rsidR="005A7E49" w:rsidRPr="005A7E49"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 performance: the case of non-profit </w:t>
      </w:r>
      <w:r w:rsidR="005A7E49" w:rsidRPr="005A7E49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Pr="005A7E49">
        <w:rPr>
          <w:rFonts w:ascii="Times New Roman" w:hAnsi="Times New Roman" w:cs="Times New Roman"/>
          <w:sz w:val="24"/>
          <w:szCs w:val="24"/>
          <w:lang w:val="en-US"/>
        </w:rPr>
        <w:t>. Journal of Management Development, 33(4), 374-398.</w:t>
      </w:r>
    </w:p>
    <w:p w:rsidR="008F106F" w:rsidRPr="005A7E49" w:rsidRDefault="00660A2E" w:rsidP="005A7E4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49">
        <w:rPr>
          <w:rFonts w:ascii="Times New Roman" w:hAnsi="Times New Roman" w:cs="Times New Roman"/>
          <w:sz w:val="24"/>
          <w:szCs w:val="24"/>
          <w:lang w:val="en-US"/>
        </w:rPr>
        <w:t xml:space="preserve">Doherty, B., </w:t>
      </w:r>
      <w:proofErr w:type="spellStart"/>
      <w:r w:rsidRPr="005A7E49">
        <w:rPr>
          <w:rFonts w:ascii="Times New Roman" w:hAnsi="Times New Roman" w:cs="Times New Roman"/>
          <w:sz w:val="24"/>
          <w:szCs w:val="24"/>
          <w:lang w:val="en-US"/>
        </w:rPr>
        <w:t>Haugh</w:t>
      </w:r>
      <w:proofErr w:type="spellEnd"/>
      <w:r w:rsidRPr="005A7E49">
        <w:rPr>
          <w:rFonts w:ascii="Times New Roman" w:hAnsi="Times New Roman" w:cs="Times New Roman"/>
          <w:sz w:val="24"/>
          <w:szCs w:val="24"/>
          <w:lang w:val="en-US"/>
        </w:rPr>
        <w:t>, H., &amp; Lyon, F. (2014). Social enterprises as hybrid organizations: A review and research agenda. International Journal of Management Reviews, 16(4), 417-436.</w:t>
      </w:r>
    </w:p>
    <w:sectPr w:rsidR="008F106F" w:rsidRPr="005A7E49" w:rsidSect="00582CDE">
      <w:footerReference w:type="default" r:id="rId10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F5" w:rsidRDefault="00304CF5" w:rsidP="00584A63">
      <w:pPr>
        <w:spacing w:after="0" w:line="240" w:lineRule="auto"/>
      </w:pPr>
      <w:r>
        <w:separator/>
      </w:r>
    </w:p>
  </w:endnote>
  <w:endnote w:type="continuationSeparator" w:id="0">
    <w:p w:rsidR="00304CF5" w:rsidRDefault="00304CF5" w:rsidP="0058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043570"/>
      <w:docPartObj>
        <w:docPartGallery w:val="Page Numbers (Bottom of Page)"/>
        <w:docPartUnique/>
      </w:docPartObj>
    </w:sdtPr>
    <w:sdtEndPr/>
    <w:sdtContent>
      <w:p w:rsidR="005802A8" w:rsidRDefault="00580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02A8" w:rsidRDefault="0058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F5" w:rsidRDefault="00304CF5" w:rsidP="00584A63">
      <w:pPr>
        <w:spacing w:after="0" w:line="240" w:lineRule="auto"/>
      </w:pPr>
      <w:r>
        <w:separator/>
      </w:r>
    </w:p>
  </w:footnote>
  <w:footnote w:type="continuationSeparator" w:id="0">
    <w:p w:rsidR="00304CF5" w:rsidRDefault="00304CF5" w:rsidP="00584A63">
      <w:pPr>
        <w:spacing w:after="0" w:line="240" w:lineRule="auto"/>
      </w:pPr>
      <w:r>
        <w:continuationSeparator/>
      </w:r>
    </w:p>
  </w:footnote>
  <w:footnote w:id="1">
    <w:p w:rsidR="005802A8" w:rsidRPr="00584A63" w:rsidRDefault="005802A8">
      <w:pPr>
        <w:pStyle w:val="FootnoteText"/>
        <w:rPr>
          <w:rFonts w:ascii="Bookman Old Style" w:hAnsi="Bookman Old Style"/>
          <w:sz w:val="18"/>
          <w:szCs w:val="18"/>
        </w:rPr>
      </w:pPr>
      <w:r w:rsidRPr="00584A63">
        <w:rPr>
          <w:rStyle w:val="FootnoteReference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Footnote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footnote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footnote</w:t>
      </w:r>
      <w:proofErr w:type="spellEnd"/>
      <w:r w:rsidRPr="00584A63">
        <w:rPr>
          <w:rFonts w:ascii="Bookman Old Style" w:hAnsi="Bookman Old Style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11"/>
    <w:rsid w:val="00006AF0"/>
    <w:rsid w:val="00060C11"/>
    <w:rsid w:val="00072D51"/>
    <w:rsid w:val="000B1D6C"/>
    <w:rsid w:val="000B3250"/>
    <w:rsid w:val="000B4728"/>
    <w:rsid w:val="000D6684"/>
    <w:rsid w:val="00105B1B"/>
    <w:rsid w:val="00107C70"/>
    <w:rsid w:val="00144695"/>
    <w:rsid w:val="001465E1"/>
    <w:rsid w:val="001516E6"/>
    <w:rsid w:val="001E04EC"/>
    <w:rsid w:val="001E5F44"/>
    <w:rsid w:val="00202D4B"/>
    <w:rsid w:val="00240E98"/>
    <w:rsid w:val="002572FF"/>
    <w:rsid w:val="00297E08"/>
    <w:rsid w:val="002D6B7E"/>
    <w:rsid w:val="003003A7"/>
    <w:rsid w:val="00303766"/>
    <w:rsid w:val="00304CF5"/>
    <w:rsid w:val="003754C3"/>
    <w:rsid w:val="00383964"/>
    <w:rsid w:val="003974C9"/>
    <w:rsid w:val="00457490"/>
    <w:rsid w:val="00472A8D"/>
    <w:rsid w:val="00504801"/>
    <w:rsid w:val="005318FA"/>
    <w:rsid w:val="00551E02"/>
    <w:rsid w:val="005663C1"/>
    <w:rsid w:val="005802A8"/>
    <w:rsid w:val="00582CDE"/>
    <w:rsid w:val="00584A63"/>
    <w:rsid w:val="005A7E49"/>
    <w:rsid w:val="005F2626"/>
    <w:rsid w:val="006119A0"/>
    <w:rsid w:val="00660A2E"/>
    <w:rsid w:val="00661B40"/>
    <w:rsid w:val="00675E5A"/>
    <w:rsid w:val="006F746B"/>
    <w:rsid w:val="0070137D"/>
    <w:rsid w:val="0071333D"/>
    <w:rsid w:val="00723513"/>
    <w:rsid w:val="00796D7C"/>
    <w:rsid w:val="008011E9"/>
    <w:rsid w:val="00822D97"/>
    <w:rsid w:val="00824222"/>
    <w:rsid w:val="008419D6"/>
    <w:rsid w:val="00871826"/>
    <w:rsid w:val="008A0630"/>
    <w:rsid w:val="008C4E7D"/>
    <w:rsid w:val="008F106F"/>
    <w:rsid w:val="00921F95"/>
    <w:rsid w:val="00960528"/>
    <w:rsid w:val="0099297F"/>
    <w:rsid w:val="009C5BCC"/>
    <w:rsid w:val="00A20706"/>
    <w:rsid w:val="00A57A50"/>
    <w:rsid w:val="00AB1DAB"/>
    <w:rsid w:val="00B02057"/>
    <w:rsid w:val="00B10F80"/>
    <w:rsid w:val="00B1262B"/>
    <w:rsid w:val="00B21C34"/>
    <w:rsid w:val="00B3345D"/>
    <w:rsid w:val="00B6284E"/>
    <w:rsid w:val="00BA25E4"/>
    <w:rsid w:val="00BC457D"/>
    <w:rsid w:val="00BE3D24"/>
    <w:rsid w:val="00BE608F"/>
    <w:rsid w:val="00C01139"/>
    <w:rsid w:val="00C17E89"/>
    <w:rsid w:val="00C83852"/>
    <w:rsid w:val="00C9471D"/>
    <w:rsid w:val="00CC518F"/>
    <w:rsid w:val="00CE0804"/>
    <w:rsid w:val="00D032DD"/>
    <w:rsid w:val="00D06EB3"/>
    <w:rsid w:val="00D94E72"/>
    <w:rsid w:val="00DA2D39"/>
    <w:rsid w:val="00DA4183"/>
    <w:rsid w:val="00DA659D"/>
    <w:rsid w:val="00DD1106"/>
    <w:rsid w:val="00DF0E65"/>
    <w:rsid w:val="00E55C2E"/>
    <w:rsid w:val="00F44871"/>
    <w:rsid w:val="00FB19A0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AD64"/>
  <w15:docId w15:val="{459D0759-82CE-4239-9E13-FA85B96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89"/>
  </w:style>
  <w:style w:type="paragraph" w:styleId="Heading1">
    <w:name w:val="heading 1"/>
    <w:basedOn w:val="Normal"/>
    <w:next w:val="Normal"/>
    <w:link w:val="Heading1Char"/>
    <w:uiPriority w:val="9"/>
    <w:qFormat/>
    <w:rsid w:val="00D06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1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0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1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605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605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05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052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6052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D110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List">
    <w:name w:val="Light List"/>
    <w:basedOn w:val="TableNormal"/>
    <w:uiPriority w:val="61"/>
    <w:rsid w:val="00675E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84A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A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A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08"/>
  </w:style>
  <w:style w:type="paragraph" w:styleId="Footer">
    <w:name w:val="footer"/>
    <w:basedOn w:val="Normal"/>
    <w:link w:val="FooterChar"/>
    <w:uiPriority w:val="99"/>
    <w:unhideWhenUsed/>
    <w:rsid w:val="0029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08"/>
  </w:style>
  <w:style w:type="paragraph" w:styleId="TableofFigures">
    <w:name w:val="table of figures"/>
    <w:basedOn w:val="Normal"/>
    <w:next w:val="Normal"/>
    <w:uiPriority w:val="99"/>
    <w:unhideWhenUsed/>
    <w:rsid w:val="00DA4183"/>
    <w:pPr>
      <w:spacing w:after="0"/>
      <w:ind w:left="440" w:hanging="440"/>
    </w:pPr>
    <w:rPr>
      <w:smallCaps/>
      <w:sz w:val="20"/>
      <w:szCs w:val="20"/>
    </w:rPr>
  </w:style>
  <w:style w:type="character" w:styleId="Strong">
    <w:name w:val="Strong"/>
    <w:basedOn w:val="DefaultParagraphFont"/>
    <w:uiPriority w:val="22"/>
    <w:qFormat/>
    <w:rsid w:val="008419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64D9-65A9-4DE0-BDC2-B643E363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Venetis</cp:lastModifiedBy>
  <cp:revision>27</cp:revision>
  <dcterms:created xsi:type="dcterms:W3CDTF">2020-05-25T08:41:00Z</dcterms:created>
  <dcterms:modified xsi:type="dcterms:W3CDTF">2022-04-02T14:27:00Z</dcterms:modified>
</cp:coreProperties>
</file>