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3A" w:rsidRDefault="004E3B3A" w:rsidP="005A63B9">
      <w:pPr>
        <w:jc w:val="both"/>
        <w:rPr>
          <w:rFonts w:ascii="Comic Sans MS" w:hAnsi="Comic Sans MS"/>
          <w:sz w:val="36"/>
          <w:szCs w:val="36"/>
        </w:rPr>
      </w:pPr>
      <w:r>
        <w:rPr>
          <w:rFonts w:ascii="Comic Sans MS" w:hAnsi="Comic Sans MS"/>
          <w:sz w:val="36"/>
          <w:szCs w:val="36"/>
        </w:rPr>
        <w:t>Στις  σημειώσεις πειραματικής θα βρείτε όλη τη αναγκαία θεωρία για το πείραμά σας, αλλά δεν φτάνει αυτό, γιατί πρέπει να μελετήσετε πάλι καλά και να βεβαιωθείτε ότι έχετε εμπεδώσει  τη προσθήκη ενός πυρηνόφιλου στο καρβονύλιο,</w:t>
      </w:r>
      <w:r w:rsidRPr="00BD35B3">
        <w:rPr>
          <w:rFonts w:ascii="Comic Sans MS" w:hAnsi="Comic Sans MS"/>
          <w:sz w:val="36"/>
          <w:szCs w:val="36"/>
        </w:rPr>
        <w:t xml:space="preserve"> </w:t>
      </w:r>
      <w:r>
        <w:rPr>
          <w:rFonts w:ascii="Comic Sans MS" w:hAnsi="Comic Sans MS"/>
          <w:sz w:val="36"/>
          <w:szCs w:val="36"/>
        </w:rPr>
        <w:t xml:space="preserve"> την στερεοχημεία της προσθήκης. (με λίγα λόγια: το έχετε; Γιατί θα σας χρειαστεί σε όλες τις οργανικές που θα εξετασθείτε)</w:t>
      </w:r>
    </w:p>
    <w:p w:rsidR="004E3B3A" w:rsidRDefault="004E3B3A" w:rsidP="005A63B9">
      <w:pPr>
        <w:jc w:val="both"/>
        <w:rPr>
          <w:rFonts w:ascii="Comic Sans MS" w:hAnsi="Comic Sans MS"/>
          <w:sz w:val="36"/>
          <w:szCs w:val="36"/>
        </w:rPr>
      </w:pPr>
      <w:r>
        <w:rPr>
          <w:rFonts w:ascii="Comic Sans MS" w:hAnsi="Comic Sans MS"/>
          <w:sz w:val="36"/>
          <w:szCs w:val="36"/>
        </w:rPr>
        <w:t>Τι είδους πυρηνόφιλο είναι το υδρίδιο, σε ποιες ενώσεις το βρίσκουμε, πως ο μεταλλικός χαρακτήρας επηρεάζει την ισχύ της πυρηνοφιλίας του υδριδίου, τι διαλύτες χρησιμοποιούμε, όλα αυτά πρέπει να είναι αυτονόητα μετά από κατανόηση της θεωρίας.</w:t>
      </w:r>
    </w:p>
    <w:p w:rsidR="004E3B3A" w:rsidRDefault="004E3B3A" w:rsidP="005A63B9">
      <w:pPr>
        <w:jc w:val="both"/>
        <w:rPr>
          <w:rFonts w:ascii="Comic Sans MS" w:hAnsi="Comic Sans MS"/>
          <w:sz w:val="36"/>
          <w:szCs w:val="36"/>
        </w:rPr>
      </w:pPr>
      <w:r>
        <w:rPr>
          <w:rFonts w:ascii="Comic Sans MS" w:hAnsi="Comic Sans MS"/>
          <w:sz w:val="36"/>
          <w:szCs w:val="36"/>
        </w:rPr>
        <w:t>Σελίδες σημειώσεων όλες, αλλά προσοχή μεγάλη σε 75-76, 84-89</w:t>
      </w:r>
    </w:p>
    <w:p w:rsidR="004E3B3A" w:rsidRDefault="004E3B3A" w:rsidP="005A63B9">
      <w:pPr>
        <w:jc w:val="both"/>
        <w:rPr>
          <w:rFonts w:ascii="Comic Sans MS" w:hAnsi="Comic Sans MS"/>
          <w:sz w:val="36"/>
          <w:szCs w:val="36"/>
        </w:rPr>
      </w:pPr>
      <w:r>
        <w:rPr>
          <w:rFonts w:ascii="Comic Sans MS" w:hAnsi="Comic Sans MS"/>
          <w:sz w:val="36"/>
          <w:szCs w:val="36"/>
        </w:rPr>
        <w:t xml:space="preserve">Είναι χρήσιμο να κάνετε μια επανάληψη στη χρήση πρωτικών μη πρωτικών διαλυτών. </w:t>
      </w:r>
    </w:p>
    <w:p w:rsidR="004E3B3A" w:rsidRDefault="004E3B3A" w:rsidP="005A63B9">
      <w:pPr>
        <w:jc w:val="both"/>
        <w:rPr>
          <w:rFonts w:ascii="Comic Sans MS" w:hAnsi="Comic Sans MS"/>
          <w:sz w:val="36"/>
          <w:szCs w:val="36"/>
        </w:rPr>
      </w:pPr>
      <w:r>
        <w:rPr>
          <w:rFonts w:ascii="Comic Sans MS" w:hAnsi="Comic Sans MS"/>
          <w:sz w:val="36"/>
          <w:szCs w:val="36"/>
        </w:rPr>
        <w:t xml:space="preserve">Πχ η μεθανόλη, η αιθανόλη και η τριτοταγής βουτανόλη ( προηγούμενο εξάμηνο ), παρουσία οξέως η υδροξυλομάδα πρωτονιώνεται. </w:t>
      </w:r>
    </w:p>
    <w:p w:rsidR="004E3B3A" w:rsidRPr="006C6D78" w:rsidRDefault="004E3B3A" w:rsidP="005A63B9">
      <w:pPr>
        <w:jc w:val="both"/>
        <w:rPr>
          <w:rFonts w:ascii="Comic Sans MS" w:hAnsi="Comic Sans MS"/>
          <w:sz w:val="36"/>
          <w:szCs w:val="36"/>
        </w:rPr>
      </w:pPr>
      <w:r>
        <w:rPr>
          <w:rFonts w:ascii="Comic Sans MS" w:hAnsi="Comic Sans MS"/>
          <w:sz w:val="36"/>
          <w:szCs w:val="36"/>
        </w:rPr>
        <w:lastRenderedPageBreak/>
        <w:t>Αν όμως θεωρήσουμε ότι οι αλκοόλες είναι ασθενή οξέα, τότε αν σχηματισθεί το μετά νατρίου άλας, αυτό θα είναι μια πολύ ισχυρή βάση της οργανικής χημείας. Πως συνδέεται αυτή η γνώση με την σημερινή άσκηση και τι πρακτικό ενδιαφέρον έχει γενικότερα;</w:t>
      </w:r>
    </w:p>
    <w:p w:rsidR="004E3B3A" w:rsidRPr="006C6D78" w:rsidRDefault="004E3B3A" w:rsidP="005A63B9">
      <w:pPr>
        <w:jc w:val="both"/>
        <w:rPr>
          <w:rFonts w:ascii="Comic Sans MS" w:hAnsi="Comic Sans MS"/>
          <w:sz w:val="36"/>
          <w:szCs w:val="36"/>
        </w:rPr>
      </w:pPr>
    </w:p>
    <w:p w:rsidR="004E3B3A" w:rsidRPr="00B22CE2" w:rsidRDefault="004E3B3A" w:rsidP="005A63B9">
      <w:pPr>
        <w:jc w:val="both"/>
        <w:rPr>
          <w:rFonts w:ascii="Comic Sans MS" w:hAnsi="Comic Sans MS"/>
          <w:sz w:val="36"/>
          <w:szCs w:val="36"/>
        </w:rPr>
      </w:pPr>
    </w:p>
    <w:p w:rsidR="004E3B3A" w:rsidRDefault="00B75971" w:rsidP="005A63B9">
      <w:pPr>
        <w:jc w:val="both"/>
        <w:rPr>
          <w:rFonts w:ascii="Comic Sans MS" w:hAnsi="Comic Sans MS"/>
          <w:sz w:val="36"/>
          <w:szCs w:val="36"/>
          <w:lang w:val="en-US"/>
        </w:rPr>
      </w:pPr>
      <w:r>
        <w:rPr>
          <w:rFonts w:ascii="Comic Sans MS" w:hAnsi="Comic Sans MS"/>
          <w:noProof/>
          <w:sz w:val="36"/>
          <w:szCs w:val="36"/>
          <w:lang w:eastAsia="el-GR"/>
        </w:rPr>
        <w:drawing>
          <wp:inline distT="0" distB="0" distL="0" distR="0">
            <wp:extent cx="3599180" cy="1673225"/>
            <wp:effectExtent l="19050" t="0" r="127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599180" cy="1673225"/>
                    </a:xfrm>
                    <a:prstGeom prst="rect">
                      <a:avLst/>
                    </a:prstGeom>
                    <a:noFill/>
                    <a:ln w="9525">
                      <a:noFill/>
                      <a:miter lim="800000"/>
                      <a:headEnd/>
                      <a:tailEnd/>
                    </a:ln>
                  </pic:spPr>
                </pic:pic>
              </a:graphicData>
            </a:graphic>
          </wp:inline>
        </w:drawing>
      </w:r>
    </w:p>
    <w:p w:rsidR="004E3B3A" w:rsidRPr="00B75971" w:rsidRDefault="004E3B3A" w:rsidP="005A63B9">
      <w:pPr>
        <w:jc w:val="both"/>
        <w:rPr>
          <w:rFonts w:ascii="Tahoma" w:hAnsi="Tahoma" w:cs="Tahoma"/>
          <w:sz w:val="20"/>
          <w:szCs w:val="20"/>
        </w:rPr>
      </w:pPr>
      <w:r>
        <w:rPr>
          <w:rFonts w:ascii="Tahoma" w:hAnsi="Tahoma" w:cs="Tahoma"/>
          <w:sz w:val="20"/>
          <w:szCs w:val="20"/>
        </w:rPr>
        <w:t>Η καμφορά έχει δύο κέντρα ασυμμετρίας (stereogenic centers) εντοπιζόμενα στους άνθρακες 1 και 4 (βλ. χημικό τύπο παρακάτω). Θεωρητικά θα έπρεπε να έχει 2</w:t>
      </w:r>
      <w:r>
        <w:rPr>
          <w:rFonts w:ascii="Tahoma" w:hAnsi="Tahoma" w:cs="Tahoma"/>
          <w:sz w:val="20"/>
          <w:szCs w:val="20"/>
          <w:vertAlign w:val="superscript"/>
        </w:rPr>
        <w:t>2</w:t>
      </w:r>
      <w:r>
        <w:rPr>
          <w:rFonts w:ascii="Tahoma" w:hAnsi="Tahoma" w:cs="Tahoma"/>
          <w:sz w:val="20"/>
          <w:szCs w:val="20"/>
        </w:rPr>
        <w:t xml:space="preserve"> = 4 οπτικώς ισομερή, αλλά το σχήμα κλωβού του μορίου δεν επιτρέπει παρά μόνο 2 οπτικώς ισομερή: την </w:t>
      </w:r>
      <w:r>
        <w:rPr>
          <w:rFonts w:ascii="Tahoma" w:hAnsi="Tahoma" w:cs="Tahoma"/>
          <w:b/>
          <w:bCs/>
          <w:sz w:val="20"/>
          <w:szCs w:val="20"/>
        </w:rPr>
        <w:t>(1</w:t>
      </w:r>
      <w:r>
        <w:rPr>
          <w:rFonts w:ascii="Tahoma" w:hAnsi="Tahoma" w:cs="Tahoma"/>
          <w:b/>
          <w:bCs/>
          <w:i/>
          <w:iCs/>
          <w:sz w:val="20"/>
          <w:szCs w:val="20"/>
        </w:rPr>
        <w:t>R</w:t>
      </w:r>
      <w:r>
        <w:rPr>
          <w:rFonts w:ascii="Tahoma" w:hAnsi="Tahoma" w:cs="Tahoma"/>
          <w:b/>
          <w:bCs/>
          <w:sz w:val="20"/>
          <w:szCs w:val="20"/>
        </w:rPr>
        <w:t>,4</w:t>
      </w:r>
      <w:r>
        <w:rPr>
          <w:rFonts w:ascii="Tahoma" w:hAnsi="Tahoma" w:cs="Tahoma"/>
          <w:b/>
          <w:bCs/>
          <w:i/>
          <w:iCs/>
          <w:sz w:val="20"/>
          <w:szCs w:val="20"/>
        </w:rPr>
        <w:t>R</w:t>
      </w:r>
      <w:r>
        <w:rPr>
          <w:rFonts w:ascii="Tahoma" w:hAnsi="Tahoma" w:cs="Tahoma"/>
          <w:b/>
          <w:bCs/>
          <w:sz w:val="20"/>
          <w:szCs w:val="20"/>
        </w:rPr>
        <w:t>)-καμφορά</w:t>
      </w:r>
      <w:r>
        <w:rPr>
          <w:rFonts w:ascii="Tahoma" w:hAnsi="Tahoma" w:cs="Tahoma"/>
          <w:sz w:val="20"/>
          <w:szCs w:val="20"/>
        </w:rPr>
        <w:t xml:space="preserve"> (δεξιόστροφη) και την </w:t>
      </w:r>
      <w:r>
        <w:rPr>
          <w:rFonts w:ascii="Tahoma" w:hAnsi="Tahoma" w:cs="Tahoma"/>
          <w:b/>
          <w:bCs/>
          <w:sz w:val="20"/>
          <w:szCs w:val="20"/>
        </w:rPr>
        <w:t>(1</w:t>
      </w:r>
      <w:r>
        <w:rPr>
          <w:rFonts w:ascii="Tahoma" w:hAnsi="Tahoma" w:cs="Tahoma"/>
          <w:b/>
          <w:bCs/>
          <w:i/>
          <w:iCs/>
          <w:sz w:val="20"/>
          <w:szCs w:val="20"/>
        </w:rPr>
        <w:t>S</w:t>
      </w:r>
      <w:r>
        <w:rPr>
          <w:rFonts w:ascii="Tahoma" w:hAnsi="Tahoma" w:cs="Tahoma"/>
          <w:b/>
          <w:bCs/>
          <w:sz w:val="20"/>
          <w:szCs w:val="20"/>
        </w:rPr>
        <w:t>,4</w:t>
      </w:r>
      <w:r>
        <w:rPr>
          <w:rFonts w:ascii="Tahoma" w:hAnsi="Tahoma" w:cs="Tahoma"/>
          <w:b/>
          <w:bCs/>
          <w:i/>
          <w:iCs/>
          <w:sz w:val="20"/>
          <w:szCs w:val="20"/>
        </w:rPr>
        <w:t>S</w:t>
      </w:r>
      <w:r>
        <w:rPr>
          <w:rFonts w:ascii="Tahoma" w:hAnsi="Tahoma" w:cs="Tahoma"/>
          <w:b/>
          <w:bCs/>
          <w:sz w:val="20"/>
          <w:szCs w:val="20"/>
        </w:rPr>
        <w:t>)-καμφορά</w:t>
      </w:r>
      <w:r>
        <w:rPr>
          <w:rFonts w:ascii="Tahoma" w:hAnsi="Tahoma" w:cs="Tahoma"/>
          <w:sz w:val="20"/>
          <w:szCs w:val="20"/>
        </w:rPr>
        <w:t xml:space="preserve"> (αριστερόστροφη).</w:t>
      </w:r>
    </w:p>
    <w:p w:rsidR="004E3B3A" w:rsidRPr="00B75971" w:rsidRDefault="004E3B3A" w:rsidP="005A63B9">
      <w:pPr>
        <w:jc w:val="both"/>
        <w:rPr>
          <w:rFonts w:ascii="Tahoma" w:hAnsi="Tahoma" w:cs="Tahoma"/>
          <w:sz w:val="20"/>
          <w:szCs w:val="20"/>
        </w:rPr>
      </w:pPr>
    </w:p>
    <w:p w:rsidR="004E3B3A" w:rsidRPr="00B75971" w:rsidRDefault="004E3B3A" w:rsidP="005A63B9">
      <w:pPr>
        <w:jc w:val="both"/>
        <w:rPr>
          <w:rFonts w:ascii="Tahoma" w:hAnsi="Tahoma" w:cs="Tahoma"/>
          <w:sz w:val="20"/>
          <w:szCs w:val="20"/>
        </w:rPr>
      </w:pPr>
    </w:p>
    <w:p w:rsidR="004E3B3A" w:rsidRPr="00B75971" w:rsidRDefault="004E3B3A" w:rsidP="005A63B9">
      <w:pPr>
        <w:jc w:val="both"/>
        <w:rPr>
          <w:rFonts w:ascii="Tahoma" w:hAnsi="Tahoma" w:cs="Tahoma"/>
          <w:sz w:val="20"/>
          <w:szCs w:val="20"/>
        </w:rPr>
      </w:pPr>
    </w:p>
    <w:p w:rsidR="004E3B3A" w:rsidRDefault="004E3B3A" w:rsidP="005A63B9">
      <w:pPr>
        <w:jc w:val="both"/>
      </w:pPr>
      <w:r>
        <w:rPr>
          <w:rFonts w:ascii="Comic Sans MS" w:hAnsi="Comic Sans MS" w:cs="Tahoma"/>
          <w:sz w:val="32"/>
          <w:szCs w:val="32"/>
        </w:rPr>
        <w:t>Από το διαδίκτυο:</w:t>
      </w:r>
      <w:r w:rsidRPr="008E3822">
        <w:t xml:space="preserve"> </w:t>
      </w:r>
    </w:p>
    <w:p w:rsidR="004E3B3A" w:rsidRPr="00463D30" w:rsidRDefault="00F04F61" w:rsidP="005A63B9">
      <w:pPr>
        <w:jc w:val="both"/>
      </w:pPr>
      <w:hyperlink r:id="rId5" w:history="1">
        <w:r w:rsidR="004E3B3A" w:rsidRPr="009C7364">
          <w:rPr>
            <w:rStyle w:val="Hyperlink"/>
            <w:rFonts w:ascii="Comic Sans MS" w:hAnsi="Comic Sans MS" w:cs="Tahoma"/>
            <w:sz w:val="32"/>
            <w:szCs w:val="32"/>
          </w:rPr>
          <w:t>http://195.134.76.37/chemicals/chem_camphor.htm</w:t>
        </w:r>
      </w:hyperlink>
    </w:p>
    <w:p w:rsidR="00463D30" w:rsidRDefault="00463D30" w:rsidP="005A63B9">
      <w:pPr>
        <w:jc w:val="both"/>
        <w:rPr>
          <w:lang w:val="en-US"/>
        </w:rPr>
      </w:pPr>
    </w:p>
    <w:p w:rsidR="00463D30" w:rsidRDefault="00463D30" w:rsidP="00463D30">
      <w:pPr>
        <w:pStyle w:val="NormalWeb"/>
        <w:rPr>
          <w:rFonts w:ascii="Helvetica" w:hAnsi="Helvetica" w:cs="Helvetica"/>
          <w:color w:val="000000"/>
          <w:lang w:val="en-US"/>
        </w:rPr>
      </w:pPr>
      <w:hyperlink r:id="rId6" w:history="1">
        <w:r w:rsidRPr="002478F8">
          <w:rPr>
            <w:rStyle w:val="Hyperlink"/>
            <w:rFonts w:ascii="Helvetica" w:hAnsi="Helvetica" w:cs="Helvetica"/>
            <w:lang w:val="en-US"/>
          </w:rPr>
          <w:t>http://www.chemguide.co.uk/organicprops/carbonylmenu.html#top</w:t>
        </w:r>
      </w:hyperlink>
    </w:p>
    <w:p w:rsidR="00463D30" w:rsidRDefault="00463D30" w:rsidP="00463D30">
      <w:pPr>
        <w:pStyle w:val="NormalWeb"/>
        <w:rPr>
          <w:rFonts w:ascii="Helvetica" w:hAnsi="Helvetica" w:cs="Helvetica"/>
          <w:color w:val="000000"/>
          <w:lang w:val="en-US"/>
        </w:rPr>
      </w:pPr>
      <w:hyperlink r:id="rId7" w:history="1">
        <w:r w:rsidRPr="002478F8">
          <w:rPr>
            <w:rStyle w:val="Hyperlink"/>
            <w:rFonts w:ascii="Helvetica" w:hAnsi="Helvetica" w:cs="Helvetica"/>
            <w:lang w:val="en-US"/>
          </w:rPr>
          <w:t>http://www.chemguide.co.uk/orgpropsmenu.html#top</w:t>
        </w:r>
      </w:hyperlink>
    </w:p>
    <w:p w:rsidR="00463D30" w:rsidRDefault="00463D30" w:rsidP="00463D30">
      <w:pPr>
        <w:pStyle w:val="NormalWeb"/>
        <w:rPr>
          <w:rFonts w:ascii="Helvetica" w:hAnsi="Helvetica" w:cs="Helvetica"/>
          <w:color w:val="000000"/>
          <w:lang w:val="en-US"/>
        </w:rPr>
      </w:pPr>
      <w:hyperlink r:id="rId8" w:history="1">
        <w:r w:rsidRPr="002478F8">
          <w:rPr>
            <w:rStyle w:val="Hyperlink"/>
            <w:rFonts w:ascii="Helvetica" w:hAnsi="Helvetica" w:cs="Helvetica"/>
            <w:lang w:val="en-US"/>
          </w:rPr>
          <w:t>https://www2.chemistry.msu.edu/faculty/reusch/virttxtjml/aldket1.htm</w:t>
        </w:r>
      </w:hyperlink>
    </w:p>
    <w:p w:rsidR="00463D30" w:rsidRPr="00AA2C70" w:rsidRDefault="00463D30" w:rsidP="00463D30">
      <w:pPr>
        <w:pStyle w:val="NormalWeb"/>
        <w:rPr>
          <w:rFonts w:ascii="Helvetica" w:hAnsi="Helvetica" w:cs="Helvetica"/>
          <w:color w:val="000000"/>
          <w:lang w:val="en-US"/>
        </w:rPr>
      </w:pPr>
    </w:p>
    <w:p w:rsidR="00463D30" w:rsidRDefault="00463D30" w:rsidP="00463D30">
      <w:pPr>
        <w:pStyle w:val="NormalWeb"/>
        <w:rPr>
          <w:rFonts w:ascii="Helvetica" w:hAnsi="Helvetica" w:cs="Helvetica"/>
          <w:color w:val="000000"/>
          <w:lang w:val="en-US"/>
        </w:rPr>
      </w:pPr>
    </w:p>
    <w:p w:rsidR="00463D30" w:rsidRPr="00B654AA" w:rsidRDefault="00463D30" w:rsidP="00463D30">
      <w:pPr>
        <w:pStyle w:val="NormalWeb"/>
        <w:rPr>
          <w:rFonts w:ascii="Helvetica" w:hAnsi="Helvetica" w:cs="Helvetica"/>
          <w:color w:val="000000"/>
          <w:lang w:val="en-US"/>
        </w:rPr>
      </w:pPr>
      <w:r w:rsidRPr="00B654AA">
        <w:rPr>
          <w:rFonts w:ascii="Helvetica" w:hAnsi="Helvetica" w:cs="Helvetica"/>
          <w:color w:val="000000"/>
          <w:lang w:val="en-US"/>
        </w:rPr>
        <w:t xml:space="preserve">Solid sodium </w:t>
      </w:r>
      <w:proofErr w:type="spellStart"/>
      <w:r w:rsidRPr="00B654AA">
        <w:rPr>
          <w:rFonts w:ascii="Helvetica" w:hAnsi="Helvetica" w:cs="Helvetica"/>
          <w:color w:val="000000"/>
          <w:lang w:val="en-US"/>
        </w:rPr>
        <w:t>tetrahydridoborate</w:t>
      </w:r>
      <w:proofErr w:type="spellEnd"/>
      <w:r w:rsidRPr="00B654AA">
        <w:rPr>
          <w:rFonts w:ascii="Helvetica" w:hAnsi="Helvetica" w:cs="Helvetica"/>
          <w:color w:val="000000"/>
          <w:lang w:val="en-US"/>
        </w:rPr>
        <w:t xml:space="preserve"> is added to a solution of the </w:t>
      </w:r>
      <w:proofErr w:type="spellStart"/>
      <w:r w:rsidRPr="00B654AA">
        <w:rPr>
          <w:rFonts w:ascii="Helvetica" w:hAnsi="Helvetica" w:cs="Helvetica"/>
          <w:color w:val="000000"/>
          <w:lang w:val="en-US"/>
        </w:rPr>
        <w:t>aldehyde</w:t>
      </w:r>
      <w:proofErr w:type="spellEnd"/>
      <w:r w:rsidRPr="00B654AA">
        <w:rPr>
          <w:rFonts w:ascii="Helvetica" w:hAnsi="Helvetica" w:cs="Helvetica"/>
          <w:color w:val="000000"/>
          <w:lang w:val="en-US"/>
        </w:rPr>
        <w:t xml:space="preserve"> or </w:t>
      </w:r>
      <w:proofErr w:type="spellStart"/>
      <w:r w:rsidRPr="00B654AA">
        <w:rPr>
          <w:rFonts w:ascii="Helvetica" w:hAnsi="Helvetica" w:cs="Helvetica"/>
          <w:color w:val="000000"/>
          <w:lang w:val="en-US"/>
        </w:rPr>
        <w:t>ketone</w:t>
      </w:r>
      <w:proofErr w:type="spellEnd"/>
      <w:r w:rsidRPr="00B654AA">
        <w:rPr>
          <w:rFonts w:ascii="Helvetica" w:hAnsi="Helvetica" w:cs="Helvetica"/>
          <w:color w:val="000000"/>
          <w:lang w:val="en-US"/>
        </w:rPr>
        <w:t xml:space="preserve"> in an alcohol such as methanol, ethanol or propan-2-ol. Depending on which recipe you read, it is either heated under reflux or left for some time around room temperature. This almost certainly varies depending on the nature of the </w:t>
      </w:r>
      <w:proofErr w:type="spellStart"/>
      <w:r w:rsidRPr="00B654AA">
        <w:rPr>
          <w:rFonts w:ascii="Helvetica" w:hAnsi="Helvetica" w:cs="Helvetica"/>
          <w:color w:val="000000"/>
          <w:lang w:val="en-US"/>
        </w:rPr>
        <w:t>aldehyde</w:t>
      </w:r>
      <w:proofErr w:type="spellEnd"/>
      <w:r w:rsidRPr="00B654AA">
        <w:rPr>
          <w:rFonts w:ascii="Helvetica" w:hAnsi="Helvetica" w:cs="Helvetica"/>
          <w:color w:val="000000"/>
          <w:lang w:val="en-US"/>
        </w:rPr>
        <w:t xml:space="preserve"> or </w:t>
      </w:r>
      <w:proofErr w:type="spellStart"/>
      <w:r w:rsidRPr="00B654AA">
        <w:rPr>
          <w:rFonts w:ascii="Helvetica" w:hAnsi="Helvetica" w:cs="Helvetica"/>
          <w:color w:val="000000"/>
          <w:lang w:val="en-US"/>
        </w:rPr>
        <w:t>ketone</w:t>
      </w:r>
      <w:proofErr w:type="spellEnd"/>
      <w:r w:rsidRPr="00B654AA">
        <w:rPr>
          <w:rFonts w:ascii="Helvetica" w:hAnsi="Helvetica" w:cs="Helvetica"/>
          <w:color w:val="000000"/>
          <w:lang w:val="en-US"/>
        </w:rPr>
        <w:t>.</w:t>
      </w:r>
    </w:p>
    <w:p w:rsidR="00463D30" w:rsidRPr="00B654AA" w:rsidRDefault="00463D30" w:rsidP="00463D30">
      <w:pPr>
        <w:pStyle w:val="NormalWeb"/>
        <w:rPr>
          <w:rFonts w:ascii="Helvetica" w:hAnsi="Helvetica" w:cs="Helvetica"/>
          <w:color w:val="000000"/>
          <w:lang w:val="en-US"/>
        </w:rPr>
      </w:pPr>
      <w:r w:rsidRPr="00B654AA">
        <w:rPr>
          <w:rFonts w:ascii="Helvetica" w:hAnsi="Helvetica" w:cs="Helvetica"/>
          <w:color w:val="000000"/>
          <w:lang w:val="en-US"/>
        </w:rPr>
        <w:t>At the end of this time, a complex similar to the previous one is formed.</w:t>
      </w:r>
    </w:p>
    <w:p w:rsidR="00463D30" w:rsidRPr="00B654AA" w:rsidRDefault="00463D30" w:rsidP="00463D30">
      <w:pPr>
        <w:rPr>
          <w:lang w:val="en-US"/>
        </w:rPr>
      </w:pPr>
    </w:p>
    <w:p w:rsidR="00463D30" w:rsidRDefault="00463D30" w:rsidP="00463D30">
      <w:pPr>
        <w:rPr>
          <w:lang w:val="en-US"/>
        </w:rPr>
      </w:pPr>
    </w:p>
    <w:p w:rsidR="00463D30" w:rsidRDefault="00463D30" w:rsidP="00463D30">
      <w:pPr>
        <w:rPr>
          <w:lang w:val="en-US"/>
        </w:rPr>
      </w:pPr>
      <w:r>
        <w:rPr>
          <w:noProof/>
          <w:lang w:eastAsia="el-GR"/>
        </w:rPr>
        <w:drawing>
          <wp:inline distT="0" distB="0" distL="0" distR="0">
            <wp:extent cx="3997960" cy="817245"/>
            <wp:effectExtent l="0" t="0" r="0" b="0"/>
            <wp:docPr id="4" name="Picture 1" descr="nabh4e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bh4eq1"/>
                    <pic:cNvPicPr>
                      <a:picLocks noChangeAspect="1" noChangeArrowheads="1"/>
                    </pic:cNvPicPr>
                  </pic:nvPicPr>
                  <pic:blipFill>
                    <a:blip r:embed="rId9"/>
                    <a:srcRect/>
                    <a:stretch>
                      <a:fillRect/>
                    </a:stretch>
                  </pic:blipFill>
                  <pic:spPr bwMode="auto">
                    <a:xfrm>
                      <a:off x="0" y="0"/>
                      <a:ext cx="3997960" cy="817245"/>
                    </a:xfrm>
                    <a:prstGeom prst="rect">
                      <a:avLst/>
                    </a:prstGeom>
                    <a:noFill/>
                    <a:ln w="9525">
                      <a:noFill/>
                      <a:miter lim="800000"/>
                      <a:headEnd/>
                      <a:tailEnd/>
                    </a:ln>
                  </pic:spPr>
                </pic:pic>
              </a:graphicData>
            </a:graphic>
          </wp:inline>
        </w:drawing>
      </w:r>
    </w:p>
    <w:p w:rsidR="00463D30" w:rsidRDefault="00463D30" w:rsidP="00463D30">
      <w:pPr>
        <w:rPr>
          <w:lang w:val="en-US"/>
        </w:rPr>
      </w:pPr>
    </w:p>
    <w:p w:rsidR="00463D30" w:rsidRPr="00B654AA" w:rsidRDefault="00463D30" w:rsidP="00463D30">
      <w:pPr>
        <w:rPr>
          <w:lang w:val="en-US"/>
        </w:rPr>
      </w:pPr>
    </w:p>
    <w:p w:rsidR="00463D30" w:rsidRDefault="00463D30" w:rsidP="00463D30">
      <w:pPr>
        <w:rPr>
          <w:lang w:val="en-US"/>
        </w:rPr>
      </w:pPr>
    </w:p>
    <w:p w:rsidR="00463D30" w:rsidRPr="00B654AA" w:rsidRDefault="00463D30" w:rsidP="00463D30">
      <w:pPr>
        <w:pStyle w:val="NormalWeb"/>
        <w:rPr>
          <w:rFonts w:ascii="Helvetica" w:hAnsi="Helvetica" w:cs="Helvetica"/>
          <w:color w:val="000000"/>
          <w:lang w:val="en-US"/>
        </w:rPr>
      </w:pPr>
      <w:r w:rsidRPr="00B654AA">
        <w:rPr>
          <w:rFonts w:ascii="Helvetica" w:hAnsi="Helvetica" w:cs="Helvetica"/>
          <w:color w:val="000000"/>
          <w:lang w:val="en-US"/>
        </w:rPr>
        <w:t xml:space="preserve">In the second stage of the reaction, </w:t>
      </w:r>
      <w:r w:rsidRPr="00972659">
        <w:rPr>
          <w:rFonts w:ascii="Helvetica" w:hAnsi="Helvetica" w:cs="Helvetica"/>
          <w:color w:val="0000FF"/>
          <w:lang w:val="en-US"/>
        </w:rPr>
        <w:t>water is added</w:t>
      </w:r>
      <w:r w:rsidRPr="00B654AA">
        <w:rPr>
          <w:rFonts w:ascii="Helvetica" w:hAnsi="Helvetica" w:cs="Helvetica"/>
          <w:color w:val="000000"/>
          <w:lang w:val="en-US"/>
        </w:rPr>
        <w:t xml:space="preserve"> and the mixture is boiled to release the alcohol from the complex.</w:t>
      </w:r>
    </w:p>
    <w:p w:rsidR="00463D30" w:rsidRDefault="00463D30" w:rsidP="00463D30">
      <w:pPr>
        <w:pStyle w:val="NormalWeb"/>
        <w:rPr>
          <w:rFonts w:ascii="Helvetica" w:hAnsi="Helvetica" w:cs="Helvetica"/>
          <w:color w:val="000000"/>
        </w:rPr>
      </w:pPr>
      <w:r>
        <w:rPr>
          <w:rFonts w:ascii="Helvetica" w:hAnsi="Helvetica" w:cs="Helvetica"/>
          <w:noProof/>
          <w:color w:val="000000"/>
        </w:rPr>
        <w:drawing>
          <wp:inline distT="0" distB="0" distL="0" distR="0">
            <wp:extent cx="379095" cy="146050"/>
            <wp:effectExtent l="0" t="0" r="0" b="0"/>
            <wp:docPr id="2" name="Picture 2" descr="pa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ding"/>
                    <pic:cNvPicPr>
                      <a:picLocks noChangeAspect="1" noChangeArrowheads="1"/>
                    </pic:cNvPicPr>
                  </pic:nvPicPr>
                  <pic:blipFill>
                    <a:blip r:embed="rId10"/>
                    <a:srcRect/>
                    <a:stretch>
                      <a:fillRect/>
                    </a:stretch>
                  </pic:blipFill>
                  <pic:spPr bwMode="auto">
                    <a:xfrm>
                      <a:off x="0" y="0"/>
                      <a:ext cx="379095" cy="146050"/>
                    </a:xfrm>
                    <a:prstGeom prst="rect">
                      <a:avLst/>
                    </a:prstGeom>
                    <a:noFill/>
                    <a:ln w="9525">
                      <a:noFill/>
                      <a:miter lim="800000"/>
                      <a:headEnd/>
                      <a:tailEnd/>
                    </a:ln>
                  </pic:spPr>
                </pic:pic>
              </a:graphicData>
            </a:graphic>
          </wp:inline>
        </w:drawing>
      </w:r>
    </w:p>
    <w:p w:rsidR="00463D30" w:rsidRDefault="00463D30" w:rsidP="00463D30">
      <w:pPr>
        <w:rPr>
          <w:lang w:val="en-US"/>
        </w:rPr>
      </w:pPr>
    </w:p>
    <w:p w:rsidR="00463D30" w:rsidRDefault="00463D30" w:rsidP="00463D30">
      <w:pPr>
        <w:rPr>
          <w:lang w:val="en-US"/>
        </w:rPr>
      </w:pPr>
    </w:p>
    <w:p w:rsidR="00463D30" w:rsidRDefault="00463D30" w:rsidP="00463D30">
      <w:pPr>
        <w:rPr>
          <w:lang w:val="en-US"/>
        </w:rPr>
      </w:pPr>
    </w:p>
    <w:p w:rsidR="00463D30" w:rsidRDefault="00463D30" w:rsidP="00463D30">
      <w:pPr>
        <w:rPr>
          <w:lang w:val="en-US"/>
        </w:rPr>
      </w:pPr>
    </w:p>
    <w:p w:rsidR="00463D30" w:rsidRDefault="00463D30" w:rsidP="00463D30">
      <w:pPr>
        <w:rPr>
          <w:lang w:val="en-US"/>
        </w:rPr>
      </w:pPr>
    </w:p>
    <w:p w:rsidR="00463D30" w:rsidRDefault="00463D30" w:rsidP="00463D30">
      <w:pPr>
        <w:rPr>
          <w:lang w:val="en-US"/>
        </w:rPr>
      </w:pPr>
      <w:r>
        <w:rPr>
          <w:noProof/>
          <w:lang w:eastAsia="el-GR"/>
        </w:rPr>
        <w:drawing>
          <wp:inline distT="0" distB="0" distL="0" distR="0">
            <wp:extent cx="4474845" cy="817245"/>
            <wp:effectExtent l="19050" t="0" r="0" b="0"/>
            <wp:docPr id="3" name="Picture 3" descr="nabh4e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bh4eq2"/>
                    <pic:cNvPicPr>
                      <a:picLocks noChangeAspect="1" noChangeArrowheads="1"/>
                    </pic:cNvPicPr>
                  </pic:nvPicPr>
                  <pic:blipFill>
                    <a:blip r:embed="rId11"/>
                    <a:srcRect/>
                    <a:stretch>
                      <a:fillRect/>
                    </a:stretch>
                  </pic:blipFill>
                  <pic:spPr bwMode="auto">
                    <a:xfrm>
                      <a:off x="0" y="0"/>
                      <a:ext cx="4474845" cy="817245"/>
                    </a:xfrm>
                    <a:prstGeom prst="rect">
                      <a:avLst/>
                    </a:prstGeom>
                    <a:noFill/>
                    <a:ln w="9525">
                      <a:noFill/>
                      <a:miter lim="800000"/>
                      <a:headEnd/>
                      <a:tailEnd/>
                    </a:ln>
                  </pic:spPr>
                </pic:pic>
              </a:graphicData>
            </a:graphic>
          </wp:inline>
        </w:drawing>
      </w:r>
    </w:p>
    <w:p w:rsidR="00463D30" w:rsidRDefault="00463D30" w:rsidP="00463D30">
      <w:pPr>
        <w:rPr>
          <w:lang w:val="en-US"/>
        </w:rPr>
      </w:pPr>
    </w:p>
    <w:p w:rsidR="00463D30" w:rsidRDefault="00463D30" w:rsidP="00463D30">
      <w:pPr>
        <w:rPr>
          <w:lang w:val="en-US"/>
        </w:rPr>
      </w:pPr>
    </w:p>
    <w:p w:rsidR="00463D30" w:rsidRDefault="00463D30" w:rsidP="00463D30">
      <w:pPr>
        <w:rPr>
          <w:lang w:val="en-US"/>
        </w:rPr>
      </w:pPr>
    </w:p>
    <w:p w:rsidR="00463D30" w:rsidRDefault="00463D30" w:rsidP="00463D30">
      <w:pPr>
        <w:rPr>
          <w:lang w:val="en-US"/>
        </w:rPr>
      </w:pPr>
    </w:p>
    <w:p w:rsidR="00463D30" w:rsidRPr="006757B9" w:rsidRDefault="00463D30" w:rsidP="00463D30">
      <w:pPr>
        <w:rPr>
          <w:lang w:val="en-US"/>
        </w:rPr>
      </w:pPr>
      <w:hyperlink r:id="rId12" w:history="1">
        <w:r w:rsidRPr="006757B9">
          <w:rPr>
            <w:rStyle w:val="Hyperlink"/>
            <w:lang w:val="en-US"/>
          </w:rPr>
          <w:t>https://www2.chemistry.msu.edu/faculty/reusch/virttxtjml/Images2/hydred1.gif</w:t>
        </w:r>
      </w:hyperlink>
    </w:p>
    <w:p w:rsidR="00463D30" w:rsidRPr="00463D30" w:rsidRDefault="00463D30" w:rsidP="005A63B9">
      <w:pPr>
        <w:jc w:val="both"/>
        <w:rPr>
          <w:rFonts w:ascii="Comic Sans MS" w:hAnsi="Comic Sans MS" w:cs="Tahoma"/>
          <w:sz w:val="32"/>
          <w:szCs w:val="32"/>
          <w:lang w:val="en-US"/>
        </w:rPr>
      </w:pPr>
    </w:p>
    <w:p w:rsidR="004E3B3A" w:rsidRPr="0090515B" w:rsidRDefault="004E3B3A" w:rsidP="005A63B9">
      <w:pPr>
        <w:jc w:val="both"/>
        <w:rPr>
          <w:rFonts w:ascii="Comic Sans MS" w:hAnsi="Comic Sans MS" w:cs="Tahoma"/>
          <w:sz w:val="32"/>
          <w:szCs w:val="32"/>
        </w:rPr>
      </w:pPr>
      <w:proofErr w:type="spellStart"/>
      <w:r>
        <w:rPr>
          <w:rFonts w:ascii="Comic Sans MS" w:hAnsi="Comic Sans MS" w:cs="Tahoma"/>
          <w:sz w:val="32"/>
          <w:szCs w:val="32"/>
          <w:lang w:val="en-US"/>
        </w:rPr>
        <w:t>Thanassis</w:t>
      </w:r>
      <w:proofErr w:type="spellEnd"/>
    </w:p>
    <w:p w:rsidR="004E3B3A" w:rsidRDefault="004E3B3A" w:rsidP="005A63B9">
      <w:pPr>
        <w:jc w:val="both"/>
        <w:rPr>
          <w:rFonts w:ascii="Comic Sans MS" w:hAnsi="Comic Sans MS" w:cs="Tahoma"/>
          <w:sz w:val="32"/>
          <w:szCs w:val="32"/>
        </w:rPr>
      </w:pPr>
    </w:p>
    <w:p w:rsidR="004E3B3A" w:rsidRDefault="004E3B3A" w:rsidP="005A63B9">
      <w:pPr>
        <w:jc w:val="both"/>
        <w:rPr>
          <w:rFonts w:ascii="Bookman Old Style" w:hAnsi="Bookman Old Style" w:cs="Tahoma"/>
          <w:sz w:val="32"/>
          <w:szCs w:val="32"/>
        </w:rPr>
      </w:pPr>
      <w:r>
        <w:rPr>
          <w:rFonts w:ascii="Arial Black" w:hAnsi="Arial Black" w:cs="Tahoma"/>
          <w:sz w:val="32"/>
          <w:szCs w:val="32"/>
        </w:rPr>
        <w:t xml:space="preserve">ΥΓ: </w:t>
      </w:r>
      <w:r>
        <w:rPr>
          <w:rFonts w:ascii="Bookman Old Style" w:hAnsi="Bookman Old Style" w:cs="Tahoma"/>
          <w:sz w:val="32"/>
          <w:szCs w:val="32"/>
        </w:rPr>
        <w:t xml:space="preserve">ΣΤΗΝ ΠΡΟΗΓΟΥΜΕΝΗ ΑΣΚΗΣΗ ΠΑΡΑΤΗΡΗΘΗΚΕ ΤΟ ΦΑΙΝΟΜΕΝΟ ΑΠΟ ΤΗΝ ΠΛΕΙΟΨΗΦΙΑ ΤΩΝ ΦΟΙΤΗΤΩΝ ΝΑ ΜΗΝ ΑΝΤΙΛΑΜΒΑΝΟΝΤΑΙ ΤΟ </w:t>
      </w:r>
      <w:r>
        <w:rPr>
          <w:rFonts w:ascii="Bookman Old Style" w:hAnsi="Bookman Old Style" w:cs="Tahoma"/>
          <w:sz w:val="32"/>
          <w:szCs w:val="32"/>
          <w:lang w:val="en-US"/>
        </w:rPr>
        <w:t>STATUS</w:t>
      </w:r>
      <w:r>
        <w:rPr>
          <w:rFonts w:ascii="Bookman Old Style" w:hAnsi="Bookman Old Style" w:cs="Tahoma"/>
          <w:sz w:val="32"/>
          <w:szCs w:val="32"/>
        </w:rPr>
        <w:t xml:space="preserve"> ΤΗΣ ΣΥΝΘΕΣΗΣ ΠΟΥ ΠΡΑΓΜΑΤΟΠΟΙΗΣΑΝ, ΤΟ ΟΠΟΙΟ ΕΙΝΑΙ ΜΕ ΠΟΛΛΟΥΣ ΤΡΟΠΟΥΣ ΕΠΙΚΙΝΔΥΝΟ.</w:t>
      </w:r>
    </w:p>
    <w:p w:rsidR="004E3B3A" w:rsidRDefault="004E3B3A" w:rsidP="005A63B9">
      <w:pPr>
        <w:jc w:val="both"/>
        <w:rPr>
          <w:rFonts w:ascii="Bookman Old Style" w:hAnsi="Bookman Old Style" w:cs="Tahoma"/>
          <w:sz w:val="32"/>
          <w:szCs w:val="32"/>
        </w:rPr>
      </w:pPr>
      <w:r>
        <w:rPr>
          <w:rFonts w:ascii="Bookman Old Style" w:hAnsi="Bookman Old Style" w:cs="Tahoma"/>
          <w:sz w:val="32"/>
          <w:szCs w:val="32"/>
        </w:rPr>
        <w:t>Η ΛΟΓΙΚΗ ΛΕΕΙ ΟΤΙ ΟΤΑΝ ΠΡΟΣΦΕΡΩ ΣΕ ΜΙΑ ΜΑΖΑ ΕΝΑ ΠΟΣΟ ΘΕΡΜΟΤΗΤΑΣ, ΑΥΤΟ ΔΕΝ ΑΝΑΙΡΕΙΤΑΙ ΜΕ ΤΟ ΚΛΕΙΣΙΜΟ ΕΝΟΣ ΚΟΥΜΠΙΟΥ.</w:t>
      </w:r>
    </w:p>
    <w:p w:rsidR="004E3B3A" w:rsidRPr="00175FD1" w:rsidRDefault="004E3B3A" w:rsidP="005A63B9">
      <w:pPr>
        <w:jc w:val="both"/>
        <w:rPr>
          <w:rFonts w:ascii="Bookman Old Style" w:hAnsi="Bookman Old Style" w:cs="Tahoma"/>
          <w:sz w:val="32"/>
          <w:szCs w:val="32"/>
        </w:rPr>
      </w:pPr>
      <w:r>
        <w:rPr>
          <w:rFonts w:ascii="Bookman Old Style" w:hAnsi="Bookman Old Style" w:cs="Tahoma"/>
          <w:sz w:val="32"/>
          <w:szCs w:val="32"/>
        </w:rPr>
        <w:t xml:space="preserve">ΝΑ ΤΟ ΠΟΥΜΕ ΑΠΛΑ: </w:t>
      </w:r>
      <w:r>
        <w:rPr>
          <w:rFonts w:ascii="Bookman Old Style" w:hAnsi="Bookman Old Style" w:cs="Tahoma"/>
          <w:color w:val="0000FF"/>
          <w:sz w:val="32"/>
          <w:szCs w:val="32"/>
        </w:rPr>
        <w:t>ΟΤΑΝ ΜΑΓΕΙΡΕΥΟΥΜΕ ΣΤΗ ΚΟΥΖΙΝΑ ΚΑΙ ΚΛΕΙΝΟΥΜΕ ΤΟ ΜΑΤΙ ΘΕΡΜΑΝΣΗΣ, ΑΦΗΝΟΥΜΕ ΓΙΑ ΑΡΚΕΤΗ ΩΡΑ ΤΟΝ ΑΠΟΡΡΟΦΗΤΗΡΑ ΑΝΟΙΧΤΟ, ΤΟ ΔΕ ΚΟΚΚΙΝΟ ΛΑΜΠΑΚΙ ΣΤΗΝ ΕΣΤΙΑ ΜΑΣ ΑΠΟΤΡΕΠΕΙ ΑΠΟ ΤΟ ΝΑ ΘΕΩΡΟΥΜΕ ΟΤΙ Η ΕΣΤΙΑ ΕΙΝΑΙ ΑΣΦΑΛΗΣ ΓΙΑ ΤΑ ΧΕΡΙΑ ΜΑΣ.</w:t>
      </w:r>
      <w:r>
        <w:rPr>
          <w:rFonts w:ascii="Bookman Old Style" w:hAnsi="Bookman Old Style" w:cs="Tahoma"/>
          <w:sz w:val="32"/>
          <w:szCs w:val="32"/>
        </w:rPr>
        <w:t xml:space="preserve"> ΤΟ ΙΔΙΟ ΣΥΜΒΑΙΝΕΙ ΣΤΟ ΕΡΓΑΣΤΗΡΙΟ ΜΕ ΤΑ ΜΑΤΙΑ ΘΕΡΜΑΝΣΗΣ ΚΑΙ ΤΗ ΨΥΞΗ ΠΟΥ ΑΠΟΤΡΕΠΕΙ ΤΗ ΒΙΑΙΗ ΕΞΑΤΜΙΣΗ ΕΝΟΣ ΔΙΑΛΥΤΗ.</w:t>
      </w:r>
    </w:p>
    <w:sectPr w:rsidR="004E3B3A" w:rsidRPr="00175FD1" w:rsidSect="00E816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omic Sans MS">
    <w:panose1 w:val="030F0702030302020204"/>
    <w:charset w:val="A1"/>
    <w:family w:val="script"/>
    <w:pitch w:val="variable"/>
    <w:sig w:usb0="00000287" w:usb1="00000000" w:usb2="00000000" w:usb3="00000000" w:csb0="0000009F" w:csb1="00000000"/>
  </w:font>
  <w:font w:name="Helvetica">
    <w:panose1 w:val="020B0504020202030204"/>
    <w:charset w:val="A1"/>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5A63B9"/>
    <w:rsid w:val="00046208"/>
    <w:rsid w:val="00135D5B"/>
    <w:rsid w:val="00175FD1"/>
    <w:rsid w:val="002C7FF2"/>
    <w:rsid w:val="002E42F7"/>
    <w:rsid w:val="00463D30"/>
    <w:rsid w:val="004A269E"/>
    <w:rsid w:val="004A3700"/>
    <w:rsid w:val="004E3B3A"/>
    <w:rsid w:val="00515F98"/>
    <w:rsid w:val="005A63B9"/>
    <w:rsid w:val="00670983"/>
    <w:rsid w:val="006C6D78"/>
    <w:rsid w:val="006D4C3F"/>
    <w:rsid w:val="007111BB"/>
    <w:rsid w:val="00755F30"/>
    <w:rsid w:val="008E3822"/>
    <w:rsid w:val="0090515B"/>
    <w:rsid w:val="00986948"/>
    <w:rsid w:val="009C7364"/>
    <w:rsid w:val="00AF6EFD"/>
    <w:rsid w:val="00B22CE2"/>
    <w:rsid w:val="00B75971"/>
    <w:rsid w:val="00BD35B3"/>
    <w:rsid w:val="00DB4E87"/>
    <w:rsid w:val="00E60B93"/>
    <w:rsid w:val="00E816C1"/>
    <w:rsid w:val="00EC57FC"/>
    <w:rsid w:val="00F04F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C1"/>
    <w:pPr>
      <w:spacing w:after="200" w:line="276"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3822"/>
    <w:rPr>
      <w:rFonts w:cs="Times New Roman"/>
      <w:color w:val="0000FF"/>
      <w:u w:val="single"/>
    </w:rPr>
  </w:style>
  <w:style w:type="paragraph" w:styleId="BalloonText">
    <w:name w:val="Balloon Text"/>
    <w:basedOn w:val="Normal"/>
    <w:link w:val="BalloonTextChar"/>
    <w:uiPriority w:val="99"/>
    <w:semiHidden/>
    <w:unhideWhenUsed/>
    <w:rsid w:val="00463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D30"/>
    <w:rPr>
      <w:rFonts w:ascii="Tahoma" w:hAnsi="Tahoma" w:cs="Tahoma"/>
      <w:sz w:val="16"/>
      <w:szCs w:val="16"/>
      <w:lang w:val="el-GR"/>
    </w:rPr>
  </w:style>
  <w:style w:type="paragraph" w:styleId="NormalWeb">
    <w:name w:val="Normal (Web)"/>
    <w:basedOn w:val="Normal"/>
    <w:rsid w:val="00463D30"/>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chemistry.msu.edu/faculty/reusch/virttxtjml/aldket1.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emguide.co.uk/orgpropsmenu.html#top" TargetMode="External"/><Relationship Id="rId12" Type="http://schemas.openxmlformats.org/officeDocument/2006/relationships/hyperlink" Target="https://www2.chemistry.msu.edu/faculty/reusch/virttxtjml/Images2/hydred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mguide.co.uk/organicprops/carbonylmenu.html#top" TargetMode="External"/><Relationship Id="rId11" Type="http://schemas.openxmlformats.org/officeDocument/2006/relationships/image" Target="media/image4.png"/><Relationship Id="rId5" Type="http://schemas.openxmlformats.org/officeDocument/2006/relationships/hyperlink" Target="http://195.134.76.37/chemicals/chem_camphor.htm"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2853</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Στις  σημειώσεις πειραματικής θα βρείτε όλη τη αναγκαία θεωρία για το πείραμά σας, αλλά δεν φτάνει αυτό, γιατί πρέπει να μελετήσετε πάλι καλά και να βεβαιωθείτε ότι έχετε εμπεδώσει  τη προσθήκη ενός πυρηνόφιλου στο καρβονύλιο, η στερεοχημεία της προσθήκη</dc:title>
  <dc:creator>user</dc:creator>
  <cp:lastModifiedBy>Tsivgoulis Supra Lab</cp:lastModifiedBy>
  <cp:revision>3</cp:revision>
  <dcterms:created xsi:type="dcterms:W3CDTF">2017-10-16T08:22:00Z</dcterms:created>
  <dcterms:modified xsi:type="dcterms:W3CDTF">2017-10-16T08:22:00Z</dcterms:modified>
</cp:coreProperties>
</file>