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6D" w:rsidRPr="00C96D37" w:rsidRDefault="0050346D" w:rsidP="0050346D">
      <w:pPr>
        <w:pStyle w:val="aa"/>
        <w:spacing w:line="360" w:lineRule="auto"/>
        <w:jc w:val="center"/>
        <w:rPr>
          <w:lang w:val="en-US"/>
        </w:rPr>
      </w:pPr>
    </w:p>
    <w:p w:rsidR="0050346D" w:rsidRPr="00390868" w:rsidRDefault="0050346D" w:rsidP="0050346D">
      <w:pPr>
        <w:pStyle w:val="aa"/>
        <w:spacing w:line="360" w:lineRule="auto"/>
        <w:jc w:val="center"/>
        <w:rPr>
          <w:lang w:val="en-US"/>
        </w:rPr>
      </w:pPr>
    </w:p>
    <w:p w:rsidR="0050346D" w:rsidRPr="00154433" w:rsidRDefault="0050346D" w:rsidP="0050346D">
      <w:pPr>
        <w:pStyle w:val="aa"/>
        <w:spacing w:line="360" w:lineRule="auto"/>
        <w:jc w:val="center"/>
        <w:rPr>
          <w:b/>
          <w:lang w:val="en-US"/>
        </w:rPr>
      </w:pPr>
    </w:p>
    <w:p w:rsidR="0050346D" w:rsidRPr="00154433" w:rsidRDefault="00154433" w:rsidP="0050346D">
      <w:pPr>
        <w:pStyle w:val="aa"/>
        <w:spacing w:line="360" w:lineRule="auto"/>
        <w:jc w:val="center"/>
        <w:rPr>
          <w:b/>
          <w:bCs/>
          <w:spacing w:val="20"/>
          <w:sz w:val="28"/>
        </w:rPr>
      </w:pPr>
      <w:r w:rsidRPr="00154433">
        <w:rPr>
          <w:b/>
        </w:rPr>
        <w:t>ΕΙΣΑΓΩΓΗ ΣΤΗΝ ΤΡΑΠΕΖΙΚΗ ΟΙΚΟΝΟΜΙΚΗ ΚΑΙ ΤΙΣ ΚΕΦΑΛΑΙΑΓΟΡΕΣ</w:t>
      </w:r>
    </w:p>
    <w:p w:rsidR="0050346D" w:rsidRPr="00390868" w:rsidRDefault="0050346D" w:rsidP="0050346D">
      <w:pPr>
        <w:pStyle w:val="aa"/>
        <w:spacing w:line="360" w:lineRule="auto"/>
        <w:jc w:val="center"/>
        <w:rPr>
          <w:b/>
          <w:bCs/>
          <w:sz w:val="28"/>
        </w:rPr>
      </w:pPr>
    </w:p>
    <w:p w:rsidR="0050346D" w:rsidRPr="00390868" w:rsidRDefault="0050346D" w:rsidP="0050346D">
      <w:pPr>
        <w:pStyle w:val="aa"/>
        <w:tabs>
          <w:tab w:val="clear" w:pos="4153"/>
          <w:tab w:val="clear" w:pos="8306"/>
        </w:tabs>
        <w:spacing w:line="360" w:lineRule="auto"/>
        <w:jc w:val="center"/>
      </w:pPr>
      <w:r w:rsidRPr="00390868">
        <w:t xml:space="preserve">ΣΥΡΙΟΠΟΥΛΟΣ ΚΩΝΣΤΑΝΤΙΝΟΣ </w:t>
      </w: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pPr>
      <w:r w:rsidRPr="00390868">
        <w:t xml:space="preserve">ΠΑΠΑΔΑΜΟΥ ΣΤΕΦΑΝΟΣ </w:t>
      </w: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pPr>
    </w:p>
    <w:p w:rsidR="0050346D" w:rsidRPr="00390868" w:rsidRDefault="0050346D" w:rsidP="0050346D">
      <w:pPr>
        <w:pStyle w:val="aa"/>
        <w:tabs>
          <w:tab w:val="clear" w:pos="4153"/>
          <w:tab w:val="clear" w:pos="8306"/>
        </w:tabs>
        <w:spacing w:line="360" w:lineRule="auto"/>
        <w:jc w:val="center"/>
        <w:rPr>
          <w:sz w:val="20"/>
        </w:rPr>
      </w:pPr>
    </w:p>
    <w:p w:rsidR="0050346D" w:rsidRPr="00154433" w:rsidRDefault="00154433" w:rsidP="0050346D">
      <w:pPr>
        <w:pStyle w:val="aa"/>
        <w:tabs>
          <w:tab w:val="clear" w:pos="4153"/>
          <w:tab w:val="clear" w:pos="8306"/>
        </w:tabs>
        <w:spacing w:line="360" w:lineRule="auto"/>
        <w:jc w:val="center"/>
        <w:rPr>
          <w:sz w:val="20"/>
        </w:rPr>
      </w:pPr>
      <w:r>
        <w:rPr>
          <w:sz w:val="20"/>
        </w:rPr>
        <w:t>ΠΑΤΡΑ</w:t>
      </w:r>
    </w:p>
    <w:p w:rsidR="0050346D" w:rsidRPr="00390868" w:rsidRDefault="0050346D" w:rsidP="0050346D">
      <w:pPr>
        <w:pStyle w:val="aa"/>
        <w:tabs>
          <w:tab w:val="clear" w:pos="4153"/>
          <w:tab w:val="clear" w:pos="8306"/>
        </w:tabs>
        <w:spacing w:line="360" w:lineRule="auto"/>
        <w:jc w:val="center"/>
      </w:pPr>
      <w:r w:rsidRPr="00390868">
        <w:rPr>
          <w:sz w:val="20"/>
        </w:rPr>
        <w:t>ΦΕΒΡΟΥΑΡΙΟΣ  2014</w:t>
      </w:r>
    </w:p>
    <w:p w:rsidR="0050346D" w:rsidRPr="00390868" w:rsidRDefault="0050346D" w:rsidP="0050346D">
      <w:pPr>
        <w:pStyle w:val="a7"/>
        <w:spacing w:line="360" w:lineRule="auto"/>
        <w:jc w:val="center"/>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50346D" w:rsidRPr="00390868" w:rsidRDefault="0050346D" w:rsidP="0050346D">
      <w:pPr>
        <w:pStyle w:val="a7"/>
        <w:spacing w:line="360" w:lineRule="auto"/>
        <w:ind w:firstLine="720"/>
        <w:jc w:val="right"/>
        <w:rPr>
          <w:rFonts w:ascii="Times New Roman" w:hAnsi="Times New Roman" w:cs="Times New Roman"/>
          <w:b w:val="0"/>
          <w:sz w:val="24"/>
          <w:szCs w:val="24"/>
        </w:rPr>
      </w:pPr>
    </w:p>
    <w:p w:rsidR="00154433" w:rsidRDefault="00154433" w:rsidP="0050346D">
      <w:pPr>
        <w:pStyle w:val="a7"/>
        <w:spacing w:line="360" w:lineRule="auto"/>
        <w:ind w:firstLine="720"/>
        <w:jc w:val="right"/>
        <w:rPr>
          <w:rFonts w:ascii="Times New Roman" w:hAnsi="Times New Roman" w:cs="Times New Roman"/>
          <w:b w:val="0"/>
          <w:sz w:val="24"/>
          <w:szCs w:val="24"/>
        </w:rPr>
      </w:pPr>
    </w:p>
    <w:p w:rsidR="00D22A80" w:rsidRPr="00390868" w:rsidRDefault="00D22A80" w:rsidP="00D22A80">
      <w:pPr>
        <w:spacing w:line="360" w:lineRule="auto"/>
        <w:jc w:val="center"/>
        <w:rPr>
          <w:b/>
          <w:sz w:val="32"/>
          <w:szCs w:val="32"/>
        </w:rPr>
      </w:pPr>
      <w:r w:rsidRPr="00390868">
        <w:rPr>
          <w:b/>
          <w:sz w:val="32"/>
          <w:szCs w:val="32"/>
        </w:rPr>
        <w:t>ΠΕΡΙΕΧΟΜΕΝΑ</w:t>
      </w:r>
    </w:p>
    <w:bookmarkStart w:id="0" w:name="_Toc325409021"/>
    <w:p w:rsidR="00D22A80" w:rsidRDefault="00EA318F">
      <w:pPr>
        <w:pStyle w:val="10"/>
        <w:rPr>
          <w:rFonts w:asciiTheme="minorHAnsi" w:eastAsiaTheme="minorEastAsia" w:hAnsiTheme="minorHAnsi" w:cstheme="minorBidi"/>
          <w:sz w:val="22"/>
          <w:szCs w:val="22"/>
        </w:rPr>
      </w:pPr>
      <w:r w:rsidRPr="00EA318F">
        <w:fldChar w:fldCharType="begin"/>
      </w:r>
      <w:r w:rsidR="00D22A80" w:rsidRPr="00390868">
        <w:instrText xml:space="preserve"> TOC \o "1-3" \f \h \z \u </w:instrText>
      </w:r>
      <w:r w:rsidRPr="00EA318F">
        <w:fldChar w:fldCharType="separate"/>
      </w:r>
      <w:hyperlink w:anchor="_Toc396220895" w:history="1">
        <w:r w:rsidR="00D22A80" w:rsidRPr="00673820">
          <w:rPr>
            <w:rStyle w:val="-"/>
          </w:rPr>
          <w:t>ΜΕΡΟΣ ΤΡΙΤΟ</w:t>
        </w:r>
        <w:r w:rsidR="00D22A80">
          <w:rPr>
            <w:webHidden/>
          </w:rPr>
          <w:tab/>
        </w:r>
        <w:r>
          <w:rPr>
            <w:webHidden/>
          </w:rPr>
          <w:fldChar w:fldCharType="begin"/>
        </w:r>
        <w:r w:rsidR="00D22A80">
          <w:rPr>
            <w:webHidden/>
          </w:rPr>
          <w:instrText xml:space="preserve"> PAGEREF _Toc396220895 \h </w:instrText>
        </w:r>
        <w:r>
          <w:rPr>
            <w:webHidden/>
          </w:rPr>
        </w:r>
        <w:r>
          <w:rPr>
            <w:webHidden/>
          </w:rPr>
          <w:fldChar w:fldCharType="separate"/>
        </w:r>
        <w:r w:rsidR="00D22A80">
          <w:rPr>
            <w:webHidden/>
          </w:rPr>
          <w:t>4</w:t>
        </w:r>
        <w:r>
          <w:rPr>
            <w:webHidden/>
          </w:rPr>
          <w:fldChar w:fldCharType="end"/>
        </w:r>
      </w:hyperlink>
    </w:p>
    <w:p w:rsidR="00D22A80" w:rsidRDefault="00EA318F">
      <w:pPr>
        <w:pStyle w:val="10"/>
        <w:rPr>
          <w:rFonts w:asciiTheme="minorHAnsi" w:eastAsiaTheme="minorEastAsia" w:hAnsiTheme="minorHAnsi" w:cstheme="minorBidi"/>
          <w:sz w:val="22"/>
          <w:szCs w:val="22"/>
        </w:rPr>
      </w:pPr>
      <w:hyperlink w:anchor="_Toc396220896" w:history="1">
        <w:r w:rsidR="00D22A80" w:rsidRPr="00673820">
          <w:rPr>
            <w:rStyle w:val="-"/>
          </w:rPr>
          <w:t>ΑΓΟΡΑ ΣΥΝΑΛΛΑΓΜΑΤΟΣ ΚΑΙ  ΚΕΦΑΛΑΙΑΓΟΡΕΣ</w:t>
        </w:r>
        <w:r w:rsidR="00D22A80">
          <w:rPr>
            <w:webHidden/>
          </w:rPr>
          <w:tab/>
        </w:r>
        <w:r>
          <w:rPr>
            <w:webHidden/>
          </w:rPr>
          <w:fldChar w:fldCharType="begin"/>
        </w:r>
        <w:r w:rsidR="00D22A80">
          <w:rPr>
            <w:webHidden/>
          </w:rPr>
          <w:instrText xml:space="preserve"> PAGEREF _Toc396220896 \h </w:instrText>
        </w:r>
        <w:r>
          <w:rPr>
            <w:webHidden/>
          </w:rPr>
        </w:r>
        <w:r>
          <w:rPr>
            <w:webHidden/>
          </w:rPr>
          <w:fldChar w:fldCharType="separate"/>
        </w:r>
        <w:r w:rsidR="00D22A80">
          <w:rPr>
            <w:webHidden/>
          </w:rPr>
          <w:t>4</w:t>
        </w:r>
        <w:r>
          <w:rPr>
            <w:webHidden/>
          </w:rPr>
          <w:fldChar w:fldCharType="end"/>
        </w:r>
      </w:hyperlink>
    </w:p>
    <w:p w:rsidR="00D22A80" w:rsidRDefault="00EA318F">
      <w:pPr>
        <w:pStyle w:val="10"/>
        <w:rPr>
          <w:rFonts w:asciiTheme="minorHAnsi" w:eastAsiaTheme="minorEastAsia" w:hAnsiTheme="minorHAnsi" w:cstheme="minorBidi"/>
          <w:sz w:val="22"/>
          <w:szCs w:val="22"/>
        </w:rPr>
      </w:pPr>
      <w:hyperlink w:anchor="_Toc396220897" w:history="1">
        <w:r w:rsidR="00D22A80" w:rsidRPr="00673820">
          <w:rPr>
            <w:rStyle w:val="-"/>
          </w:rPr>
          <w:t>ΚΕΦΑΛΑΙΟ 7</w:t>
        </w:r>
        <w:r w:rsidR="00D22A80">
          <w:rPr>
            <w:webHidden/>
          </w:rPr>
          <w:tab/>
        </w:r>
        <w:r>
          <w:rPr>
            <w:webHidden/>
          </w:rPr>
          <w:fldChar w:fldCharType="begin"/>
        </w:r>
        <w:r w:rsidR="00D22A80">
          <w:rPr>
            <w:webHidden/>
          </w:rPr>
          <w:instrText xml:space="preserve"> PAGEREF _Toc396220897 \h </w:instrText>
        </w:r>
        <w:r>
          <w:rPr>
            <w:webHidden/>
          </w:rPr>
        </w:r>
        <w:r>
          <w:rPr>
            <w:webHidden/>
          </w:rPr>
          <w:fldChar w:fldCharType="separate"/>
        </w:r>
        <w:r w:rsidR="00D22A80">
          <w:rPr>
            <w:webHidden/>
          </w:rPr>
          <w:t>4</w:t>
        </w:r>
        <w:r>
          <w:rPr>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898" w:history="1">
        <w:r w:rsidR="00D22A80" w:rsidRPr="00673820">
          <w:rPr>
            <w:rStyle w:val="-"/>
            <w:noProof/>
            <w:kern w:val="32"/>
          </w:rPr>
          <w:t>Η ΑΓΟΡΑ ΣΥΝΑΛΛΑΓΜΑΤΟΣ</w:t>
        </w:r>
        <w:r w:rsidR="00D22A80">
          <w:rPr>
            <w:noProof/>
            <w:webHidden/>
          </w:rPr>
          <w:tab/>
        </w:r>
        <w:r>
          <w:rPr>
            <w:noProof/>
            <w:webHidden/>
          </w:rPr>
          <w:fldChar w:fldCharType="begin"/>
        </w:r>
        <w:r w:rsidR="00D22A80">
          <w:rPr>
            <w:noProof/>
            <w:webHidden/>
          </w:rPr>
          <w:instrText xml:space="preserve"> PAGEREF _Toc396220898 \h </w:instrText>
        </w:r>
        <w:r>
          <w:rPr>
            <w:noProof/>
            <w:webHidden/>
          </w:rPr>
        </w:r>
        <w:r>
          <w:rPr>
            <w:noProof/>
            <w:webHidden/>
          </w:rPr>
          <w:fldChar w:fldCharType="separate"/>
        </w:r>
        <w:r w:rsidR="00D22A80">
          <w:rPr>
            <w:noProof/>
            <w:webHidden/>
          </w:rPr>
          <w:t>4</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899" w:history="1">
        <w:r w:rsidR="00D22A80" w:rsidRPr="00673820">
          <w:rPr>
            <w:rStyle w:val="-"/>
            <w:noProof/>
          </w:rPr>
          <w:t>7.1 Η τρέχουσα και η προθεσμιακή αγορά συναλλάγματος</w:t>
        </w:r>
        <w:r w:rsidR="00D22A80">
          <w:rPr>
            <w:noProof/>
            <w:webHidden/>
          </w:rPr>
          <w:tab/>
        </w:r>
        <w:r>
          <w:rPr>
            <w:noProof/>
            <w:webHidden/>
          </w:rPr>
          <w:fldChar w:fldCharType="begin"/>
        </w:r>
        <w:r w:rsidR="00D22A80">
          <w:rPr>
            <w:noProof/>
            <w:webHidden/>
          </w:rPr>
          <w:instrText xml:space="preserve"> PAGEREF _Toc396220899 \h </w:instrText>
        </w:r>
        <w:r>
          <w:rPr>
            <w:noProof/>
            <w:webHidden/>
          </w:rPr>
        </w:r>
        <w:r>
          <w:rPr>
            <w:noProof/>
            <w:webHidden/>
          </w:rPr>
          <w:fldChar w:fldCharType="separate"/>
        </w:r>
        <w:r w:rsidR="00D22A80">
          <w:rPr>
            <w:noProof/>
            <w:webHidden/>
          </w:rPr>
          <w:t>5</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0" w:history="1">
        <w:r w:rsidR="00D22A80" w:rsidRPr="00673820">
          <w:rPr>
            <w:rStyle w:val="-"/>
            <w:noProof/>
          </w:rPr>
          <w:t>7.2 Το ισοζύγιο πληρωμών</w:t>
        </w:r>
        <w:r w:rsidR="00D22A80">
          <w:rPr>
            <w:noProof/>
            <w:webHidden/>
          </w:rPr>
          <w:tab/>
        </w:r>
        <w:r>
          <w:rPr>
            <w:noProof/>
            <w:webHidden/>
          </w:rPr>
          <w:fldChar w:fldCharType="begin"/>
        </w:r>
        <w:r w:rsidR="00D22A80">
          <w:rPr>
            <w:noProof/>
            <w:webHidden/>
          </w:rPr>
          <w:instrText xml:space="preserve"> PAGEREF _Toc396220900 \h </w:instrText>
        </w:r>
        <w:r>
          <w:rPr>
            <w:noProof/>
            <w:webHidden/>
          </w:rPr>
        </w:r>
        <w:r>
          <w:rPr>
            <w:noProof/>
            <w:webHidden/>
          </w:rPr>
          <w:fldChar w:fldCharType="separate"/>
        </w:r>
        <w:r w:rsidR="00D22A80">
          <w:rPr>
            <w:noProof/>
            <w:webHidden/>
          </w:rPr>
          <w:t>12</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1" w:history="1">
        <w:r w:rsidR="00D22A80" w:rsidRPr="00673820">
          <w:rPr>
            <w:rStyle w:val="-"/>
            <w:noProof/>
          </w:rPr>
          <w:t>7.2.1 Η διάρθρωση του ισοζυγίου πληρωμών</w:t>
        </w:r>
        <w:r w:rsidR="00D22A80">
          <w:rPr>
            <w:noProof/>
            <w:webHidden/>
          </w:rPr>
          <w:tab/>
        </w:r>
        <w:r>
          <w:rPr>
            <w:noProof/>
            <w:webHidden/>
          </w:rPr>
          <w:fldChar w:fldCharType="begin"/>
        </w:r>
        <w:r w:rsidR="00D22A80">
          <w:rPr>
            <w:noProof/>
            <w:webHidden/>
          </w:rPr>
          <w:instrText xml:space="preserve"> PAGEREF _Toc396220901 \h </w:instrText>
        </w:r>
        <w:r>
          <w:rPr>
            <w:noProof/>
            <w:webHidden/>
          </w:rPr>
        </w:r>
        <w:r>
          <w:rPr>
            <w:noProof/>
            <w:webHidden/>
          </w:rPr>
          <w:fldChar w:fldCharType="separate"/>
        </w:r>
        <w:r w:rsidR="00D22A80">
          <w:rPr>
            <w:noProof/>
            <w:webHidden/>
          </w:rPr>
          <w:t>12</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2" w:history="1">
        <w:r w:rsidR="00D22A80" w:rsidRPr="00673820">
          <w:rPr>
            <w:rStyle w:val="-"/>
            <w:noProof/>
          </w:rPr>
          <w:t>7.2.2 Η κεϋνσιανή προσέγγιση</w:t>
        </w:r>
        <w:r w:rsidR="00D22A80">
          <w:rPr>
            <w:noProof/>
            <w:webHidden/>
          </w:rPr>
          <w:tab/>
        </w:r>
        <w:r>
          <w:rPr>
            <w:noProof/>
            <w:webHidden/>
          </w:rPr>
          <w:fldChar w:fldCharType="begin"/>
        </w:r>
        <w:r w:rsidR="00D22A80">
          <w:rPr>
            <w:noProof/>
            <w:webHidden/>
          </w:rPr>
          <w:instrText xml:space="preserve"> PAGEREF _Toc396220902 \h </w:instrText>
        </w:r>
        <w:r>
          <w:rPr>
            <w:noProof/>
            <w:webHidden/>
          </w:rPr>
        </w:r>
        <w:r>
          <w:rPr>
            <w:noProof/>
            <w:webHidden/>
          </w:rPr>
          <w:fldChar w:fldCharType="separate"/>
        </w:r>
        <w:r w:rsidR="00D22A80">
          <w:rPr>
            <w:noProof/>
            <w:webHidden/>
          </w:rPr>
          <w:t>17</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3" w:history="1">
        <w:r w:rsidR="00D22A80" w:rsidRPr="00673820">
          <w:rPr>
            <w:rStyle w:val="-"/>
            <w:noProof/>
          </w:rPr>
          <w:t>7.2.3 Η μονεταριστική προσέγγιση</w:t>
        </w:r>
        <w:r w:rsidR="00D22A80">
          <w:rPr>
            <w:noProof/>
            <w:webHidden/>
          </w:rPr>
          <w:tab/>
        </w:r>
        <w:r>
          <w:rPr>
            <w:noProof/>
            <w:webHidden/>
          </w:rPr>
          <w:fldChar w:fldCharType="begin"/>
        </w:r>
        <w:r w:rsidR="00D22A80">
          <w:rPr>
            <w:noProof/>
            <w:webHidden/>
          </w:rPr>
          <w:instrText xml:space="preserve"> PAGEREF _Toc396220903 \h </w:instrText>
        </w:r>
        <w:r>
          <w:rPr>
            <w:noProof/>
            <w:webHidden/>
          </w:rPr>
        </w:r>
        <w:r>
          <w:rPr>
            <w:noProof/>
            <w:webHidden/>
          </w:rPr>
          <w:fldChar w:fldCharType="separate"/>
        </w:r>
        <w:r w:rsidR="00D22A80">
          <w:rPr>
            <w:noProof/>
            <w:webHidden/>
          </w:rPr>
          <w:t>21</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4" w:history="1">
        <w:r w:rsidR="00D22A80" w:rsidRPr="00673820">
          <w:rPr>
            <w:rStyle w:val="-"/>
            <w:noProof/>
          </w:rPr>
          <w:t>7.3 Ισοδυναμία επιτοκίων</w:t>
        </w:r>
        <w:r w:rsidR="00D22A80">
          <w:rPr>
            <w:noProof/>
            <w:webHidden/>
          </w:rPr>
          <w:tab/>
        </w:r>
        <w:r>
          <w:rPr>
            <w:noProof/>
            <w:webHidden/>
          </w:rPr>
          <w:fldChar w:fldCharType="begin"/>
        </w:r>
        <w:r w:rsidR="00D22A80">
          <w:rPr>
            <w:noProof/>
            <w:webHidden/>
          </w:rPr>
          <w:instrText xml:space="preserve"> PAGEREF _Toc396220904 \h </w:instrText>
        </w:r>
        <w:r>
          <w:rPr>
            <w:noProof/>
            <w:webHidden/>
          </w:rPr>
        </w:r>
        <w:r>
          <w:rPr>
            <w:noProof/>
            <w:webHidden/>
          </w:rPr>
          <w:fldChar w:fldCharType="separate"/>
        </w:r>
        <w:r w:rsidR="00D22A80">
          <w:rPr>
            <w:noProof/>
            <w:webHidden/>
          </w:rPr>
          <w:t>23</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5" w:history="1">
        <w:r w:rsidR="00D22A80" w:rsidRPr="00673820">
          <w:rPr>
            <w:rStyle w:val="-"/>
            <w:noProof/>
          </w:rPr>
          <w:t>7.3.1 Ακάλυπτη ισοδυναμία επιτοκίων</w:t>
        </w:r>
        <w:r w:rsidR="00D22A80">
          <w:rPr>
            <w:noProof/>
            <w:webHidden/>
          </w:rPr>
          <w:tab/>
        </w:r>
        <w:r>
          <w:rPr>
            <w:noProof/>
            <w:webHidden/>
          </w:rPr>
          <w:fldChar w:fldCharType="begin"/>
        </w:r>
        <w:r w:rsidR="00D22A80">
          <w:rPr>
            <w:noProof/>
            <w:webHidden/>
          </w:rPr>
          <w:instrText xml:space="preserve"> PAGEREF _Toc396220905 \h </w:instrText>
        </w:r>
        <w:r>
          <w:rPr>
            <w:noProof/>
            <w:webHidden/>
          </w:rPr>
        </w:r>
        <w:r>
          <w:rPr>
            <w:noProof/>
            <w:webHidden/>
          </w:rPr>
          <w:fldChar w:fldCharType="separate"/>
        </w:r>
        <w:r w:rsidR="00D22A80">
          <w:rPr>
            <w:noProof/>
            <w:webHidden/>
          </w:rPr>
          <w:t>23</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6" w:history="1">
        <w:r w:rsidR="00D22A80" w:rsidRPr="00673820">
          <w:rPr>
            <w:rStyle w:val="-"/>
            <w:noProof/>
          </w:rPr>
          <w:t>7.3.2 Καλυμμένη ισοδυναμία επιτοκίων</w:t>
        </w:r>
        <w:r w:rsidR="00D22A80">
          <w:rPr>
            <w:noProof/>
            <w:webHidden/>
          </w:rPr>
          <w:tab/>
        </w:r>
        <w:r>
          <w:rPr>
            <w:noProof/>
            <w:webHidden/>
          </w:rPr>
          <w:fldChar w:fldCharType="begin"/>
        </w:r>
        <w:r w:rsidR="00D22A80">
          <w:rPr>
            <w:noProof/>
            <w:webHidden/>
          </w:rPr>
          <w:instrText xml:space="preserve"> PAGEREF _Toc396220906 \h </w:instrText>
        </w:r>
        <w:r>
          <w:rPr>
            <w:noProof/>
            <w:webHidden/>
          </w:rPr>
        </w:r>
        <w:r>
          <w:rPr>
            <w:noProof/>
            <w:webHidden/>
          </w:rPr>
          <w:fldChar w:fldCharType="separate"/>
        </w:r>
        <w:r w:rsidR="00D22A80">
          <w:rPr>
            <w:noProof/>
            <w:webHidden/>
          </w:rPr>
          <w:t>26</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7" w:history="1">
        <w:r w:rsidR="00D22A80" w:rsidRPr="00673820">
          <w:rPr>
            <w:rStyle w:val="-"/>
            <w:noProof/>
          </w:rPr>
          <w:t>7.4 Ισοδυναμία αγοραστικής δύναμης</w:t>
        </w:r>
        <w:r w:rsidR="00D22A80">
          <w:rPr>
            <w:noProof/>
            <w:webHidden/>
          </w:rPr>
          <w:tab/>
        </w:r>
        <w:r>
          <w:rPr>
            <w:noProof/>
            <w:webHidden/>
          </w:rPr>
          <w:fldChar w:fldCharType="begin"/>
        </w:r>
        <w:r w:rsidR="00D22A80">
          <w:rPr>
            <w:noProof/>
            <w:webHidden/>
          </w:rPr>
          <w:instrText xml:space="preserve"> PAGEREF _Toc396220907 \h </w:instrText>
        </w:r>
        <w:r>
          <w:rPr>
            <w:noProof/>
            <w:webHidden/>
          </w:rPr>
        </w:r>
        <w:r>
          <w:rPr>
            <w:noProof/>
            <w:webHidden/>
          </w:rPr>
          <w:fldChar w:fldCharType="separate"/>
        </w:r>
        <w:r w:rsidR="00D22A80">
          <w:rPr>
            <w:noProof/>
            <w:webHidden/>
          </w:rPr>
          <w:t>32</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8" w:history="1">
        <w:r w:rsidR="00D22A80" w:rsidRPr="00673820">
          <w:rPr>
            <w:rStyle w:val="-"/>
            <w:noProof/>
          </w:rPr>
          <w:t>7.4.1 Απόλυτη ισοδυναμία αγοραστικής δύναμης</w:t>
        </w:r>
        <w:r w:rsidR="00D22A80">
          <w:rPr>
            <w:noProof/>
            <w:webHidden/>
          </w:rPr>
          <w:tab/>
        </w:r>
        <w:r>
          <w:rPr>
            <w:noProof/>
            <w:webHidden/>
          </w:rPr>
          <w:fldChar w:fldCharType="begin"/>
        </w:r>
        <w:r w:rsidR="00D22A80">
          <w:rPr>
            <w:noProof/>
            <w:webHidden/>
          </w:rPr>
          <w:instrText xml:space="preserve"> PAGEREF _Toc396220908 \h </w:instrText>
        </w:r>
        <w:r>
          <w:rPr>
            <w:noProof/>
            <w:webHidden/>
          </w:rPr>
        </w:r>
        <w:r>
          <w:rPr>
            <w:noProof/>
            <w:webHidden/>
          </w:rPr>
          <w:fldChar w:fldCharType="separate"/>
        </w:r>
        <w:r w:rsidR="00D22A80">
          <w:rPr>
            <w:noProof/>
            <w:webHidden/>
          </w:rPr>
          <w:t>33</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09" w:history="1">
        <w:r w:rsidR="00D22A80" w:rsidRPr="00673820">
          <w:rPr>
            <w:rStyle w:val="-"/>
            <w:noProof/>
          </w:rPr>
          <w:t>7.4.2 Σχετική ισοδυναμία αγοραστικής δύναμης</w:t>
        </w:r>
        <w:r w:rsidR="00D22A80">
          <w:rPr>
            <w:noProof/>
            <w:webHidden/>
          </w:rPr>
          <w:tab/>
        </w:r>
        <w:r>
          <w:rPr>
            <w:noProof/>
            <w:webHidden/>
          </w:rPr>
          <w:fldChar w:fldCharType="begin"/>
        </w:r>
        <w:r w:rsidR="00D22A80">
          <w:rPr>
            <w:noProof/>
            <w:webHidden/>
          </w:rPr>
          <w:instrText xml:space="preserve"> PAGEREF _Toc396220909 \h </w:instrText>
        </w:r>
        <w:r>
          <w:rPr>
            <w:noProof/>
            <w:webHidden/>
          </w:rPr>
        </w:r>
        <w:r>
          <w:rPr>
            <w:noProof/>
            <w:webHidden/>
          </w:rPr>
          <w:fldChar w:fldCharType="separate"/>
        </w:r>
        <w:r w:rsidR="00D22A80">
          <w:rPr>
            <w:noProof/>
            <w:webHidden/>
          </w:rPr>
          <w:t>39</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0" w:history="1">
        <w:r w:rsidR="00D22A80" w:rsidRPr="00673820">
          <w:rPr>
            <w:rStyle w:val="-"/>
            <w:noProof/>
          </w:rPr>
          <w:t>7.4.3 Η πραγματική συναλλαγματική ισοτιμία</w:t>
        </w:r>
        <w:r w:rsidR="00D22A80">
          <w:rPr>
            <w:noProof/>
            <w:webHidden/>
          </w:rPr>
          <w:tab/>
        </w:r>
        <w:r>
          <w:rPr>
            <w:noProof/>
            <w:webHidden/>
          </w:rPr>
          <w:fldChar w:fldCharType="begin"/>
        </w:r>
        <w:r w:rsidR="00D22A80">
          <w:rPr>
            <w:noProof/>
            <w:webHidden/>
          </w:rPr>
          <w:instrText xml:space="preserve"> PAGEREF _Toc396220910 \h </w:instrText>
        </w:r>
        <w:r>
          <w:rPr>
            <w:noProof/>
            <w:webHidden/>
          </w:rPr>
        </w:r>
        <w:r>
          <w:rPr>
            <w:noProof/>
            <w:webHidden/>
          </w:rPr>
          <w:fldChar w:fldCharType="separate"/>
        </w:r>
        <w:r w:rsidR="00D22A80">
          <w:rPr>
            <w:noProof/>
            <w:webHidden/>
          </w:rPr>
          <w:t>45</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1" w:history="1">
        <w:r w:rsidR="00D22A80" w:rsidRPr="00673820">
          <w:rPr>
            <w:rStyle w:val="-"/>
            <w:noProof/>
          </w:rPr>
          <w:t>7.5 Υποδείγματα καθορισμού συναλλαγματικών ισοτιμιών</w:t>
        </w:r>
        <w:r w:rsidR="00D22A80">
          <w:rPr>
            <w:noProof/>
            <w:webHidden/>
          </w:rPr>
          <w:tab/>
        </w:r>
        <w:r>
          <w:rPr>
            <w:noProof/>
            <w:webHidden/>
          </w:rPr>
          <w:fldChar w:fldCharType="begin"/>
        </w:r>
        <w:r w:rsidR="00D22A80">
          <w:rPr>
            <w:noProof/>
            <w:webHidden/>
          </w:rPr>
          <w:instrText xml:space="preserve"> PAGEREF _Toc396220911 \h </w:instrText>
        </w:r>
        <w:r>
          <w:rPr>
            <w:noProof/>
            <w:webHidden/>
          </w:rPr>
        </w:r>
        <w:r>
          <w:rPr>
            <w:noProof/>
            <w:webHidden/>
          </w:rPr>
          <w:fldChar w:fldCharType="separate"/>
        </w:r>
        <w:r w:rsidR="00D22A80">
          <w:rPr>
            <w:noProof/>
            <w:webHidden/>
          </w:rPr>
          <w:t>47</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2" w:history="1">
        <w:r w:rsidR="00D22A80" w:rsidRPr="00673820">
          <w:rPr>
            <w:rStyle w:val="-"/>
            <w:noProof/>
          </w:rPr>
          <w:t>7.5.1 Το νομισματικό υπόδειγμα εύκαμπτων τιμών</w:t>
        </w:r>
        <w:r w:rsidR="00D22A80">
          <w:rPr>
            <w:noProof/>
            <w:webHidden/>
          </w:rPr>
          <w:tab/>
        </w:r>
        <w:r>
          <w:rPr>
            <w:noProof/>
            <w:webHidden/>
          </w:rPr>
          <w:fldChar w:fldCharType="begin"/>
        </w:r>
        <w:r w:rsidR="00D22A80">
          <w:rPr>
            <w:noProof/>
            <w:webHidden/>
          </w:rPr>
          <w:instrText xml:space="preserve"> PAGEREF _Toc396220912 \h </w:instrText>
        </w:r>
        <w:r>
          <w:rPr>
            <w:noProof/>
            <w:webHidden/>
          </w:rPr>
        </w:r>
        <w:r>
          <w:rPr>
            <w:noProof/>
            <w:webHidden/>
          </w:rPr>
          <w:fldChar w:fldCharType="separate"/>
        </w:r>
        <w:r w:rsidR="00D22A80">
          <w:rPr>
            <w:noProof/>
            <w:webHidden/>
          </w:rPr>
          <w:t>48</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3" w:history="1">
        <w:r w:rsidR="00D22A80" w:rsidRPr="00673820">
          <w:rPr>
            <w:rStyle w:val="-"/>
            <w:noProof/>
          </w:rPr>
          <w:t>7.5.2 Το νομισματικό υπόδειγμα με ατελή ευκαμψία</w:t>
        </w:r>
        <w:r w:rsidR="00D22A80">
          <w:rPr>
            <w:noProof/>
            <w:webHidden/>
          </w:rPr>
          <w:tab/>
        </w:r>
        <w:r>
          <w:rPr>
            <w:noProof/>
            <w:webHidden/>
          </w:rPr>
          <w:fldChar w:fldCharType="begin"/>
        </w:r>
        <w:r w:rsidR="00D22A80">
          <w:rPr>
            <w:noProof/>
            <w:webHidden/>
          </w:rPr>
          <w:instrText xml:space="preserve"> PAGEREF _Toc396220913 \h </w:instrText>
        </w:r>
        <w:r>
          <w:rPr>
            <w:noProof/>
            <w:webHidden/>
          </w:rPr>
        </w:r>
        <w:r>
          <w:rPr>
            <w:noProof/>
            <w:webHidden/>
          </w:rPr>
          <w:fldChar w:fldCharType="separate"/>
        </w:r>
        <w:r w:rsidR="00D22A80">
          <w:rPr>
            <w:noProof/>
            <w:webHidden/>
          </w:rPr>
          <w:t>50</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4" w:history="1">
        <w:r w:rsidR="00D22A80" w:rsidRPr="00673820">
          <w:rPr>
            <w:rStyle w:val="-"/>
            <w:noProof/>
          </w:rPr>
          <w:t>7.5.3 Το υπόδειγμα του διαφορικού πραγματικού επιτοκίου</w:t>
        </w:r>
        <w:r w:rsidR="00D22A80">
          <w:rPr>
            <w:noProof/>
            <w:webHidden/>
          </w:rPr>
          <w:tab/>
        </w:r>
        <w:r>
          <w:rPr>
            <w:noProof/>
            <w:webHidden/>
          </w:rPr>
          <w:fldChar w:fldCharType="begin"/>
        </w:r>
        <w:r w:rsidR="00D22A80">
          <w:rPr>
            <w:noProof/>
            <w:webHidden/>
          </w:rPr>
          <w:instrText xml:space="preserve"> PAGEREF _Toc396220914 \h </w:instrText>
        </w:r>
        <w:r>
          <w:rPr>
            <w:noProof/>
            <w:webHidden/>
          </w:rPr>
        </w:r>
        <w:r>
          <w:rPr>
            <w:noProof/>
            <w:webHidden/>
          </w:rPr>
          <w:fldChar w:fldCharType="separate"/>
        </w:r>
        <w:r w:rsidR="00D22A80">
          <w:rPr>
            <w:noProof/>
            <w:webHidden/>
          </w:rPr>
          <w:t>54</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5" w:history="1">
        <w:r w:rsidR="00D22A80" w:rsidRPr="00673820">
          <w:rPr>
            <w:rStyle w:val="-"/>
            <w:noProof/>
          </w:rPr>
          <w:t>7.5.3 Το υπόδειγμα ισορροπίας του χαρτοφυλακίου</w:t>
        </w:r>
        <w:r w:rsidR="00D22A80">
          <w:rPr>
            <w:noProof/>
            <w:webHidden/>
          </w:rPr>
          <w:tab/>
        </w:r>
        <w:r>
          <w:rPr>
            <w:noProof/>
            <w:webHidden/>
          </w:rPr>
          <w:fldChar w:fldCharType="begin"/>
        </w:r>
        <w:r w:rsidR="00D22A80">
          <w:rPr>
            <w:noProof/>
            <w:webHidden/>
          </w:rPr>
          <w:instrText xml:space="preserve"> PAGEREF _Toc396220915 \h </w:instrText>
        </w:r>
        <w:r>
          <w:rPr>
            <w:noProof/>
            <w:webHidden/>
          </w:rPr>
        </w:r>
        <w:r>
          <w:rPr>
            <w:noProof/>
            <w:webHidden/>
          </w:rPr>
          <w:fldChar w:fldCharType="separate"/>
        </w:r>
        <w:r w:rsidR="00D22A80">
          <w:rPr>
            <w:noProof/>
            <w:webHidden/>
          </w:rPr>
          <w:t>56</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6" w:history="1">
        <w:r w:rsidR="00D22A80" w:rsidRPr="00673820">
          <w:rPr>
            <w:rStyle w:val="-"/>
            <w:noProof/>
          </w:rPr>
          <w:t>7.6 Συστήματα συναλλαγματικών ισοτιμιών</w:t>
        </w:r>
        <w:r w:rsidR="00D22A80">
          <w:rPr>
            <w:noProof/>
            <w:webHidden/>
          </w:rPr>
          <w:tab/>
        </w:r>
        <w:r>
          <w:rPr>
            <w:noProof/>
            <w:webHidden/>
          </w:rPr>
          <w:fldChar w:fldCharType="begin"/>
        </w:r>
        <w:r w:rsidR="00D22A80">
          <w:rPr>
            <w:noProof/>
            <w:webHidden/>
          </w:rPr>
          <w:instrText xml:space="preserve"> PAGEREF _Toc396220916 \h </w:instrText>
        </w:r>
        <w:r>
          <w:rPr>
            <w:noProof/>
            <w:webHidden/>
          </w:rPr>
        </w:r>
        <w:r>
          <w:rPr>
            <w:noProof/>
            <w:webHidden/>
          </w:rPr>
          <w:fldChar w:fldCharType="separate"/>
        </w:r>
        <w:r w:rsidR="00D22A80">
          <w:rPr>
            <w:noProof/>
            <w:webHidden/>
          </w:rPr>
          <w:t>63</w:t>
        </w:r>
        <w:r>
          <w:rPr>
            <w:noProof/>
            <w:webHidden/>
          </w:rPr>
          <w:fldChar w:fldCharType="end"/>
        </w:r>
      </w:hyperlink>
    </w:p>
    <w:p w:rsidR="00D22A80" w:rsidRDefault="00EA318F">
      <w:pPr>
        <w:pStyle w:val="20"/>
        <w:tabs>
          <w:tab w:val="right" w:leader="dot" w:pos="8302"/>
        </w:tabs>
        <w:rPr>
          <w:rFonts w:asciiTheme="minorHAnsi" w:eastAsiaTheme="minorEastAsia" w:hAnsiTheme="minorHAnsi" w:cstheme="minorBidi"/>
          <w:noProof/>
          <w:sz w:val="22"/>
          <w:szCs w:val="22"/>
        </w:rPr>
      </w:pPr>
      <w:hyperlink w:anchor="_Toc396220917" w:history="1">
        <w:r w:rsidR="00D22A80" w:rsidRPr="00673820">
          <w:rPr>
            <w:rStyle w:val="-"/>
            <w:noProof/>
          </w:rPr>
          <w:t>Βιβλιογραφία Κεφαλαίου</w:t>
        </w:r>
        <w:r w:rsidR="00D22A80">
          <w:rPr>
            <w:noProof/>
            <w:webHidden/>
          </w:rPr>
          <w:tab/>
        </w:r>
        <w:r>
          <w:rPr>
            <w:noProof/>
            <w:webHidden/>
          </w:rPr>
          <w:fldChar w:fldCharType="begin"/>
        </w:r>
        <w:r w:rsidR="00D22A80">
          <w:rPr>
            <w:noProof/>
            <w:webHidden/>
          </w:rPr>
          <w:instrText xml:space="preserve"> PAGEREF _Toc396220917 \h </w:instrText>
        </w:r>
        <w:r>
          <w:rPr>
            <w:noProof/>
            <w:webHidden/>
          </w:rPr>
        </w:r>
        <w:r>
          <w:rPr>
            <w:noProof/>
            <w:webHidden/>
          </w:rPr>
          <w:fldChar w:fldCharType="separate"/>
        </w:r>
        <w:r w:rsidR="00D22A80">
          <w:rPr>
            <w:noProof/>
            <w:webHidden/>
          </w:rPr>
          <w:t>75</w:t>
        </w:r>
        <w:r>
          <w:rPr>
            <w:noProof/>
            <w:webHidden/>
          </w:rPr>
          <w:fldChar w:fldCharType="end"/>
        </w:r>
      </w:hyperlink>
    </w:p>
    <w:p w:rsidR="0050346D" w:rsidRPr="00D22A80" w:rsidRDefault="00EA318F" w:rsidP="00D22A80">
      <w:pPr>
        <w:pStyle w:val="a7"/>
        <w:spacing w:line="360" w:lineRule="auto"/>
        <w:rPr>
          <w:rFonts w:ascii="Times New Roman" w:hAnsi="Times New Roman" w:cs="Times New Roman"/>
          <w:b w:val="0"/>
          <w:i w:val="0"/>
        </w:rPr>
      </w:pPr>
      <w:r w:rsidRPr="00390868">
        <w:rPr>
          <w:rFonts w:ascii="Times New Roman" w:hAnsi="Times New Roman" w:cs="Times New Roman"/>
        </w:rPr>
        <w:fldChar w:fldCharType="end"/>
      </w:r>
      <w:bookmarkEnd w:id="0"/>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50346D" w:rsidRPr="00390868" w:rsidRDefault="0050346D" w:rsidP="0050346D">
      <w:pPr>
        <w:pStyle w:val="a7"/>
        <w:spacing w:line="360" w:lineRule="auto"/>
        <w:rPr>
          <w:rFonts w:ascii="Times New Roman" w:hAnsi="Times New Roman" w:cs="Times New Roman"/>
        </w:rPr>
      </w:pPr>
    </w:p>
    <w:p w:rsidR="00460FE5" w:rsidRPr="00A223EC" w:rsidRDefault="00460FE5" w:rsidP="00460FE5">
      <w:pPr>
        <w:pStyle w:val="1"/>
        <w:spacing w:before="0" w:after="0" w:line="360" w:lineRule="auto"/>
        <w:jc w:val="both"/>
        <w:rPr>
          <w:rFonts w:ascii="Times New Roman" w:hAnsi="Times New Roman" w:cs="Times New Roman"/>
        </w:rPr>
      </w:pPr>
      <w:bookmarkStart w:id="1" w:name="_Toc395803087"/>
      <w:bookmarkStart w:id="2" w:name="_Toc396220895"/>
      <w:bookmarkStart w:id="3" w:name="_Toc325149010"/>
      <w:r w:rsidRPr="00390868">
        <w:rPr>
          <w:rFonts w:ascii="Times New Roman" w:hAnsi="Times New Roman" w:cs="Times New Roman"/>
        </w:rPr>
        <w:lastRenderedPageBreak/>
        <w:t>ΜΕΡΟΣ</w:t>
      </w:r>
      <w:r w:rsidRPr="00A223EC">
        <w:rPr>
          <w:rFonts w:ascii="Times New Roman" w:hAnsi="Times New Roman" w:cs="Times New Roman"/>
        </w:rPr>
        <w:t xml:space="preserve"> </w:t>
      </w:r>
      <w:r>
        <w:rPr>
          <w:rFonts w:ascii="Times New Roman" w:hAnsi="Times New Roman" w:cs="Times New Roman"/>
        </w:rPr>
        <w:t>ΤΡΙΤΟ</w:t>
      </w:r>
      <w:bookmarkEnd w:id="1"/>
      <w:bookmarkEnd w:id="2"/>
      <w:r w:rsidRPr="00A223EC">
        <w:rPr>
          <w:rFonts w:ascii="Times New Roman" w:hAnsi="Times New Roman" w:cs="Times New Roman"/>
        </w:rPr>
        <w:t xml:space="preserve"> </w:t>
      </w:r>
    </w:p>
    <w:p w:rsidR="00460FE5" w:rsidRPr="00A223EC" w:rsidRDefault="005B6B87" w:rsidP="00460FE5">
      <w:pPr>
        <w:pStyle w:val="1"/>
        <w:spacing w:before="0" w:after="0" w:line="360" w:lineRule="auto"/>
        <w:jc w:val="both"/>
        <w:rPr>
          <w:rFonts w:ascii="Times New Roman" w:hAnsi="Times New Roman" w:cs="Times New Roman"/>
        </w:rPr>
      </w:pPr>
      <w:bookmarkStart w:id="4" w:name="_Toc395803088"/>
      <w:bookmarkStart w:id="5" w:name="_Toc396220896"/>
      <w:r>
        <w:rPr>
          <w:rFonts w:ascii="Times New Roman" w:hAnsi="Times New Roman" w:cs="Times New Roman"/>
        </w:rPr>
        <w:t>ΑΓΟΡΑ</w:t>
      </w:r>
      <w:r w:rsidRPr="00A223EC">
        <w:rPr>
          <w:rFonts w:ascii="Times New Roman" w:hAnsi="Times New Roman" w:cs="Times New Roman"/>
        </w:rPr>
        <w:t xml:space="preserve"> </w:t>
      </w:r>
      <w:r>
        <w:rPr>
          <w:rFonts w:ascii="Times New Roman" w:hAnsi="Times New Roman" w:cs="Times New Roman"/>
        </w:rPr>
        <w:t>ΣΥΝΑΛΛΑΓΜΑΤΟΣ</w:t>
      </w:r>
      <w:r w:rsidRPr="00A223EC">
        <w:rPr>
          <w:rFonts w:ascii="Times New Roman" w:hAnsi="Times New Roman" w:cs="Times New Roman"/>
        </w:rPr>
        <w:t xml:space="preserve"> </w:t>
      </w:r>
      <w:r>
        <w:rPr>
          <w:rFonts w:ascii="Times New Roman" w:hAnsi="Times New Roman" w:cs="Times New Roman"/>
        </w:rPr>
        <w:t>ΚΑΙ</w:t>
      </w:r>
      <w:r w:rsidR="00460FE5" w:rsidRPr="00A223EC">
        <w:rPr>
          <w:rFonts w:ascii="Times New Roman" w:hAnsi="Times New Roman" w:cs="Times New Roman"/>
        </w:rPr>
        <w:t xml:space="preserve">  </w:t>
      </w:r>
      <w:r w:rsidR="00460FE5" w:rsidRPr="00460FE5">
        <w:rPr>
          <w:rFonts w:ascii="Times New Roman" w:hAnsi="Times New Roman" w:cs="Times New Roman"/>
        </w:rPr>
        <w:t>ΚΕΦΑΛΑΙΑΓΟΡΕΣ</w:t>
      </w:r>
      <w:bookmarkEnd w:id="4"/>
      <w:bookmarkEnd w:id="5"/>
    </w:p>
    <w:p w:rsidR="00EF639B" w:rsidRPr="00A223EC" w:rsidRDefault="00EF639B" w:rsidP="00460FE5">
      <w:pPr>
        <w:pStyle w:val="1"/>
        <w:spacing w:before="0" w:after="0" w:line="360" w:lineRule="auto"/>
        <w:jc w:val="both"/>
        <w:rPr>
          <w:rFonts w:ascii="Times New Roman" w:hAnsi="Times New Roman" w:cs="Times New Roman"/>
          <w:b w:val="0"/>
          <w:bCs w:val="0"/>
          <w:kern w:val="0"/>
          <w:sz w:val="24"/>
          <w:szCs w:val="24"/>
        </w:rPr>
      </w:pPr>
    </w:p>
    <w:p w:rsidR="00460FE5" w:rsidRDefault="00460FE5" w:rsidP="00460FE5">
      <w:pPr>
        <w:pStyle w:val="1"/>
        <w:spacing w:before="0" w:after="0" w:line="360" w:lineRule="auto"/>
        <w:jc w:val="both"/>
        <w:rPr>
          <w:rFonts w:ascii="Times New Roman" w:hAnsi="Times New Roman" w:cs="Times New Roman"/>
        </w:rPr>
      </w:pPr>
      <w:bookmarkStart w:id="6" w:name="_Toc395803089"/>
      <w:bookmarkStart w:id="7" w:name="_Toc396220897"/>
      <w:r w:rsidRPr="00390868">
        <w:rPr>
          <w:rFonts w:ascii="Times New Roman" w:hAnsi="Times New Roman" w:cs="Times New Roman"/>
        </w:rPr>
        <w:t xml:space="preserve">ΚΕΦΑΛΑΙΟ </w:t>
      </w:r>
      <w:r>
        <w:rPr>
          <w:rFonts w:ascii="Times New Roman" w:hAnsi="Times New Roman" w:cs="Times New Roman"/>
        </w:rPr>
        <w:t>7</w:t>
      </w:r>
      <w:bookmarkEnd w:id="6"/>
      <w:bookmarkEnd w:id="7"/>
      <w:r w:rsidRPr="00390868">
        <w:rPr>
          <w:rFonts w:ascii="Times New Roman" w:hAnsi="Times New Roman" w:cs="Times New Roman"/>
        </w:rPr>
        <w:t xml:space="preserve"> </w:t>
      </w:r>
    </w:p>
    <w:p w:rsidR="009F6F3B" w:rsidRDefault="009F6F3B" w:rsidP="009F6F3B">
      <w:pPr>
        <w:pStyle w:val="2"/>
        <w:spacing w:before="0" w:after="0" w:line="360" w:lineRule="auto"/>
        <w:jc w:val="both"/>
        <w:rPr>
          <w:rFonts w:ascii="Times New Roman" w:hAnsi="Times New Roman" w:cs="Times New Roman"/>
          <w:i w:val="0"/>
        </w:rPr>
      </w:pPr>
      <w:bookmarkStart w:id="8" w:name="_Toc395803090"/>
      <w:bookmarkStart w:id="9" w:name="_Toc396220898"/>
      <w:r w:rsidRPr="009F6F3B">
        <w:rPr>
          <w:rFonts w:ascii="Times New Roman" w:hAnsi="Times New Roman" w:cs="Times New Roman"/>
          <w:i w:val="0"/>
          <w:iCs w:val="0"/>
          <w:kern w:val="32"/>
          <w:sz w:val="32"/>
          <w:szCs w:val="32"/>
        </w:rPr>
        <w:t>Η ΑΓΟΡΑ ΣΥΝΑΛΛΑΓΜΑΤΟΣ</w:t>
      </w:r>
      <w:bookmarkEnd w:id="8"/>
      <w:bookmarkEnd w:id="9"/>
    </w:p>
    <w:p w:rsidR="00D64C65" w:rsidRDefault="00D64C65" w:rsidP="0075701B">
      <w:pPr>
        <w:spacing w:line="360" w:lineRule="auto"/>
        <w:ind w:firstLine="720"/>
        <w:jc w:val="both"/>
      </w:pPr>
    </w:p>
    <w:p w:rsidR="0075701B" w:rsidRDefault="007C67D2" w:rsidP="0075701B">
      <w:pPr>
        <w:spacing w:line="360" w:lineRule="auto"/>
        <w:ind w:firstLine="720"/>
        <w:jc w:val="both"/>
      </w:pPr>
      <w:r>
        <w:t>Η αγορά συναλλάγματος (</w:t>
      </w:r>
      <w:proofErr w:type="spellStart"/>
      <w:r>
        <w:t>forex</w:t>
      </w:r>
      <w:proofErr w:type="spellEnd"/>
      <w:r>
        <w:t xml:space="preserve"> </w:t>
      </w:r>
      <w:r>
        <w:rPr>
          <w:lang w:val="en-US"/>
        </w:rPr>
        <w:t>market</w:t>
      </w:r>
      <w:r>
        <w:t>) παρέχει τα μέσα με τα οποία γίνονται οι</w:t>
      </w:r>
      <w:r w:rsidRPr="007C67D2">
        <w:t xml:space="preserve"> </w:t>
      </w:r>
      <w:r>
        <w:t xml:space="preserve">διασυνοριακές πληρωμές και σε διάφορα εθνικά νομίσματα. Είναι η αγορά στην οποία ένα νόμισμα διαπραγματεύεται </w:t>
      </w:r>
      <w:r w:rsidR="002765A1">
        <w:t>για</w:t>
      </w:r>
      <w:r>
        <w:t xml:space="preserve"> ένα άλλο και, συνεπώς, έχουμε τις τιμές ενός νομίσματος σε σχέση με τα άλλα. </w:t>
      </w:r>
    </w:p>
    <w:p w:rsidR="0075701B" w:rsidRDefault="007C67D2" w:rsidP="0075701B">
      <w:pPr>
        <w:spacing w:line="360" w:lineRule="auto"/>
        <w:ind w:firstLine="720"/>
        <w:jc w:val="both"/>
      </w:pPr>
      <w:r>
        <w:t xml:space="preserve">Η αυξανόμενη αλληλεξάρτηση των χωρών κατά τα τελευταία χρόνια έχει οδηγήσει σε δραματική αύξηση του ποσοστού των χρηματοοικονομικών συναλλαγών που έχουν μια διεθνή διάσταση. Η μεταβλητότητα των συναλλαγματικών ισοτιμιών και οι μεγάλες διεθνείς ανισορροπίες έχουν οδηγήσει στην </w:t>
      </w:r>
      <w:r w:rsidR="0075701B">
        <w:t>ανάπτυξη</w:t>
      </w:r>
      <w:r>
        <w:t xml:space="preserve"> νέων χρηματοοικονομικών μέσων και αγορών στις οποίες διαπραγματεύονται.</w:t>
      </w:r>
    </w:p>
    <w:p w:rsidR="002765A1" w:rsidRDefault="007C67D2" w:rsidP="00D64C65">
      <w:pPr>
        <w:spacing w:line="360" w:lineRule="auto"/>
        <w:ind w:firstLine="720"/>
        <w:jc w:val="both"/>
      </w:pPr>
      <w:r>
        <w:t>Δεδομένου ότι οι εξαγωγές και οι εισαγωγές έχουν αυξηθεί ως ποσοστό του ΑΕΠ όλων των ανεπτυγμένων χωρών,</w:t>
      </w:r>
      <w:r w:rsidR="00617E89">
        <w:t xml:space="preserve"> </w:t>
      </w:r>
      <w:r>
        <w:t xml:space="preserve">το ποσοστό των επιχειρήσεων που </w:t>
      </w:r>
      <w:r w:rsidR="00617E89">
        <w:t xml:space="preserve">χρειάζεται ξένα νομίσματα για την </w:t>
      </w:r>
      <w:r>
        <w:t>αγορά ενδιάμεσων ή τελικών προϊόντων</w:t>
      </w:r>
      <w:r w:rsidR="002765A1">
        <w:t xml:space="preserve"> έχει εκτιναχθεί</w:t>
      </w:r>
      <w:r>
        <w:t xml:space="preserve">. Οι επιχειρήσεις αυτές αναγκαστικά είναι εκτεθειμένες σε συναλλαγματικό κίνδυνο που προκύπτει από </w:t>
      </w:r>
      <w:r w:rsidR="002765A1">
        <w:t xml:space="preserve">τις </w:t>
      </w:r>
      <w:r>
        <w:t xml:space="preserve">διακυμάνσεις </w:t>
      </w:r>
      <w:r w:rsidR="002765A1">
        <w:t>των συναλλαγματικών ισοτιμιών</w:t>
      </w:r>
      <w:r>
        <w:t xml:space="preserve">. </w:t>
      </w:r>
      <w:r w:rsidR="002765A1">
        <w:t xml:space="preserve">Όπως θα δούμε τα κεφάλαιο 10 η ανάπτυξη της αγοράς παραγώγων επιτρέπει στις επιχειρήσεις τόσο να καλυφθούν έναντι του συναλλαγματικού κινδύνου όσο και να κερδοσκοπήσουν. </w:t>
      </w:r>
    </w:p>
    <w:p w:rsidR="00D64C65" w:rsidRDefault="002765A1" w:rsidP="00D64C65">
      <w:pPr>
        <w:spacing w:line="360" w:lineRule="auto"/>
        <w:ind w:firstLine="720"/>
        <w:jc w:val="both"/>
      </w:pPr>
      <w:r>
        <w:t>Θα πρέπει όμως να πούμε ότι α</w:t>
      </w:r>
      <w:r w:rsidR="00617E89">
        <w:t>υτή η</w:t>
      </w:r>
      <w:r>
        <w:t xml:space="preserve"> επιθυμία για </w:t>
      </w:r>
      <w:r w:rsidR="007C67D2">
        <w:t>προστασία έναντι</w:t>
      </w:r>
      <w:r w:rsidR="00617E89">
        <w:t xml:space="preserve"> </w:t>
      </w:r>
      <w:r>
        <w:t>του συναλλαγματικού</w:t>
      </w:r>
      <w:r w:rsidR="007C67D2">
        <w:t xml:space="preserve"> κινδύνου </w:t>
      </w:r>
      <w:r>
        <w:t>οδήγησε</w:t>
      </w:r>
      <w:r w:rsidR="007C67D2">
        <w:t xml:space="preserve"> στην ανάπτυξη των αγορών</w:t>
      </w:r>
      <w:r w:rsidR="00617E89">
        <w:t xml:space="preserve"> παραγώγων </w:t>
      </w:r>
      <w:r>
        <w:t xml:space="preserve">και λιγότερο η έννοια της κερδοσκοπίας. Τα προϊόντα της αγοράς παραγώγων αναφέρονται σε </w:t>
      </w:r>
      <w:r w:rsidR="00545A0A">
        <w:t xml:space="preserve">συμφωνίες ανταλλαγής νομισμάτων στο μέλλον που όμως οι όροι ανταλλαγής συμφωνούνται σήμερα. </w:t>
      </w:r>
      <w:r w:rsidR="00617E89">
        <w:t>Οι προθεσμιακές πράξεις συναλλάγματος, τα συμβόλαια μελλοντικής</w:t>
      </w:r>
      <w:r w:rsidR="00A223EC">
        <w:t xml:space="preserve"> εκπλήρωσης</w:t>
      </w:r>
      <w:r w:rsidR="00617E89">
        <w:t xml:space="preserve"> και</w:t>
      </w:r>
      <w:r w:rsidR="007C67D2">
        <w:t xml:space="preserve"> οι συμφωνίες ανταλλαγής συναλλάγματος </w:t>
      </w:r>
      <w:r w:rsidR="00617E89">
        <w:t>παρέχουν ένα πλήθος δυνατοτήτων κάλυψης</w:t>
      </w:r>
      <w:r w:rsidR="00A223EC">
        <w:t>,</w:t>
      </w:r>
      <w:r w:rsidR="00617E89">
        <w:t xml:space="preserve"> αλλά και κερδοσκοπίας</w:t>
      </w:r>
      <w:r w:rsidR="00545A0A">
        <w:t xml:space="preserve"> στις αγορές παραγώγων</w:t>
      </w:r>
      <w:r w:rsidR="007C67D2">
        <w:t>. Ταυτόχρονα, έχει δοθεί μεγάλη προσοχή στην</w:t>
      </w:r>
      <w:r w:rsidR="00617E89">
        <w:t xml:space="preserve"> πρόβλεψη των μελλοντικών μεταβολών</w:t>
      </w:r>
      <w:r w:rsidR="007C67D2">
        <w:t xml:space="preserve"> των συναλλαγματικών ισοτιμιών. </w:t>
      </w:r>
    </w:p>
    <w:p w:rsidR="00D64C65" w:rsidRDefault="002C2629" w:rsidP="00D64C65">
      <w:pPr>
        <w:spacing w:line="360" w:lineRule="auto"/>
        <w:ind w:firstLine="720"/>
        <w:jc w:val="both"/>
      </w:pPr>
      <w:r>
        <w:lastRenderedPageBreak/>
        <w:t xml:space="preserve">Εκτός όμως από τις επιχειρήσεις και τους ιδιώτες επενδυτές, στην αγορά συναλλάγματος συμμετέχουν τόσο οι εμπορικές τράπεζες όσο και οι κεντρικές τράπεζες. </w:t>
      </w:r>
      <w:r w:rsidRPr="002C2629">
        <w:t xml:space="preserve">Οι εμπορικές τράπεζες αγοράζουν και πωλούν συνάλλαγμα είτε για να ικανοποιήσουν τις ανάγκες των πελατών τους, είτε για ίδιο όφελος. </w:t>
      </w:r>
      <w:r>
        <w:t>Πολλές φορές παίζουν τον ρ</w:t>
      </w:r>
      <w:r w:rsidR="00084082">
        <w:t>όλο του διαμεσολαβητή</w:t>
      </w:r>
      <w:r>
        <w:t xml:space="preserve"> φέρνοντας σε επαφή τον αγοραστή με τον πωλητή συναλλάγματος.</w:t>
      </w:r>
      <w:r w:rsidR="00084082" w:rsidRPr="00084082">
        <w:t xml:space="preserve"> </w:t>
      </w:r>
      <w:r w:rsidR="00084082">
        <w:t>Από την άλλη ο</w:t>
      </w:r>
      <w:r w:rsidR="00A223EC">
        <w:t>ι κεντρικές τ</w:t>
      </w:r>
      <w:r w:rsidR="00084082" w:rsidRPr="002C2629">
        <w:t xml:space="preserve">ράπεζες συχνά παρεμβαίνουν στην αγορά συναλλάγματος για να επηρεάσουν τη συναλλαγματική ισοτιμία των νομισμάτων τους προς την επιθυμητή κατεύθυνση και να εξομαλύνουν την υπερβολική συναλλαγματική αστάθεια. </w:t>
      </w:r>
    </w:p>
    <w:p w:rsidR="00D64C65" w:rsidRDefault="00084082" w:rsidP="00D64C65">
      <w:pPr>
        <w:spacing w:line="360" w:lineRule="auto"/>
        <w:ind w:firstLine="720"/>
        <w:jc w:val="both"/>
      </w:pPr>
      <w:r>
        <w:t xml:space="preserve">Οι συμμετέχοντες στην αγορά συναλλάγματος μπορούν να διακριθούν σε τρεις βασικές κατηγορίες τους αντισταθμιστές κινδύνου, τους κερδοσκόπους και αυτούς που κάνουν αντισταθμιστική κερδοσκοπία. Οι πρώτοι χρησιμοποιούν παράγωγα χρηματοοικονομικά προϊόντα για να καλύψουν την έκθεση τους σε κάποιο συναλλαγματικό κίνδυνο. Οι δεύτεροι αναλαμβάνουν κίνδυνο προκειμένου να έχουν κάποια αναμενόμενα κέρδη ενώ οι τελευταίοι κάνουν αυτό που ονομάζουμε </w:t>
      </w:r>
      <w:proofErr w:type="spellStart"/>
      <w:r>
        <w:t>arbitrage</w:t>
      </w:r>
      <w:proofErr w:type="spellEnd"/>
      <w:r>
        <w:t xml:space="preserve"> </w:t>
      </w:r>
      <w:r w:rsidR="00A223EC">
        <w:t xml:space="preserve">δηλαδή </w:t>
      </w:r>
      <w:r w:rsidR="002C2629" w:rsidRPr="002C2629">
        <w:t>την αγορά ενός νομίσματος σε χαμηλή τιμή και την ταυτόχρονη πώλησή του σε υψηλότερη τιμή</w:t>
      </w:r>
      <w:r>
        <w:t>.</w:t>
      </w:r>
    </w:p>
    <w:p w:rsidR="00617E89" w:rsidRDefault="00617E89" w:rsidP="00D64C65">
      <w:pPr>
        <w:spacing w:line="360" w:lineRule="auto"/>
        <w:ind w:firstLine="720"/>
        <w:jc w:val="both"/>
      </w:pPr>
      <w:r>
        <w:t>Στο παρόν κεφάλαιο διακρίνουμε την τρέχουσα από την προθεσμιακή αγορά συναλλάγματος.</w:t>
      </w:r>
      <w:r w:rsidR="00545A0A">
        <w:t xml:space="preserve"> </w:t>
      </w:r>
      <w:r>
        <w:t>Θα αναλύσουμε τον ρόλο του ισοζυγίου πληρωμών</w:t>
      </w:r>
      <w:r w:rsidR="00545A0A">
        <w:t xml:space="preserve"> σε μια οικονομία.</w:t>
      </w:r>
      <w:r>
        <w:t xml:space="preserve"> Στην συνέχεια θα προσπαθήσουμε να ορίσουμε τους βασικούς παράγοντες που επηρεάζουν την συναλλαγματική ισοτιμία </w:t>
      </w:r>
      <w:r w:rsidR="00545A0A">
        <w:t>προβάλλοντας τα βασικά στοιχεί</w:t>
      </w:r>
      <w:r w:rsidR="002765A1">
        <w:t>α</w:t>
      </w:r>
      <w:r w:rsidR="00545A0A">
        <w:t xml:space="preserve"> της ισοδυναμίας επιτοκίων και αγοραστικής δύναμης. Κ</w:t>
      </w:r>
      <w:r>
        <w:t>αι</w:t>
      </w:r>
      <w:r w:rsidR="00545A0A">
        <w:t xml:space="preserve"> τέλος</w:t>
      </w:r>
      <w:r w:rsidR="002765A1">
        <w:t xml:space="preserve"> θ</w:t>
      </w:r>
      <w:r>
        <w:t>α δείξουμε κάποια από τα βασικά υποδείγματα πρόβλεψης</w:t>
      </w:r>
      <w:r w:rsidR="002765A1">
        <w:t xml:space="preserve"> των συναλλαγματικών ισοτιμιών</w:t>
      </w:r>
      <w:r>
        <w:t>.</w:t>
      </w:r>
    </w:p>
    <w:p w:rsidR="00617E89" w:rsidRDefault="00617E89" w:rsidP="00617E89">
      <w:pPr>
        <w:spacing w:line="360" w:lineRule="auto"/>
        <w:ind w:firstLine="284"/>
        <w:jc w:val="both"/>
      </w:pPr>
    </w:p>
    <w:p w:rsidR="00D24503" w:rsidRPr="00F96ABB" w:rsidRDefault="0000705C" w:rsidP="00F96ABB">
      <w:pPr>
        <w:pStyle w:val="2"/>
        <w:spacing w:before="0" w:after="0" w:line="360" w:lineRule="auto"/>
        <w:jc w:val="both"/>
        <w:rPr>
          <w:rFonts w:ascii="Times New Roman" w:hAnsi="Times New Roman" w:cs="Times New Roman"/>
          <w:i w:val="0"/>
        </w:rPr>
      </w:pPr>
      <w:bookmarkStart w:id="10" w:name="_Toc395803091"/>
      <w:bookmarkStart w:id="11" w:name="_Toc396220899"/>
      <w:r>
        <w:rPr>
          <w:rFonts w:ascii="Times New Roman" w:hAnsi="Times New Roman" w:cs="Times New Roman"/>
          <w:i w:val="0"/>
        </w:rPr>
        <w:t>7</w:t>
      </w:r>
      <w:r w:rsidR="009F6F3B" w:rsidRPr="00390868">
        <w:rPr>
          <w:rFonts w:ascii="Times New Roman" w:hAnsi="Times New Roman" w:cs="Times New Roman"/>
          <w:i w:val="0"/>
        </w:rPr>
        <w:t xml:space="preserve">.1 </w:t>
      </w:r>
      <w:r w:rsidR="009F6F3B" w:rsidRPr="009F6F3B">
        <w:rPr>
          <w:rFonts w:ascii="Times New Roman" w:hAnsi="Times New Roman" w:cs="Times New Roman"/>
          <w:i w:val="0"/>
        </w:rPr>
        <w:t xml:space="preserve">Η τρέχουσα και η προθεσμιακή </w:t>
      </w:r>
      <w:r w:rsidR="000E1DD4">
        <w:rPr>
          <w:rFonts w:ascii="Times New Roman" w:hAnsi="Times New Roman" w:cs="Times New Roman"/>
          <w:i w:val="0"/>
        </w:rPr>
        <w:t>αγορά συναλλάγματος</w:t>
      </w:r>
      <w:bookmarkEnd w:id="10"/>
      <w:bookmarkEnd w:id="11"/>
    </w:p>
    <w:p w:rsidR="00D24503" w:rsidRPr="00D24503" w:rsidRDefault="00D24503" w:rsidP="00D24503"/>
    <w:p w:rsidR="00D24503" w:rsidRPr="007B5600" w:rsidRDefault="00267B3D" w:rsidP="00DC3FDB">
      <w:pPr>
        <w:spacing w:line="360" w:lineRule="auto"/>
        <w:ind w:firstLine="720"/>
        <w:jc w:val="both"/>
        <w:rPr>
          <w:rFonts w:eastAsiaTheme="minorEastAsia"/>
        </w:rPr>
      </w:pPr>
      <w:r>
        <w:rPr>
          <w:rFonts w:eastAsiaTheme="minorHAnsi"/>
          <w:lang w:eastAsia="en-US"/>
        </w:rPr>
        <w:t>Η ο</w:t>
      </w:r>
      <w:r w:rsidRPr="00267B3D">
        <w:rPr>
          <w:rFonts w:eastAsiaTheme="minorHAnsi"/>
          <w:lang w:eastAsia="en-US"/>
        </w:rPr>
        <w:t>νομαστική συναλλαγματική ισοτιμία ορίζεται</w:t>
      </w:r>
      <w:r>
        <w:rPr>
          <w:rFonts w:eastAsiaTheme="minorHAnsi"/>
          <w:lang w:eastAsia="en-US"/>
        </w:rPr>
        <w:t xml:space="preserve"> ως</w:t>
      </w:r>
      <w:r w:rsidRPr="00267B3D">
        <w:rPr>
          <w:rFonts w:eastAsiaTheme="minorHAnsi"/>
          <w:lang w:eastAsia="en-US"/>
        </w:rPr>
        <w:t xml:space="preserve"> η τιμή ενός νομίσματος σε μονάδες κάποιου άλλου νομίσματος. </w:t>
      </w:r>
      <w:r w:rsidR="00D24503" w:rsidRPr="007A5961">
        <w:rPr>
          <w:rFonts w:eastAsiaTheme="minorEastAsia"/>
        </w:rPr>
        <w:t>Επειδή οι συναλλαγματικές ισοτιμίες είναι σχετικές τιμές, μπορού</w:t>
      </w:r>
      <w:r w:rsidR="00D24503">
        <w:rPr>
          <w:rFonts w:eastAsiaTheme="minorEastAsia"/>
        </w:rPr>
        <w:t xml:space="preserve">ν να υπολογιστούν με δύο (ισοδύναμους πληροφοριακά) τρόπους, το άμεσο και τον έμμεσο </w:t>
      </w:r>
      <w:r w:rsidR="00D24503" w:rsidRPr="007B5600">
        <w:rPr>
          <w:rFonts w:eastAsiaTheme="minorEastAsia"/>
        </w:rPr>
        <w:t>με κριτήριο το νόμισμα αναφοράς.</w:t>
      </w:r>
    </w:p>
    <w:p w:rsidR="00D24503" w:rsidRPr="000E2151" w:rsidRDefault="00D24503" w:rsidP="00DC3FDB">
      <w:pPr>
        <w:spacing w:line="360" w:lineRule="auto"/>
        <w:jc w:val="both"/>
        <w:rPr>
          <w:rFonts w:eastAsiaTheme="minorEastAsia"/>
        </w:rPr>
      </w:pPr>
      <w:r>
        <w:rPr>
          <w:rFonts w:eastAsiaTheme="minorEastAsia"/>
        </w:rPr>
        <w:t xml:space="preserve">           </w:t>
      </w:r>
      <w:r w:rsidRPr="007A5961">
        <w:rPr>
          <w:rFonts w:eastAsiaTheme="minorEastAsia"/>
        </w:rPr>
        <w:t>Όταν στον αριθμητή βρίσκεται το ξένο νόμισμα (</w:t>
      </w:r>
      <w:r w:rsidRPr="007A5961">
        <w:rPr>
          <w:rFonts w:eastAsiaTheme="minorEastAsia"/>
          <w:lang w:val="en-US"/>
        </w:rPr>
        <w:t>foreign</w:t>
      </w:r>
      <w:r>
        <w:rPr>
          <w:rFonts w:eastAsiaTheme="minorEastAsia"/>
        </w:rPr>
        <w:t xml:space="preserve"> </w:t>
      </w:r>
      <w:r w:rsidRPr="007A5961">
        <w:rPr>
          <w:rFonts w:eastAsiaTheme="minorEastAsia"/>
          <w:lang w:val="en-US"/>
        </w:rPr>
        <w:t>currency</w:t>
      </w:r>
      <w:r w:rsidRPr="007A5961">
        <w:rPr>
          <w:rFonts w:eastAsiaTheme="minorEastAsia"/>
        </w:rPr>
        <w:t>) και στον παρονομαστή το εγχώριο νόμισμα (</w:t>
      </w:r>
      <w:r w:rsidRPr="007A5961">
        <w:rPr>
          <w:rFonts w:eastAsiaTheme="minorEastAsia"/>
          <w:lang w:val="en-US"/>
        </w:rPr>
        <w:t>domestic</w:t>
      </w:r>
      <w:r>
        <w:rPr>
          <w:rFonts w:eastAsiaTheme="minorEastAsia"/>
        </w:rPr>
        <w:t xml:space="preserve"> </w:t>
      </w:r>
      <w:r w:rsidRPr="007A5961">
        <w:rPr>
          <w:rFonts w:eastAsiaTheme="minorEastAsia"/>
          <w:lang w:val="en-US"/>
        </w:rPr>
        <w:t>currency</w:t>
      </w:r>
      <w:r w:rsidRPr="007A5961">
        <w:rPr>
          <w:rFonts w:eastAsiaTheme="minorEastAsia"/>
        </w:rPr>
        <w:t xml:space="preserve">) τότε πρόκειται για τον </w:t>
      </w:r>
      <w:r w:rsidRPr="00C8344A">
        <w:rPr>
          <w:rFonts w:eastAsiaTheme="minorEastAsia"/>
        </w:rPr>
        <w:t>άμεσο τρόπο</w:t>
      </w:r>
      <w:r w:rsidRPr="007A5961">
        <w:rPr>
          <w:rFonts w:eastAsiaTheme="minorEastAsia"/>
        </w:rPr>
        <w:t xml:space="preserve"> παρουσίασης (</w:t>
      </w:r>
      <w:r w:rsidRPr="007A5961">
        <w:rPr>
          <w:rFonts w:eastAsiaTheme="minorEastAsia"/>
          <w:lang w:val="en-US"/>
        </w:rPr>
        <w:t>direct</w:t>
      </w:r>
      <w:r>
        <w:rPr>
          <w:rFonts w:eastAsiaTheme="minorEastAsia"/>
        </w:rPr>
        <w:t xml:space="preserve"> </w:t>
      </w:r>
      <w:r w:rsidRPr="007A5961">
        <w:rPr>
          <w:rFonts w:eastAsiaTheme="minorEastAsia"/>
          <w:lang w:val="en-US"/>
        </w:rPr>
        <w:t>quote</w:t>
      </w:r>
      <w:r w:rsidRPr="007A5961">
        <w:rPr>
          <w:rFonts w:eastAsiaTheme="minorEastAsia"/>
        </w:rPr>
        <w:t>). Στην περίπτωση αυτή έχουμε</w:t>
      </w:r>
      <w:r>
        <w:rPr>
          <w:rFonts w:eastAsiaTheme="minorEastAsia"/>
        </w:rPr>
        <w:t>:</w:t>
      </w:r>
    </w:p>
    <w:p w:rsidR="00D24503" w:rsidRPr="00DF6807" w:rsidRDefault="00DF6807" w:rsidP="00DC3FDB">
      <w:pPr>
        <w:spacing w:line="360" w:lineRule="auto"/>
        <w:jc w:val="both"/>
        <w:rPr>
          <w:rFonts w:eastAsiaTheme="minorEastAsia"/>
          <w:color w:val="000000" w:themeColor="text1"/>
        </w:rPr>
      </w:pPr>
      <m:oMathPara>
        <m:oMath>
          <m:r>
            <m:rPr>
              <m:sty m:val="p"/>
            </m:rPr>
            <w:rPr>
              <w:rFonts w:ascii="Cambria Math" w:eastAsiaTheme="minorEastAsia" w:hAnsi="Cambria Math"/>
              <w:color w:val="000000" w:themeColor="text1"/>
              <w:lang w:val="en-US"/>
            </w:rPr>
            <w:lastRenderedPageBreak/>
            <m:t>Άμεσος τρόπος υπολογισμού συναλλαγματικής ισοτιμίας</m:t>
          </m:r>
          <m:r>
            <m:rPr>
              <m:sty m:val="p"/>
            </m:rPr>
            <w:rPr>
              <w:rFonts w:ascii="Cambria Math" w:eastAsiaTheme="minorEastAsia"/>
              <w:color w:val="000000" w:themeColor="text1"/>
              <w:sz w:val="22"/>
              <w:lang w:val="en-US"/>
            </w:rPr>
            <m:t>=</m:t>
          </m:r>
          <m:f>
            <m:fPr>
              <m:ctrlPr>
                <w:rPr>
                  <w:rFonts w:ascii="Cambria Math" w:eastAsiaTheme="minorEastAsia" w:hAnsi="Cambria Math"/>
                  <w:color w:val="000000" w:themeColor="text1"/>
                  <w:sz w:val="22"/>
                  <w:lang w:val="en-US"/>
                </w:rPr>
              </m:ctrlPr>
            </m:fPr>
            <m:num>
              <m:r>
                <m:rPr>
                  <m:sty m:val="p"/>
                </m:rPr>
                <w:rPr>
                  <w:rFonts w:ascii="Cambria Math" w:eastAsiaTheme="minorEastAsia" w:hAnsi="Cambria Math"/>
                  <w:color w:val="000000" w:themeColor="text1"/>
                  <w:sz w:val="22"/>
                </w:rPr>
                <m:t>Ξένο Νόμισμα</m:t>
              </m:r>
            </m:num>
            <m:den>
              <m:r>
                <m:rPr>
                  <m:sty m:val="p"/>
                </m:rPr>
                <w:rPr>
                  <w:rFonts w:ascii="Cambria Math" w:eastAsiaTheme="minorEastAsia" w:hAnsi="Cambria Math"/>
                  <w:color w:val="000000" w:themeColor="text1"/>
                  <w:sz w:val="22"/>
                  <w:lang w:val="en-US"/>
                </w:rPr>
                <m:t>Εγχώριο Νόμισμα</m:t>
              </m:r>
            </m:den>
          </m:f>
        </m:oMath>
      </m:oMathPara>
    </w:p>
    <w:p w:rsidR="00D24503" w:rsidRPr="007B5600" w:rsidRDefault="00D24503" w:rsidP="00DC3FDB">
      <w:pPr>
        <w:spacing w:line="360" w:lineRule="auto"/>
        <w:jc w:val="both"/>
        <w:rPr>
          <w:rFonts w:eastAsiaTheme="minorEastAsia"/>
          <w:color w:val="000000" w:themeColor="text1"/>
        </w:rPr>
      </w:pPr>
      <w:r>
        <w:rPr>
          <w:rFonts w:eastAsiaTheme="minorEastAsia"/>
          <w:color w:val="000000" w:themeColor="text1"/>
        </w:rPr>
        <w:t xml:space="preserve">           </w:t>
      </w:r>
      <w:r w:rsidRPr="00DE326F">
        <w:rPr>
          <w:rFonts w:eastAsiaTheme="minorEastAsia"/>
          <w:color w:val="000000" w:themeColor="text1"/>
        </w:rPr>
        <w:t xml:space="preserve">Η άμεση μέθοδος μας πληροφορεί για την ποσότητας ξένου νομίσματος που μπορεί να αγοράσει μια μονάδα εγχώριου νομίσματος. </w:t>
      </w:r>
      <w:r w:rsidRPr="007B5600">
        <w:rPr>
          <w:rFonts w:eastAsiaTheme="minorEastAsia"/>
          <w:color w:val="000000" w:themeColor="text1"/>
        </w:rPr>
        <w:t>Με άλλα λόγια μας λέει πόσο ξένο νόμισμα μπορούμε να αγοράσουμε με μια δεδομένη ποσότητας εγχώριου νομίσματος.</w:t>
      </w:r>
    </w:p>
    <w:p w:rsidR="00D24503" w:rsidRPr="00DE326F" w:rsidRDefault="00D24503" w:rsidP="00DC3FDB">
      <w:pPr>
        <w:spacing w:line="360" w:lineRule="auto"/>
        <w:jc w:val="both"/>
        <w:rPr>
          <w:rFonts w:eastAsiaTheme="minorEastAsia"/>
          <w:color w:val="000000" w:themeColor="text1"/>
        </w:rPr>
      </w:pPr>
      <w:r w:rsidRPr="00DE326F">
        <w:rPr>
          <w:rFonts w:eastAsiaTheme="minorEastAsia"/>
          <w:color w:val="000000" w:themeColor="text1"/>
        </w:rPr>
        <w:t xml:space="preserve">Παράδειγμα: Ένας ευρωπαίος που θέλει να πραγματοποιήσει μια δωρεά σε ένα αμερικάνικο φιλανθρωπικό ίδρυμα αξίας € </w:t>
      </w:r>
      <w:r w:rsidR="007B5600">
        <w:rPr>
          <w:rFonts w:eastAsiaTheme="minorEastAsia"/>
          <w:color w:val="000000" w:themeColor="text1"/>
        </w:rPr>
        <w:t>3</w:t>
      </w:r>
      <w:r w:rsidRPr="00DE326F">
        <w:rPr>
          <w:rFonts w:eastAsiaTheme="minorEastAsia"/>
          <w:color w:val="000000" w:themeColor="text1"/>
        </w:rPr>
        <w:t xml:space="preserve">00, θα χρησιμοποιήσει την άμεση μέθοδο 1,25 $/€ για να διαπιστώσει ότι θα μεταβιβάσει $ </w:t>
      </w:r>
      <w:r w:rsidR="007B5600">
        <w:rPr>
          <w:rFonts w:eastAsiaTheme="minorEastAsia"/>
          <w:color w:val="000000" w:themeColor="text1"/>
        </w:rPr>
        <w:t>37</w:t>
      </w:r>
      <w:r w:rsidRPr="00DE326F">
        <w:rPr>
          <w:rFonts w:eastAsiaTheme="minorEastAsia"/>
          <w:color w:val="000000" w:themeColor="text1"/>
        </w:rPr>
        <w:t>5.</w:t>
      </w:r>
    </w:p>
    <w:p w:rsidR="00D24503" w:rsidRDefault="00D24503" w:rsidP="00DC3FDB">
      <w:pPr>
        <w:spacing w:line="360" w:lineRule="auto"/>
        <w:jc w:val="both"/>
        <w:rPr>
          <w:rFonts w:eastAsiaTheme="minorEastAsia"/>
          <w:color w:val="000000" w:themeColor="text1"/>
        </w:rPr>
      </w:pPr>
      <m:oMathPara>
        <m:oMath>
          <m:r>
            <m:rPr>
              <m:sty m:val="p"/>
            </m:rPr>
            <w:rPr>
              <w:rFonts w:ascii="Cambria Math" w:eastAsiaTheme="minorEastAsia" w:hAnsi="Cambria Math"/>
              <w:color w:val="000000" w:themeColor="text1"/>
            </w:rPr>
            <m:t>€</m:t>
          </m:r>
          <m:r>
            <m:rPr>
              <m:sty m:val="p"/>
            </m:rPr>
            <w:rPr>
              <w:rFonts w:ascii="Cambria Math" w:eastAsiaTheme="minorEastAsia"/>
              <w:color w:val="000000" w:themeColor="text1"/>
            </w:rPr>
            <m:t xml:space="preserve"> 300</m:t>
          </m:r>
          <m:r>
            <m:rPr>
              <m:sty m:val="p"/>
            </m:rP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1,25 $/€</m:t>
              </m:r>
            </m:e>
          </m:d>
          <m:r>
            <m:rPr>
              <m:sty m:val="p"/>
            </m:rPr>
            <w:rPr>
              <w:rFonts w:ascii="Cambria Math" w:eastAsiaTheme="minorEastAsia"/>
              <w:color w:val="000000" w:themeColor="text1"/>
            </w:rPr>
            <m:t>=</m:t>
          </m:r>
          <m:r>
            <m:rPr>
              <m:sty m:val="p"/>
            </m:rPr>
            <w:rPr>
              <w:rFonts w:ascii="Cambria Math" w:eastAsiaTheme="minorEastAsia" w:hAnsi="Cambria Math"/>
              <w:color w:val="000000" w:themeColor="text1"/>
            </w:rPr>
            <m:t xml:space="preserve">$ </m:t>
          </m:r>
          <m:r>
            <m:rPr>
              <m:sty m:val="p"/>
            </m:rPr>
            <w:rPr>
              <w:rFonts w:ascii="Cambria Math" w:eastAsiaTheme="minorEastAsia"/>
              <w:color w:val="000000" w:themeColor="text1"/>
            </w:rPr>
            <m:t>375</m:t>
          </m:r>
        </m:oMath>
      </m:oMathPara>
    </w:p>
    <w:p w:rsidR="00D24503" w:rsidRPr="000E7B83" w:rsidRDefault="00D24503" w:rsidP="00DC3FDB">
      <w:pPr>
        <w:spacing w:line="360" w:lineRule="auto"/>
        <w:jc w:val="both"/>
        <w:rPr>
          <w:rFonts w:eastAsiaTheme="minorEastAsia"/>
        </w:rPr>
      </w:pPr>
      <w:r>
        <w:rPr>
          <w:rFonts w:eastAsiaTheme="minorEastAsia"/>
          <w:color w:val="000000" w:themeColor="text1"/>
        </w:rPr>
        <w:t xml:space="preserve">            </w:t>
      </w:r>
      <w:r w:rsidRPr="00DE326F">
        <w:rPr>
          <w:rFonts w:eastAsiaTheme="minorEastAsia"/>
          <w:color w:val="000000" w:themeColor="text1"/>
        </w:rPr>
        <w:t>Παρατηρούμε ότι στον άμεσο τρόπο, η μετατροπή του εγχώριου (ξένου</w:t>
      </w:r>
      <w:r>
        <w:rPr>
          <w:rFonts w:eastAsiaTheme="minorEastAsia"/>
        </w:rPr>
        <w:t xml:space="preserve">) νομίσματος </w:t>
      </w:r>
      <w:r w:rsidRPr="007A5961">
        <w:rPr>
          <w:rFonts w:eastAsiaTheme="minorEastAsia"/>
        </w:rPr>
        <w:t xml:space="preserve"> στο </w:t>
      </w:r>
      <w:r>
        <w:rPr>
          <w:rFonts w:eastAsiaTheme="minorEastAsia"/>
        </w:rPr>
        <w:t>ξένο (</w:t>
      </w:r>
      <w:r w:rsidRPr="007A5961">
        <w:rPr>
          <w:rFonts w:eastAsiaTheme="minorEastAsia"/>
        </w:rPr>
        <w:t>εγχώριο</w:t>
      </w:r>
      <w:r>
        <w:rPr>
          <w:rFonts w:eastAsiaTheme="minorEastAsia"/>
        </w:rPr>
        <w:t>)</w:t>
      </w:r>
      <w:r w:rsidRPr="007A5961">
        <w:rPr>
          <w:rFonts w:eastAsiaTheme="minorEastAsia"/>
        </w:rPr>
        <w:t xml:space="preserve"> νόμισμα απαιτεί απλά </w:t>
      </w:r>
      <w:r>
        <w:rPr>
          <w:rFonts w:eastAsiaTheme="minorEastAsia"/>
        </w:rPr>
        <w:t xml:space="preserve">τον πολλαπλασιασμό (τη </w:t>
      </w:r>
      <w:r w:rsidRPr="004A37D0">
        <w:rPr>
          <w:rFonts w:eastAsiaTheme="minorEastAsia"/>
        </w:rPr>
        <w:t>διαίρεση)</w:t>
      </w:r>
      <w:r w:rsidRPr="007A5961">
        <w:rPr>
          <w:rFonts w:eastAsiaTheme="minorEastAsia"/>
        </w:rPr>
        <w:t xml:space="preserve"> του </w:t>
      </w:r>
      <w:r>
        <w:rPr>
          <w:rFonts w:eastAsiaTheme="minorEastAsia"/>
        </w:rPr>
        <w:t>εγχώριου (</w:t>
      </w:r>
      <w:r w:rsidRPr="007A5961">
        <w:rPr>
          <w:rFonts w:eastAsiaTheme="minorEastAsia"/>
        </w:rPr>
        <w:t>ξένου</w:t>
      </w:r>
      <w:r>
        <w:rPr>
          <w:rFonts w:eastAsiaTheme="minorEastAsia"/>
        </w:rPr>
        <w:t>)</w:t>
      </w:r>
      <w:r w:rsidRPr="007A5961">
        <w:rPr>
          <w:rFonts w:eastAsiaTheme="minorEastAsia"/>
        </w:rPr>
        <w:t xml:space="preserve"> νομίσματος </w:t>
      </w:r>
      <w:r>
        <w:rPr>
          <w:rFonts w:eastAsiaTheme="minorEastAsia"/>
        </w:rPr>
        <w:t>με</w:t>
      </w:r>
      <w:r w:rsidRPr="007A5961">
        <w:rPr>
          <w:rFonts w:eastAsiaTheme="minorEastAsia"/>
        </w:rPr>
        <w:t xml:space="preserve"> την συναλλαγματική ισοτιμία εκφρασμένη σε μονάδες του </w:t>
      </w:r>
      <w:r>
        <w:rPr>
          <w:rFonts w:eastAsiaTheme="minorEastAsia"/>
        </w:rPr>
        <w:t xml:space="preserve">ξένου </w:t>
      </w:r>
      <w:r w:rsidRPr="007A5961">
        <w:rPr>
          <w:rFonts w:eastAsiaTheme="minorEastAsia"/>
        </w:rPr>
        <w:t xml:space="preserve">νομίσματος ανά μονάδα </w:t>
      </w:r>
      <w:r>
        <w:rPr>
          <w:rFonts w:eastAsiaTheme="minorEastAsia"/>
        </w:rPr>
        <w:t>εγχώριου</w:t>
      </w:r>
      <w:r w:rsidRPr="007A5961">
        <w:rPr>
          <w:rFonts w:eastAsiaTheme="minorEastAsia"/>
        </w:rPr>
        <w:t xml:space="preserve"> νομίσματος</w:t>
      </w:r>
      <w:r>
        <w:rPr>
          <w:rStyle w:val="ac"/>
          <w:rFonts w:eastAsiaTheme="minorEastAsia"/>
        </w:rPr>
        <w:footnoteReference w:id="1"/>
      </w:r>
      <w:r w:rsidRPr="007A5961">
        <w:rPr>
          <w:rFonts w:eastAsiaTheme="minorEastAsia"/>
        </w:rPr>
        <w:t>.</w:t>
      </w:r>
    </w:p>
    <w:p w:rsidR="00D24503" w:rsidRPr="00C860C1" w:rsidRDefault="00D24503" w:rsidP="00DC3FDB">
      <w:pPr>
        <w:spacing w:line="360" w:lineRule="auto"/>
        <w:jc w:val="both"/>
        <w:rPr>
          <w:rFonts w:eastAsiaTheme="minorEastAsia"/>
          <w:color w:val="000000" w:themeColor="text1"/>
        </w:rPr>
      </w:pPr>
      <w:r w:rsidRPr="007A5961">
        <w:rPr>
          <w:rFonts w:eastAsiaTheme="minorEastAsia"/>
        </w:rPr>
        <w:t>Όταν στον αριθμητή βρίσκεται το εγχώριο νόμισμα (</w:t>
      </w:r>
      <w:r w:rsidRPr="00C860C1">
        <w:rPr>
          <w:rFonts w:eastAsiaTheme="minorEastAsia"/>
          <w:lang w:val="en-US"/>
        </w:rPr>
        <w:t>domestic</w:t>
      </w:r>
      <w:r w:rsidRPr="00C860C1">
        <w:rPr>
          <w:rFonts w:eastAsiaTheme="minorEastAsia"/>
        </w:rPr>
        <w:t xml:space="preserve"> </w:t>
      </w:r>
      <w:r w:rsidRPr="00C860C1">
        <w:rPr>
          <w:rFonts w:eastAsiaTheme="minorEastAsia"/>
          <w:lang w:val="en-US"/>
        </w:rPr>
        <w:t>currency</w:t>
      </w:r>
      <w:r w:rsidRPr="00C860C1">
        <w:rPr>
          <w:rFonts w:eastAsiaTheme="minorEastAsia"/>
        </w:rPr>
        <w:t>) και στον παρονομαστή ξένο νόμισμα (</w:t>
      </w:r>
      <w:r w:rsidRPr="00C860C1">
        <w:rPr>
          <w:rFonts w:eastAsiaTheme="minorEastAsia"/>
          <w:lang w:val="en-US"/>
        </w:rPr>
        <w:t>foreign</w:t>
      </w:r>
      <w:r w:rsidRPr="00C860C1">
        <w:rPr>
          <w:rFonts w:eastAsiaTheme="minorEastAsia"/>
        </w:rPr>
        <w:t xml:space="preserve"> </w:t>
      </w:r>
      <w:r w:rsidRPr="00C860C1">
        <w:rPr>
          <w:rFonts w:eastAsiaTheme="minorEastAsia"/>
          <w:lang w:val="en-US"/>
        </w:rPr>
        <w:t>currency</w:t>
      </w:r>
      <w:r w:rsidRPr="00C860C1">
        <w:rPr>
          <w:rFonts w:eastAsiaTheme="minorEastAsia"/>
        </w:rPr>
        <w:t xml:space="preserve">) τότε πρόκειται για τον έμμεσο τρόπο </w:t>
      </w:r>
      <w:r w:rsidRPr="00C860C1">
        <w:rPr>
          <w:rFonts w:eastAsiaTheme="minorEastAsia"/>
          <w:color w:val="000000" w:themeColor="text1"/>
        </w:rPr>
        <w:t>παρουσίασης (</w:t>
      </w:r>
      <w:r w:rsidRPr="00C860C1">
        <w:rPr>
          <w:rFonts w:eastAsiaTheme="minorEastAsia"/>
          <w:color w:val="000000" w:themeColor="text1"/>
          <w:lang w:val="en-US"/>
        </w:rPr>
        <w:t>indirect</w:t>
      </w:r>
      <w:r w:rsidRPr="00C860C1">
        <w:rPr>
          <w:rFonts w:eastAsiaTheme="minorEastAsia"/>
          <w:color w:val="000000" w:themeColor="text1"/>
        </w:rPr>
        <w:t xml:space="preserve"> </w:t>
      </w:r>
      <w:r w:rsidRPr="00C860C1">
        <w:rPr>
          <w:rFonts w:eastAsiaTheme="minorEastAsia"/>
          <w:color w:val="000000" w:themeColor="text1"/>
          <w:lang w:val="en-US"/>
        </w:rPr>
        <w:t>quote</w:t>
      </w:r>
      <w:r w:rsidRPr="00C860C1">
        <w:rPr>
          <w:rFonts w:eastAsiaTheme="minorEastAsia"/>
          <w:color w:val="000000" w:themeColor="text1"/>
        </w:rPr>
        <w:t>). Στην περίπτωση αυτή έχουμε:</w:t>
      </w:r>
    </w:p>
    <w:p w:rsidR="00D24503" w:rsidRPr="00C860C1" w:rsidRDefault="00C860C1" w:rsidP="00DC3FDB">
      <w:pPr>
        <w:spacing w:line="360" w:lineRule="auto"/>
        <w:jc w:val="both"/>
        <w:rPr>
          <w:rFonts w:eastAsiaTheme="minorEastAsia"/>
          <w:color w:val="000000" w:themeColor="text1"/>
        </w:rPr>
      </w:pPr>
      <m:oMathPara>
        <m:oMath>
          <m:r>
            <m:rPr>
              <m:sty m:val="p"/>
            </m:rPr>
            <w:rPr>
              <w:rFonts w:ascii="Cambria Math" w:eastAsiaTheme="minorEastAsia" w:hAnsi="Cambria Math"/>
              <w:color w:val="000000" w:themeColor="text1"/>
            </w:rPr>
            <m:t>Έμμεσος</m:t>
          </m:r>
          <m:r>
            <m:rPr>
              <m:sty m:val="p"/>
            </m:rPr>
            <w:rPr>
              <w:rFonts w:ascii="Cambria Math" w:eastAsiaTheme="minorEastAsia" w:hAnsi="Cambria Math"/>
              <w:color w:val="000000" w:themeColor="text1"/>
              <w:lang w:val="en-US"/>
            </w:rPr>
            <m:t xml:space="preserve"> τρόπος υπολογισμού συναλλαγματικής ισοτιμίας</m:t>
          </m:r>
          <m:r>
            <m:rPr>
              <m:sty m:val="p"/>
            </m:rPr>
            <w:rPr>
              <w:rFonts w:ascii="Cambria Math" w:eastAsiaTheme="minorEastAsia"/>
              <w:color w:val="000000" w:themeColor="text1"/>
              <w:lang w:val="en-US"/>
            </w:rPr>
            <m:t>=</m:t>
          </m:r>
          <m:f>
            <m:fPr>
              <m:ctrlPr>
                <w:rPr>
                  <w:rFonts w:ascii="Cambria Math" w:eastAsiaTheme="minorEastAsia" w:hAnsi="Cambria Math"/>
                  <w:color w:val="000000" w:themeColor="text1"/>
                  <w:lang w:val="en-US"/>
                </w:rPr>
              </m:ctrlPr>
            </m:fPr>
            <m:num>
              <m:r>
                <m:rPr>
                  <m:sty m:val="p"/>
                </m:rPr>
                <w:rPr>
                  <w:rFonts w:ascii="Cambria Math" w:eastAsiaTheme="minorEastAsia" w:hAnsi="Cambria Math"/>
                  <w:color w:val="000000" w:themeColor="text1"/>
                  <w:lang w:val="en-US"/>
                </w:rPr>
                <m:t>Εγχώριο Νόμισμα</m:t>
              </m:r>
            </m:num>
            <m:den>
              <m:r>
                <m:rPr>
                  <m:sty m:val="p"/>
                </m:rPr>
                <w:rPr>
                  <w:rFonts w:ascii="Cambria Math" w:eastAsiaTheme="minorEastAsia" w:hAnsi="Cambria Math"/>
                  <w:color w:val="000000" w:themeColor="text1"/>
                </w:rPr>
                <m:t>Ξένο Νόμισμα</m:t>
              </m:r>
            </m:den>
          </m:f>
        </m:oMath>
      </m:oMathPara>
    </w:p>
    <w:p w:rsidR="00D24503" w:rsidRPr="00DE326F" w:rsidRDefault="00D24503" w:rsidP="00DC3FDB">
      <w:pPr>
        <w:spacing w:line="360" w:lineRule="auto"/>
        <w:jc w:val="both"/>
        <w:rPr>
          <w:rFonts w:eastAsiaTheme="minorEastAsia"/>
          <w:color w:val="000000" w:themeColor="text1"/>
        </w:rPr>
      </w:pPr>
      <w:r>
        <w:rPr>
          <w:rFonts w:eastAsiaTheme="minorEastAsia"/>
          <w:color w:val="000000" w:themeColor="text1"/>
        </w:rPr>
        <w:t xml:space="preserve">             </w:t>
      </w:r>
      <w:r w:rsidRPr="00DE326F">
        <w:rPr>
          <w:rFonts w:eastAsiaTheme="minorEastAsia"/>
          <w:color w:val="000000" w:themeColor="text1"/>
        </w:rPr>
        <w:t xml:space="preserve">Η έμμεση μέθοδος μας πληροφορεί για το </w:t>
      </w:r>
      <w:r w:rsidRPr="004A37D0">
        <w:rPr>
          <w:rFonts w:eastAsiaTheme="minorEastAsia"/>
          <w:color w:val="000000" w:themeColor="text1"/>
        </w:rPr>
        <w:t xml:space="preserve">πόσο θα μας κοστίσει να αγοράσουμε διάφορες ποσότητες ξένου νομίσματος </w:t>
      </w:r>
      <w:r w:rsidRPr="00DE326F">
        <w:rPr>
          <w:rFonts w:eastAsiaTheme="minorEastAsia"/>
          <w:color w:val="000000" w:themeColor="text1"/>
        </w:rPr>
        <w:t>ή για την ξένη τιμή του εγχώριου νομίσματος (</w:t>
      </w:r>
      <w:r w:rsidRPr="00DE326F">
        <w:rPr>
          <w:rFonts w:eastAsiaTheme="minorEastAsia"/>
          <w:color w:val="000000" w:themeColor="text1"/>
          <w:lang w:val="en-US"/>
        </w:rPr>
        <w:t>foreign</w:t>
      </w:r>
      <w:r w:rsidRPr="00DE326F">
        <w:rPr>
          <w:rFonts w:eastAsiaTheme="minorEastAsia"/>
          <w:color w:val="000000" w:themeColor="text1"/>
        </w:rPr>
        <w:t xml:space="preserve"> </w:t>
      </w:r>
      <w:r w:rsidRPr="00DE326F">
        <w:rPr>
          <w:rFonts w:eastAsiaTheme="minorEastAsia"/>
          <w:color w:val="000000" w:themeColor="text1"/>
          <w:lang w:val="en-US"/>
        </w:rPr>
        <w:t>currency</w:t>
      </w:r>
      <w:r w:rsidRPr="00DE326F">
        <w:rPr>
          <w:rFonts w:eastAsiaTheme="minorEastAsia"/>
          <w:color w:val="000000" w:themeColor="text1"/>
        </w:rPr>
        <w:t xml:space="preserve"> </w:t>
      </w:r>
      <w:r w:rsidRPr="00DE326F">
        <w:rPr>
          <w:rFonts w:eastAsiaTheme="minorEastAsia"/>
          <w:color w:val="000000" w:themeColor="text1"/>
          <w:lang w:val="en-US"/>
        </w:rPr>
        <w:t>price</w:t>
      </w:r>
      <w:r w:rsidRPr="00DE326F">
        <w:rPr>
          <w:rFonts w:eastAsiaTheme="minorEastAsia"/>
          <w:color w:val="000000" w:themeColor="text1"/>
        </w:rPr>
        <w:t xml:space="preserve"> </w:t>
      </w:r>
      <w:r w:rsidRPr="00DE326F">
        <w:rPr>
          <w:rFonts w:eastAsiaTheme="minorEastAsia"/>
          <w:color w:val="000000" w:themeColor="text1"/>
          <w:lang w:val="en-US"/>
        </w:rPr>
        <w:t>of</w:t>
      </w:r>
      <w:r w:rsidRPr="00DE326F">
        <w:rPr>
          <w:rFonts w:eastAsiaTheme="minorEastAsia"/>
          <w:color w:val="000000" w:themeColor="text1"/>
        </w:rPr>
        <w:t xml:space="preserve"> </w:t>
      </w:r>
      <w:r w:rsidRPr="00DE326F">
        <w:rPr>
          <w:rFonts w:eastAsiaTheme="minorEastAsia"/>
          <w:color w:val="000000" w:themeColor="text1"/>
          <w:lang w:val="en-US"/>
        </w:rPr>
        <w:t>the</w:t>
      </w:r>
      <w:r w:rsidRPr="00DE326F">
        <w:rPr>
          <w:rFonts w:eastAsiaTheme="minorEastAsia"/>
          <w:color w:val="000000" w:themeColor="text1"/>
        </w:rPr>
        <w:t xml:space="preserve"> </w:t>
      </w:r>
      <w:r w:rsidRPr="00DE326F">
        <w:rPr>
          <w:rFonts w:eastAsiaTheme="minorEastAsia"/>
          <w:color w:val="000000" w:themeColor="text1"/>
          <w:lang w:val="en-US"/>
        </w:rPr>
        <w:t>domestic</w:t>
      </w:r>
      <w:r w:rsidRPr="00DE326F">
        <w:rPr>
          <w:rFonts w:eastAsiaTheme="minorEastAsia"/>
          <w:color w:val="000000" w:themeColor="text1"/>
        </w:rPr>
        <w:t xml:space="preserve"> </w:t>
      </w:r>
      <w:r w:rsidRPr="00DE326F">
        <w:rPr>
          <w:rFonts w:eastAsiaTheme="minorEastAsia"/>
          <w:color w:val="000000" w:themeColor="text1"/>
          <w:lang w:val="en-US"/>
        </w:rPr>
        <w:t>currency</w:t>
      </w:r>
      <w:r w:rsidRPr="00DE326F">
        <w:rPr>
          <w:rFonts w:eastAsiaTheme="minorEastAsia"/>
          <w:color w:val="000000" w:themeColor="text1"/>
        </w:rPr>
        <w:t>) ή απλά για την τιμή του ξένου νομίσματος.</w:t>
      </w:r>
    </w:p>
    <w:p w:rsidR="00D24503" w:rsidRPr="00DE326F" w:rsidRDefault="00D24503" w:rsidP="00DC3FDB">
      <w:pPr>
        <w:spacing w:line="360" w:lineRule="auto"/>
        <w:jc w:val="both"/>
        <w:rPr>
          <w:rFonts w:eastAsiaTheme="minorEastAsia"/>
          <w:color w:val="000000" w:themeColor="text1"/>
        </w:rPr>
      </w:pPr>
      <w:r w:rsidRPr="00DE326F">
        <w:rPr>
          <w:rFonts w:eastAsiaTheme="minorEastAsia"/>
          <w:color w:val="000000" w:themeColor="text1"/>
        </w:rPr>
        <w:t xml:space="preserve">Παράδειγμα: Ένας Ευρωπαίος που πρέπει να πληρώσει $ </w:t>
      </w:r>
      <w:r w:rsidR="004A37D0">
        <w:rPr>
          <w:rFonts w:eastAsiaTheme="minorEastAsia"/>
          <w:color w:val="000000" w:themeColor="text1"/>
        </w:rPr>
        <w:t>3</w:t>
      </w:r>
      <w:r w:rsidRPr="00DE326F">
        <w:rPr>
          <w:rFonts w:eastAsiaTheme="minorEastAsia"/>
          <w:color w:val="000000" w:themeColor="text1"/>
        </w:rPr>
        <w:t xml:space="preserve">00 για ένα αμερικάνικο προϊόν, θα χρησιμοποιήσει την έμμεση μέθοδο  0,8 €/$ για να γνωρίζει ότι θα πληρώσει τελικά € </w:t>
      </w:r>
      <w:r w:rsidR="004A37D0">
        <w:rPr>
          <w:rFonts w:eastAsiaTheme="minorEastAsia"/>
          <w:color w:val="000000" w:themeColor="text1"/>
        </w:rPr>
        <w:t>240</w:t>
      </w:r>
      <w:r w:rsidRPr="00DE326F">
        <w:rPr>
          <w:rFonts w:eastAsiaTheme="minorEastAsia"/>
          <w:color w:val="000000" w:themeColor="text1"/>
        </w:rPr>
        <w:t>.</w:t>
      </w:r>
    </w:p>
    <w:p w:rsidR="00D24503" w:rsidRDefault="00D24503" w:rsidP="00DC3FDB">
      <w:pPr>
        <w:spacing w:line="360" w:lineRule="auto"/>
        <w:jc w:val="both"/>
        <w:rPr>
          <w:rFonts w:eastAsiaTheme="minorEastAsia"/>
          <w:color w:val="000000" w:themeColor="text1"/>
        </w:rPr>
      </w:pPr>
      <m:oMathPara>
        <m:oMath>
          <m:r>
            <w:rPr>
              <w:rFonts w:ascii="Cambria Math" w:eastAsiaTheme="minorEastAsia" w:hAnsi="Cambria Math"/>
              <w:color w:val="000000" w:themeColor="text1"/>
            </w:rPr>
            <m:t>$ 300×</m:t>
          </m:r>
          <m:d>
            <m:dPr>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0,8 €/$</m:t>
              </m:r>
            </m:e>
          </m:d>
          <m:r>
            <w:rPr>
              <w:rFonts w:ascii="Cambria Math" w:eastAsiaTheme="minorEastAsia" w:hAnsi="Cambria Math"/>
              <w:color w:val="000000" w:themeColor="text1"/>
            </w:rPr>
            <m:t>=€ 240</m:t>
          </m:r>
        </m:oMath>
      </m:oMathPara>
    </w:p>
    <w:p w:rsidR="00D24503" w:rsidRDefault="00D24503" w:rsidP="00DC3FDB">
      <w:pPr>
        <w:spacing w:line="360" w:lineRule="auto"/>
        <w:jc w:val="both"/>
        <w:rPr>
          <w:rFonts w:eastAsiaTheme="minorEastAsia"/>
        </w:rPr>
      </w:pPr>
      <w:r>
        <w:rPr>
          <w:rFonts w:eastAsiaTheme="minorEastAsia"/>
          <w:color w:val="000000" w:themeColor="text1"/>
        </w:rPr>
        <w:t xml:space="preserve">            </w:t>
      </w:r>
      <w:r w:rsidRPr="00DE326F">
        <w:rPr>
          <w:rFonts w:eastAsiaTheme="minorEastAsia"/>
          <w:color w:val="000000" w:themeColor="text1"/>
        </w:rPr>
        <w:t>Παρατηρούμε ότι στον έμμεσο τρόπο, η μετατροπή του ξένου (εγχώριου) νομίσματος  στο εγχώριο (ξένο) εγχώριο νόμισμα</w:t>
      </w:r>
      <w:r w:rsidRPr="007A5961">
        <w:rPr>
          <w:rFonts w:eastAsiaTheme="minorEastAsia"/>
        </w:rPr>
        <w:t xml:space="preserve"> απαιτεί απλά </w:t>
      </w:r>
      <w:r>
        <w:rPr>
          <w:rFonts w:eastAsiaTheme="minorEastAsia"/>
        </w:rPr>
        <w:t xml:space="preserve">τον πολλαπλασιασμό (τη </w:t>
      </w:r>
      <w:r w:rsidRPr="004A37D0">
        <w:rPr>
          <w:rFonts w:eastAsiaTheme="minorEastAsia"/>
        </w:rPr>
        <w:t>διαίρεση</w:t>
      </w:r>
      <w:r w:rsidRPr="005675E6">
        <w:rPr>
          <w:rFonts w:eastAsiaTheme="minorEastAsia"/>
        </w:rPr>
        <w:t>)</w:t>
      </w:r>
      <w:r w:rsidRPr="007A5961">
        <w:rPr>
          <w:rFonts w:eastAsiaTheme="minorEastAsia"/>
        </w:rPr>
        <w:t xml:space="preserve"> του ξένου</w:t>
      </w:r>
      <w:r>
        <w:rPr>
          <w:rFonts w:eastAsiaTheme="minorEastAsia"/>
        </w:rPr>
        <w:t xml:space="preserve"> (εγχώριου) </w:t>
      </w:r>
      <w:r w:rsidRPr="007A5961">
        <w:rPr>
          <w:rFonts w:eastAsiaTheme="minorEastAsia"/>
        </w:rPr>
        <w:t xml:space="preserve">νομίσματος </w:t>
      </w:r>
      <w:r>
        <w:rPr>
          <w:rFonts w:eastAsiaTheme="minorEastAsia"/>
        </w:rPr>
        <w:t>με</w:t>
      </w:r>
      <w:r w:rsidRPr="007A5961">
        <w:rPr>
          <w:rFonts w:eastAsiaTheme="minorEastAsia"/>
        </w:rPr>
        <w:t xml:space="preserve"> την συναλλαγματική ισοτιμία </w:t>
      </w:r>
      <w:r w:rsidRPr="007A5961">
        <w:rPr>
          <w:rFonts w:eastAsiaTheme="minorEastAsia"/>
        </w:rPr>
        <w:lastRenderedPageBreak/>
        <w:t xml:space="preserve">εκφρασμένη σε μονάδες του </w:t>
      </w:r>
      <w:r>
        <w:rPr>
          <w:rFonts w:eastAsiaTheme="minorEastAsia"/>
        </w:rPr>
        <w:t xml:space="preserve">εγχώριου </w:t>
      </w:r>
      <w:r w:rsidRPr="007A5961">
        <w:rPr>
          <w:rFonts w:eastAsiaTheme="minorEastAsia"/>
        </w:rPr>
        <w:t xml:space="preserve">νομίσματος ανά μονάδα </w:t>
      </w:r>
      <w:r>
        <w:rPr>
          <w:rFonts w:eastAsiaTheme="minorEastAsia"/>
        </w:rPr>
        <w:t>ξένου</w:t>
      </w:r>
      <w:r w:rsidRPr="007A5961">
        <w:rPr>
          <w:rFonts w:eastAsiaTheme="minorEastAsia"/>
        </w:rPr>
        <w:t xml:space="preserve"> νομίσματος</w:t>
      </w:r>
      <w:r>
        <w:rPr>
          <w:rStyle w:val="ac"/>
          <w:rFonts w:eastAsiaTheme="minorEastAsia"/>
        </w:rPr>
        <w:footnoteReference w:id="2"/>
      </w:r>
      <w:r>
        <w:rPr>
          <w:rFonts w:eastAsiaTheme="minorEastAsia"/>
        </w:rPr>
        <w:t>.</w:t>
      </w:r>
      <w:r w:rsidR="00AC36DB">
        <w:rPr>
          <w:rFonts w:eastAsiaTheme="minorEastAsia"/>
        </w:rPr>
        <w:t xml:space="preserve"> </w:t>
      </w:r>
      <w:r>
        <w:rPr>
          <w:rFonts w:eastAsiaTheme="minorEastAsia"/>
        </w:rPr>
        <w:t>Επισημαίνουμε ότι στη πράξη έχει επικρατήσει η έμμεση μέθοδος επειδή συνηθίζεται να χρησιμοποιείται ένα κοινό νόμισμα ως νόμισμα αναφοράς (δολάριο ή ευρώ συνήθως) για να διευκολύνονται οι συγκρίσεις και τιμολογήσεις διασυνοριακών περιουσιακών στοιχείων.</w:t>
      </w:r>
    </w:p>
    <w:p w:rsidR="00D24503" w:rsidRDefault="00D24503" w:rsidP="00DC3FDB">
      <w:pPr>
        <w:spacing w:line="360" w:lineRule="auto"/>
        <w:jc w:val="both"/>
        <w:rPr>
          <w:rFonts w:eastAsiaTheme="minorEastAsia"/>
        </w:rPr>
      </w:pPr>
      <w:r>
        <w:rPr>
          <w:rFonts w:eastAsiaTheme="minorEastAsia"/>
        </w:rPr>
        <w:t xml:space="preserve">           Η άμεση και η έμμεση μέθοδος ερμηνεύονται προς αντίθετες κατευθύνσεις όταν πρόκειται για ανατίμηση (υποτίμηση) της τιμής του συναλλάγματος. Επειδή η έμμεση μέθοδος μας λέει την τιμή του ξένου συναλλάγματος, μια ανατίμηση (υποτίμηση)  του ξένου νομίσματος προκαλεί μια αύξηση (μείωση) της έμμεσης συναλλαγματικής ισοτιμίας, αλλά μια ανατίμηση (υποτίμηση) του ξένου νομίσματος προκαλεί μείωση (αύξηση) της άμεσης συναλλαγματικής ισοτιμίας. </w:t>
      </w:r>
    </w:p>
    <w:tbl>
      <w:tblPr>
        <w:tblW w:w="8292" w:type="dxa"/>
        <w:tblInd w:w="108" w:type="dxa"/>
        <w:tblLook w:val="04A0"/>
      </w:tblPr>
      <w:tblGrid>
        <w:gridCol w:w="1702"/>
        <w:gridCol w:w="1702"/>
        <w:gridCol w:w="2444"/>
        <w:gridCol w:w="2444"/>
      </w:tblGrid>
      <w:tr w:rsidR="00D24503" w:rsidRPr="00D55526" w:rsidTr="00D24503">
        <w:trPr>
          <w:trHeight w:val="995"/>
        </w:trPr>
        <w:tc>
          <w:tcPr>
            <w:tcW w:w="1702" w:type="dxa"/>
            <w:tcBorders>
              <w:top w:val="single" w:sz="4" w:space="0" w:color="auto"/>
              <w:left w:val="nil"/>
              <w:bottom w:val="single" w:sz="4" w:space="0" w:color="auto"/>
              <w:right w:val="nil"/>
            </w:tcBorders>
            <w:shd w:val="clear" w:color="auto" w:fill="auto"/>
            <w:vAlign w:val="center"/>
            <w:hideMark/>
          </w:tcPr>
          <w:p w:rsidR="00D24503" w:rsidRPr="002C2204" w:rsidRDefault="00D24503" w:rsidP="00DC3FDB">
            <w:pPr>
              <w:spacing w:line="360" w:lineRule="auto"/>
              <w:jc w:val="both"/>
              <w:rPr>
                <w:b/>
                <w:color w:val="000000"/>
              </w:rPr>
            </w:pPr>
            <w:r w:rsidRPr="002C2204">
              <w:rPr>
                <w:b/>
                <w:color w:val="000000"/>
              </w:rPr>
              <w:t>Εγχώριο Νόμισμα</w:t>
            </w:r>
          </w:p>
        </w:tc>
        <w:tc>
          <w:tcPr>
            <w:tcW w:w="1702" w:type="dxa"/>
            <w:tcBorders>
              <w:top w:val="single" w:sz="4" w:space="0" w:color="auto"/>
              <w:left w:val="nil"/>
              <w:bottom w:val="single" w:sz="4" w:space="0" w:color="auto"/>
              <w:right w:val="nil"/>
            </w:tcBorders>
            <w:shd w:val="clear" w:color="auto" w:fill="auto"/>
            <w:vAlign w:val="center"/>
            <w:hideMark/>
          </w:tcPr>
          <w:p w:rsidR="00D24503" w:rsidRPr="002C2204" w:rsidRDefault="00D24503" w:rsidP="00DC3FDB">
            <w:pPr>
              <w:spacing w:line="360" w:lineRule="auto"/>
              <w:jc w:val="both"/>
              <w:rPr>
                <w:b/>
                <w:color w:val="000000"/>
              </w:rPr>
            </w:pPr>
            <w:r w:rsidRPr="002C2204">
              <w:rPr>
                <w:b/>
                <w:color w:val="000000"/>
              </w:rPr>
              <w:t>Ξένο Νόμισμα</w:t>
            </w:r>
          </w:p>
        </w:tc>
        <w:tc>
          <w:tcPr>
            <w:tcW w:w="2444" w:type="dxa"/>
            <w:tcBorders>
              <w:top w:val="single" w:sz="4" w:space="0" w:color="auto"/>
              <w:left w:val="nil"/>
              <w:bottom w:val="single" w:sz="4" w:space="0" w:color="auto"/>
              <w:right w:val="nil"/>
            </w:tcBorders>
            <w:shd w:val="clear" w:color="auto" w:fill="auto"/>
            <w:vAlign w:val="center"/>
            <w:hideMark/>
          </w:tcPr>
          <w:p w:rsidR="00D24503" w:rsidRPr="002C2204" w:rsidRDefault="00D24503" w:rsidP="00DC3FDB">
            <w:pPr>
              <w:spacing w:line="360" w:lineRule="auto"/>
              <w:jc w:val="both"/>
              <w:rPr>
                <w:b/>
                <w:color w:val="000000"/>
              </w:rPr>
            </w:pPr>
            <w:r w:rsidRPr="002C2204">
              <w:rPr>
                <w:b/>
                <w:color w:val="000000"/>
              </w:rPr>
              <w:t>Άμεση Συναλλαγματική Ισοτιμία</w:t>
            </w:r>
          </w:p>
        </w:tc>
        <w:tc>
          <w:tcPr>
            <w:tcW w:w="2444" w:type="dxa"/>
            <w:tcBorders>
              <w:top w:val="single" w:sz="4" w:space="0" w:color="auto"/>
              <w:left w:val="nil"/>
              <w:bottom w:val="single" w:sz="4" w:space="0" w:color="auto"/>
              <w:right w:val="nil"/>
            </w:tcBorders>
            <w:shd w:val="clear" w:color="auto" w:fill="auto"/>
            <w:vAlign w:val="center"/>
            <w:hideMark/>
          </w:tcPr>
          <w:p w:rsidR="00D24503" w:rsidRPr="002C2204" w:rsidRDefault="00D24503" w:rsidP="00DC3FDB">
            <w:pPr>
              <w:spacing w:line="360" w:lineRule="auto"/>
              <w:jc w:val="both"/>
              <w:rPr>
                <w:b/>
                <w:color w:val="000000"/>
              </w:rPr>
            </w:pPr>
            <w:r w:rsidRPr="002C2204">
              <w:rPr>
                <w:b/>
                <w:color w:val="000000"/>
              </w:rPr>
              <w:t>Έμμεση Συναλλαγματική Ισοτιμία</w:t>
            </w:r>
          </w:p>
        </w:tc>
      </w:tr>
      <w:tr w:rsidR="00D24503" w:rsidRPr="00D55526" w:rsidTr="00D24503">
        <w:trPr>
          <w:trHeight w:val="332"/>
        </w:trPr>
        <w:tc>
          <w:tcPr>
            <w:tcW w:w="1702" w:type="dxa"/>
            <w:tcBorders>
              <w:top w:val="nil"/>
              <w:left w:val="nil"/>
              <w:bottom w:val="nil"/>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Ανατίμηση</w:t>
            </w:r>
          </w:p>
        </w:tc>
        <w:tc>
          <w:tcPr>
            <w:tcW w:w="1702" w:type="dxa"/>
            <w:tcBorders>
              <w:top w:val="nil"/>
              <w:left w:val="nil"/>
              <w:bottom w:val="nil"/>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Υποτίμηση</w:t>
            </w:r>
          </w:p>
        </w:tc>
        <w:tc>
          <w:tcPr>
            <w:tcW w:w="2444" w:type="dxa"/>
            <w:tcBorders>
              <w:top w:val="nil"/>
              <w:left w:val="nil"/>
              <w:bottom w:val="nil"/>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Αυξάνεται</w:t>
            </w:r>
          </w:p>
        </w:tc>
        <w:tc>
          <w:tcPr>
            <w:tcW w:w="2444" w:type="dxa"/>
            <w:tcBorders>
              <w:top w:val="nil"/>
              <w:left w:val="nil"/>
              <w:bottom w:val="nil"/>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Μειώνεται</w:t>
            </w:r>
          </w:p>
        </w:tc>
      </w:tr>
      <w:tr w:rsidR="00D24503" w:rsidRPr="00D55526" w:rsidTr="00D24503">
        <w:trPr>
          <w:trHeight w:val="332"/>
        </w:trPr>
        <w:tc>
          <w:tcPr>
            <w:tcW w:w="1702" w:type="dxa"/>
            <w:tcBorders>
              <w:top w:val="nil"/>
              <w:left w:val="nil"/>
              <w:bottom w:val="single" w:sz="4" w:space="0" w:color="auto"/>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Υποτίμηση</w:t>
            </w:r>
          </w:p>
        </w:tc>
        <w:tc>
          <w:tcPr>
            <w:tcW w:w="1702" w:type="dxa"/>
            <w:tcBorders>
              <w:top w:val="nil"/>
              <w:left w:val="nil"/>
              <w:bottom w:val="single" w:sz="4" w:space="0" w:color="auto"/>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Ανατίμηση</w:t>
            </w:r>
          </w:p>
        </w:tc>
        <w:tc>
          <w:tcPr>
            <w:tcW w:w="2444" w:type="dxa"/>
            <w:tcBorders>
              <w:top w:val="nil"/>
              <w:left w:val="nil"/>
              <w:bottom w:val="single" w:sz="4" w:space="0" w:color="auto"/>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Μειώνεται</w:t>
            </w:r>
          </w:p>
        </w:tc>
        <w:tc>
          <w:tcPr>
            <w:tcW w:w="2444" w:type="dxa"/>
            <w:tcBorders>
              <w:top w:val="nil"/>
              <w:left w:val="nil"/>
              <w:bottom w:val="single" w:sz="4" w:space="0" w:color="auto"/>
              <w:right w:val="nil"/>
            </w:tcBorders>
            <w:shd w:val="clear" w:color="auto" w:fill="auto"/>
            <w:noWrap/>
            <w:vAlign w:val="center"/>
            <w:hideMark/>
          </w:tcPr>
          <w:p w:rsidR="00D24503" w:rsidRPr="002C2204" w:rsidRDefault="00D24503" w:rsidP="00DC3FDB">
            <w:pPr>
              <w:spacing w:line="360" w:lineRule="auto"/>
              <w:jc w:val="both"/>
              <w:rPr>
                <w:color w:val="000000"/>
              </w:rPr>
            </w:pPr>
            <w:r w:rsidRPr="002C2204">
              <w:rPr>
                <w:color w:val="000000"/>
              </w:rPr>
              <w:t>Αυξάνεται</w:t>
            </w:r>
          </w:p>
        </w:tc>
      </w:tr>
    </w:tbl>
    <w:p w:rsidR="00D24503" w:rsidRDefault="00D24503" w:rsidP="00DC3FDB">
      <w:pPr>
        <w:pStyle w:val="ae"/>
        <w:autoSpaceDE w:val="0"/>
        <w:autoSpaceDN w:val="0"/>
        <w:adjustRightInd w:val="0"/>
        <w:spacing w:line="360" w:lineRule="auto"/>
        <w:ind w:left="0"/>
        <w:jc w:val="both"/>
        <w:rPr>
          <w:rFonts w:eastAsia="TimesNewRomanPSMT"/>
          <w:b/>
          <w:sz w:val="32"/>
        </w:rPr>
      </w:pPr>
    </w:p>
    <w:p w:rsidR="00D24503" w:rsidRPr="00DE326F" w:rsidRDefault="00D24503" w:rsidP="00DC3FDB">
      <w:pPr>
        <w:spacing w:line="360" w:lineRule="auto"/>
        <w:jc w:val="both"/>
      </w:pPr>
      <w:r w:rsidRPr="00DE326F">
        <w:rPr>
          <w:u w:val="single"/>
        </w:rPr>
        <w:t>Παράδειγμα</w:t>
      </w:r>
      <w:r w:rsidRPr="00DE326F">
        <w:t>: Δίνεται η διμερής συναλλαγματική ισοτιμία στερλίνας – αμερικάνικου δολαρίου $ 1,80/£. Ποια είναι η άμεση και η έμμεση συναλλαγματική ισοτιμία από την πλευρά του Αμερικάνου και του Βρετανού επενδυτή αντίστοιχα; Ένα τρίμηνο αργότερα η συναλλαγματική ισοτιμία είναι $ 1,90/£. Ποιο νόμισμα ανατιμήθηκε (υποτιμήθηκε);</w:t>
      </w:r>
    </w:p>
    <w:p w:rsidR="00D24503" w:rsidRPr="00282D2C" w:rsidRDefault="00D24503" w:rsidP="00DC3FDB">
      <w:pPr>
        <w:spacing w:line="360" w:lineRule="auto"/>
        <w:jc w:val="both"/>
      </w:pPr>
      <w:r>
        <w:t xml:space="preserve">            </w:t>
      </w:r>
      <w:r w:rsidRPr="00DE326F">
        <w:t>Η στερλίνα μετριέται σε όρους δολαρίου. Άρα πρόκειται για την άμεση αναφορά από την πλευρά του Βρετανού και την έμμεση από την πλευρά του Αμερικάνου. Αντίστοιχα, η ισοτιμία £ 0,5556/$ είναι άμεση από την πλευρά του Αμερικάνου και έμμεση από την πλευρά του Βρετανού.</w:t>
      </w:r>
      <w:r>
        <w:t xml:space="preserve"> </w:t>
      </w:r>
      <w:r w:rsidRPr="00DE326F">
        <w:t>Μετά από την πάροδο τριών μηνών η στερλίνα έχει ενισχυθεί και το δολάριο έχει αποδυναμωθεί</w:t>
      </w:r>
      <w:r>
        <w:t>.</w:t>
      </w:r>
    </w:p>
    <w:p w:rsidR="00F96ABB" w:rsidRDefault="00E04842" w:rsidP="00F96ABB">
      <w:pPr>
        <w:spacing w:line="360" w:lineRule="auto"/>
        <w:ind w:firstLine="720"/>
        <w:contextualSpacing/>
        <w:jc w:val="both"/>
      </w:pPr>
      <w:r>
        <w:t>Στην περίπτωση όπου η προσφορά ισούται με την ζήτηση μιλάμε για την τιμή ισορροπίας. Ενώ όταν η ζήτηση του ξένου συναλλάγματος είναι μεγαλύτερη από την προσφορά ενεργοποιείται ένας μηχανισμός εξισορ</w:t>
      </w:r>
      <w:r w:rsidR="00304412">
        <w:t>ρ</w:t>
      </w:r>
      <w:r>
        <w:t xml:space="preserve">όπησης. Δηλαδή η αυξημένη </w:t>
      </w:r>
      <w:r>
        <w:lastRenderedPageBreak/>
        <w:t>ζήτηση ξένου νομίσματος οδηγεί σε υψηλότερη</w:t>
      </w:r>
      <w:r w:rsidR="00304412">
        <w:t xml:space="preserve"> τιμή και υψηλότερη διαθέσιμη </w:t>
      </w:r>
      <w:proofErr w:type="spellStart"/>
      <w:r w:rsidR="00304412">
        <w:t>ποσόστητα</w:t>
      </w:r>
      <w:proofErr w:type="spellEnd"/>
      <w:r w:rsidR="00304412">
        <w:t>, όπως φαίνεται στο ακόλουθο γράφημα. Το αντίθετο θα συμβεί στην υπερ</w:t>
      </w:r>
      <w:r w:rsidR="00F96ABB">
        <w:t>βάλλουσα προσφορά συναλλάγματος</w:t>
      </w:r>
    </w:p>
    <w:p w:rsidR="00DC3FDB" w:rsidRDefault="00DC3FDB" w:rsidP="00DC3FDB">
      <w:pPr>
        <w:spacing w:line="360" w:lineRule="auto"/>
        <w:ind w:firstLine="720"/>
        <w:contextualSpacing/>
        <w:jc w:val="both"/>
      </w:pPr>
    </w:p>
    <w:p w:rsidR="00304412" w:rsidRDefault="00304412" w:rsidP="003770E5">
      <w:pPr>
        <w:spacing w:line="360" w:lineRule="auto"/>
        <w:contextualSpacing/>
        <w:jc w:val="both"/>
        <w:rPr>
          <w:b/>
        </w:rPr>
      </w:pPr>
    </w:p>
    <w:p w:rsidR="00304412" w:rsidRDefault="00304412" w:rsidP="001F09F0">
      <w:pPr>
        <w:contextualSpacing/>
        <w:jc w:val="center"/>
      </w:pPr>
      <w:r w:rsidRPr="00304412">
        <w:rPr>
          <w:b/>
        </w:rPr>
        <w:t xml:space="preserve">Γράφημα </w:t>
      </w:r>
      <w:r w:rsidR="00D64C65">
        <w:rPr>
          <w:b/>
        </w:rPr>
        <w:t xml:space="preserve">7.1 </w:t>
      </w:r>
      <w:r>
        <w:t xml:space="preserve"> </w:t>
      </w:r>
      <w:r w:rsidR="001F09F0">
        <w:t>Η προσφ</w:t>
      </w:r>
      <w:r>
        <w:t>ορά και η ζήτηση συναλλάγματος</w:t>
      </w:r>
    </w:p>
    <w:p w:rsidR="00304412" w:rsidRPr="00C27081" w:rsidRDefault="00304412" w:rsidP="001F09F0">
      <w:pPr>
        <w:spacing w:line="360" w:lineRule="auto"/>
        <w:contextualSpacing/>
        <w:jc w:val="center"/>
      </w:pPr>
      <w:r>
        <w:rPr>
          <w:noProof/>
        </w:rPr>
        <w:drawing>
          <wp:inline distT="0" distB="0" distL="0" distR="0">
            <wp:extent cx="3916908" cy="2925591"/>
            <wp:effectExtent l="19050" t="19050" r="26670" b="27305"/>
            <wp:docPr id="47117" name="Εικόνα 4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2213" cy="2937023"/>
                    </a:xfrm>
                    <a:prstGeom prst="rect">
                      <a:avLst/>
                    </a:prstGeom>
                    <a:noFill/>
                    <a:ln>
                      <a:solidFill>
                        <a:schemeClr val="tx1"/>
                      </a:solidFill>
                    </a:ln>
                  </pic:spPr>
                </pic:pic>
              </a:graphicData>
            </a:graphic>
          </wp:inline>
        </w:drawing>
      </w:r>
    </w:p>
    <w:p w:rsidR="00E04842" w:rsidRDefault="00E04842" w:rsidP="003770E5">
      <w:pPr>
        <w:spacing w:line="360" w:lineRule="auto"/>
        <w:contextualSpacing/>
        <w:jc w:val="both"/>
      </w:pPr>
    </w:p>
    <w:p w:rsidR="009C2F65" w:rsidRDefault="003770E5" w:rsidP="009C2F65">
      <w:pPr>
        <w:spacing w:line="360" w:lineRule="auto"/>
        <w:ind w:firstLine="720"/>
        <w:contextualSpacing/>
        <w:jc w:val="both"/>
      </w:pPr>
      <w:r>
        <w:t>Ξεκινώντας την ανάλυση σχετικά με τους παράγοντες που μπορούν</w:t>
      </w:r>
      <w:r w:rsidRPr="00C27081">
        <w:t xml:space="preserve"> να μεταβάλ</w:t>
      </w:r>
      <w:r w:rsidR="00A223EC">
        <w:t>λ</w:t>
      </w:r>
      <w:r w:rsidRPr="00C27081">
        <w:t>ουν τις</w:t>
      </w:r>
      <w:r w:rsidR="00A223EC">
        <w:t xml:space="preserve"> καμπύλες ζήτησης και προσφοράς</w:t>
      </w:r>
      <w:r>
        <w:t xml:space="preserve"> συναλλάγματος μπορούμε να πούμε ότι</w:t>
      </w:r>
      <w:r w:rsidRPr="00C27081">
        <w:t xml:space="preserve"> οι εξαγωγές και</w:t>
      </w:r>
      <w:r w:rsidR="00304412">
        <w:t xml:space="preserve"> οι</w:t>
      </w:r>
      <w:r w:rsidRPr="00C27081">
        <w:t xml:space="preserve"> εισαγωγές προϊόντων και υπηρεσιών, και οι επενδύσεις σε χρηματοοικονομικά προϊόντα</w:t>
      </w:r>
      <w:r w:rsidR="00304412">
        <w:t xml:space="preserve"> είναι καθοριστικοί προσδιοριστικοί παράγοντες</w:t>
      </w:r>
      <w:r w:rsidRPr="00C27081">
        <w:t>. Οι εξαγωγές επηρεά</w:t>
      </w:r>
      <w:r>
        <w:t>ζουν την προσφορά συναλλάγματος</w:t>
      </w:r>
      <w:r w:rsidRPr="00C27081">
        <w:t xml:space="preserve"> </w:t>
      </w:r>
      <w:r>
        <w:t xml:space="preserve">και είναι </w:t>
      </w:r>
      <w:r w:rsidRPr="00C27081">
        <w:t>θετική συνάρτηση του ξένου επιπέδου τιμών</w:t>
      </w:r>
      <w:r>
        <w:t xml:space="preserve"> </w:t>
      </w:r>
      <w:r w:rsidRPr="00C27081">
        <w:t>(P*) και του ξένου εισοδήματος (Y*)</w:t>
      </w:r>
      <w:r w:rsidR="00A223EC">
        <w:t>,</w:t>
      </w:r>
      <w:r w:rsidRPr="00C27081">
        <w:t xml:space="preserve"> και αρνητική συνάρτηση του εγχωρίου επιπέδου τιμών</w:t>
      </w:r>
      <w:r>
        <w:t xml:space="preserve"> (P)</w:t>
      </w:r>
      <w:r w:rsidRPr="00C27081">
        <w:t xml:space="preserve">. </w:t>
      </w:r>
      <w:r>
        <w:t xml:space="preserve">Ενώ οι εισαγωγές </w:t>
      </w:r>
      <w:r w:rsidR="00A223EC" w:rsidRPr="00C27081">
        <w:t>επηρεάζουν τη ζήτηση συναλλάγματος</w:t>
      </w:r>
      <w:r w:rsidR="00A223EC">
        <w:t xml:space="preserve"> και</w:t>
      </w:r>
      <w:r>
        <w:t xml:space="preserve"> </w:t>
      </w:r>
      <w:r w:rsidRPr="00C27081">
        <w:t>είναι θετική συνάρτηση του εγχωρίου επιπέδου τιμών</w:t>
      </w:r>
      <w:r>
        <w:t xml:space="preserve"> (</w:t>
      </w:r>
      <w:r>
        <w:rPr>
          <w:lang w:val="en-US"/>
        </w:rPr>
        <w:t>P</w:t>
      </w:r>
      <w:r>
        <w:t>)</w:t>
      </w:r>
      <w:r w:rsidRPr="00C27081">
        <w:t xml:space="preserve"> και του εγχωρίου εισοδήματος</w:t>
      </w:r>
      <w:r w:rsidRPr="006056AF">
        <w:t xml:space="preserve"> (</w:t>
      </w:r>
      <w:r>
        <w:rPr>
          <w:lang w:val="en-US"/>
        </w:rPr>
        <w:t>Y</w:t>
      </w:r>
      <w:r w:rsidRPr="006056AF">
        <w:t>)</w:t>
      </w:r>
      <w:r>
        <w:t>,</w:t>
      </w:r>
      <w:r w:rsidRPr="00C27081">
        <w:t xml:space="preserve"> και αρνητική συνάρτηση του ξένου επιπέδου τιμών</w:t>
      </w:r>
      <w:r w:rsidRPr="006056AF">
        <w:t xml:space="preserve"> (</w:t>
      </w:r>
      <w:r>
        <w:rPr>
          <w:lang w:val="en-US"/>
        </w:rPr>
        <w:t>P</w:t>
      </w:r>
      <w:r w:rsidRPr="006056AF">
        <w:t>*)</w:t>
      </w:r>
      <w:r w:rsidR="00304412">
        <w:t xml:space="preserve">. </w:t>
      </w:r>
    </w:p>
    <w:p w:rsidR="009C2F65" w:rsidRDefault="003770E5" w:rsidP="0001458A">
      <w:pPr>
        <w:spacing w:line="360" w:lineRule="auto"/>
        <w:ind w:firstLine="720"/>
        <w:contextualSpacing/>
        <w:jc w:val="both"/>
      </w:pPr>
      <w:r>
        <w:t>Από την άλλη</w:t>
      </w:r>
      <w:r w:rsidR="00A223EC">
        <w:t>,</w:t>
      </w:r>
      <w:r>
        <w:t xml:space="preserve"> </w:t>
      </w:r>
      <w:r w:rsidRPr="00C27081">
        <w:t xml:space="preserve">η ζήτηση </w:t>
      </w:r>
      <w:r w:rsidR="0001458A">
        <w:t xml:space="preserve">της ημεδαπής </w:t>
      </w:r>
      <w:r w:rsidRPr="00C27081">
        <w:t xml:space="preserve">για </w:t>
      </w:r>
      <w:r w:rsidR="00304412">
        <w:t>ξένα</w:t>
      </w:r>
      <w:r>
        <w:t xml:space="preserve"> χρηματοοικονομικά προϊόντα </w:t>
      </w:r>
      <w:r w:rsidRPr="00C27081">
        <w:t>η οποία με τη σειρά της επηρε</w:t>
      </w:r>
      <w:r w:rsidR="00304412">
        <w:t>άζει την ζήτηση</w:t>
      </w:r>
      <w:r>
        <w:t xml:space="preserve"> συναλλάγματος</w:t>
      </w:r>
      <w:r w:rsidR="00A223EC">
        <w:t>,</w:t>
      </w:r>
      <w:r w:rsidRPr="00C27081">
        <w:t xml:space="preserve"> είναι </w:t>
      </w:r>
      <w:r w:rsidR="00304412" w:rsidRPr="00C27081">
        <w:t xml:space="preserve">αρνητική </w:t>
      </w:r>
      <w:r w:rsidRPr="00C27081">
        <w:t xml:space="preserve">συνάρτηση του εγχώριου επιτοκίου </w:t>
      </w:r>
      <w:r>
        <w:t>(</w:t>
      </w:r>
      <w:r>
        <w:rPr>
          <w:lang w:val="en-US"/>
        </w:rPr>
        <w:t>R</w:t>
      </w:r>
      <w:r>
        <w:t>)</w:t>
      </w:r>
      <w:r w:rsidR="00A223EC">
        <w:t>,</w:t>
      </w:r>
      <w:r>
        <w:t xml:space="preserve"> </w:t>
      </w:r>
      <w:r w:rsidRPr="00C27081">
        <w:t xml:space="preserve">και </w:t>
      </w:r>
      <w:r w:rsidR="00304412" w:rsidRPr="00C27081">
        <w:t xml:space="preserve">θετική </w:t>
      </w:r>
      <w:r w:rsidRPr="00C27081">
        <w:t>συνάρτηση του ξένου επιτοκίου</w:t>
      </w:r>
      <w:r w:rsidRPr="006056AF">
        <w:t xml:space="preserve"> (</w:t>
      </w:r>
      <w:r>
        <w:rPr>
          <w:lang w:val="en-US"/>
        </w:rPr>
        <w:t>R</w:t>
      </w:r>
      <w:r w:rsidRPr="006056AF">
        <w:t>*)</w:t>
      </w:r>
      <w:r w:rsidR="00A223EC">
        <w:t>,</w:t>
      </w:r>
      <w:r w:rsidRPr="00C27081">
        <w:t xml:space="preserve"> και της αναμενόμενης συναλλαγματικής ισοτιμίας</w:t>
      </w:r>
      <w:r w:rsidRPr="006056AF">
        <w:t xml:space="preserve"> (</w:t>
      </w:r>
      <w:r>
        <w:rPr>
          <w:lang w:val="en-US"/>
        </w:rPr>
        <w:t>ES</w:t>
      </w:r>
      <w:r w:rsidRPr="006056AF">
        <w:t>)</w:t>
      </w:r>
      <w:r w:rsidRPr="00C27081">
        <w:t xml:space="preserve">. Όταν το </w:t>
      </w:r>
      <w:r w:rsidR="00304412">
        <w:t>ξένο</w:t>
      </w:r>
      <w:r w:rsidRPr="00C27081">
        <w:t xml:space="preserve"> νόμισμα αναμένεται να </w:t>
      </w:r>
      <w:r w:rsidR="00304412">
        <w:t>ανατιμηθεί, η ζήτηση για ξένα</w:t>
      </w:r>
      <w:r w:rsidRPr="00C27081">
        <w:t xml:space="preserve"> χρηματοοικονομικά προϊόντα θα </w:t>
      </w:r>
      <w:r w:rsidR="00304412">
        <w:lastRenderedPageBreak/>
        <w:t>αυξηθεί</w:t>
      </w:r>
      <w:r w:rsidRPr="00C27081">
        <w:t xml:space="preserve"> και συνεπώς θα </w:t>
      </w:r>
      <w:r w:rsidR="00304412">
        <w:t>αυξηθεί η ζήτη</w:t>
      </w:r>
      <w:r w:rsidR="0001458A">
        <w:t>ση</w:t>
      </w:r>
      <w:r w:rsidR="00304412">
        <w:t xml:space="preserve"> συναλλάγματος.</w:t>
      </w:r>
      <w:r w:rsidR="0001458A">
        <w:t xml:space="preserve"> Αντίστροφα είναι τα πράγματα από την ζήτηση της αλλοδαπής για χρηματοοικονομικά στοιχεία της ημεδαπής.</w:t>
      </w:r>
      <w:r w:rsidR="009C2F65">
        <w:t xml:space="preserve"> </w:t>
      </w:r>
    </w:p>
    <w:p w:rsidR="0001458A" w:rsidRDefault="0001458A" w:rsidP="0001458A">
      <w:pPr>
        <w:spacing w:line="360" w:lineRule="auto"/>
        <w:ind w:firstLine="720"/>
        <w:contextualSpacing/>
        <w:jc w:val="both"/>
      </w:pPr>
      <w:r>
        <w:t>Μπορούμε λοιπόν να δούμε γραφικά για παράδειγμα, τις</w:t>
      </w:r>
      <w:r w:rsidRPr="00C27081">
        <w:t xml:space="preserve"> επιπτώσεις στην</w:t>
      </w:r>
      <w:r>
        <w:t xml:space="preserve"> τρέχουσα</w:t>
      </w:r>
      <w:r w:rsidRPr="00C27081">
        <w:t xml:space="preserve"> ισοτιμία μιας </w:t>
      </w:r>
      <w:r>
        <w:t xml:space="preserve">πτώσης </w:t>
      </w:r>
      <w:r w:rsidRPr="00C27081">
        <w:t xml:space="preserve">του </w:t>
      </w:r>
      <w:r>
        <w:t>επιτοκίου (</w:t>
      </w:r>
      <w:r>
        <w:rPr>
          <w:lang w:val="en-US"/>
        </w:rPr>
        <w:t>R</w:t>
      </w:r>
      <w:r w:rsidRPr="0001458A">
        <w:t>*)</w:t>
      </w:r>
      <w:r>
        <w:t xml:space="preserve"> </w:t>
      </w:r>
      <w:r w:rsidRPr="00C27081">
        <w:t>της αλλοδαπής (π.χ. ΗΠΑ)</w:t>
      </w:r>
      <w:r>
        <w:t xml:space="preserve"> διατηρώντας όλα τα υπόλοιπα σταθερά</w:t>
      </w:r>
      <w:r w:rsidRPr="00C27081">
        <w:t xml:space="preserve">. </w:t>
      </w:r>
    </w:p>
    <w:p w:rsidR="003770E5" w:rsidRPr="003770E5" w:rsidRDefault="003770E5" w:rsidP="003770E5">
      <w:pPr>
        <w:spacing w:line="360" w:lineRule="auto"/>
        <w:contextualSpacing/>
        <w:jc w:val="both"/>
      </w:pPr>
    </w:p>
    <w:p w:rsidR="001F09F0" w:rsidRDefault="001F09F0" w:rsidP="001F09F0">
      <w:pPr>
        <w:contextualSpacing/>
        <w:jc w:val="center"/>
      </w:pPr>
      <w:r w:rsidRPr="00304412">
        <w:rPr>
          <w:b/>
        </w:rPr>
        <w:t xml:space="preserve">Γράφημα </w:t>
      </w:r>
      <w:r w:rsidR="00D64C65">
        <w:rPr>
          <w:b/>
        </w:rPr>
        <w:t>7.2</w:t>
      </w:r>
      <w:r>
        <w:t xml:space="preserve"> Η προσφορά και η ζήτηση συναλλάγματος</w:t>
      </w:r>
    </w:p>
    <w:p w:rsidR="003770E5" w:rsidRDefault="001F09F0" w:rsidP="003770E5">
      <w:pPr>
        <w:spacing w:line="360" w:lineRule="auto"/>
        <w:contextualSpacing/>
        <w:jc w:val="center"/>
      </w:pPr>
      <w:r>
        <w:rPr>
          <w:noProof/>
        </w:rPr>
        <w:drawing>
          <wp:inline distT="0" distB="0" distL="0" distR="0">
            <wp:extent cx="3302758" cy="2398651"/>
            <wp:effectExtent l="0" t="0" r="0" b="1905"/>
            <wp:docPr id="78892" name="Εικόνα 78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Factors.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498" b="30481"/>
                    <a:stretch/>
                  </pic:blipFill>
                  <pic:spPr bwMode="auto">
                    <a:xfrm>
                      <a:off x="0" y="0"/>
                      <a:ext cx="3318288" cy="24099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C2F65" w:rsidRDefault="001F09F0" w:rsidP="00D64C65">
      <w:pPr>
        <w:spacing w:line="360" w:lineRule="auto"/>
        <w:ind w:firstLine="720"/>
        <w:contextualSpacing/>
        <w:jc w:val="both"/>
      </w:pPr>
      <w:r>
        <w:t>Αρχικά ξεκινάμε από το σημείο Ε</w:t>
      </w:r>
      <w:r w:rsidR="0001458A" w:rsidRPr="0001458A">
        <w:rPr>
          <w:vertAlign w:val="subscript"/>
        </w:rPr>
        <w:t>0</w:t>
      </w:r>
      <w:r>
        <w:t xml:space="preserve"> όπου η ζήτ</w:t>
      </w:r>
      <w:r w:rsidR="00A223EC">
        <w:t>η</w:t>
      </w:r>
      <w:r>
        <w:t xml:space="preserve">ση συναντά την προσφορά </w:t>
      </w:r>
      <w:r w:rsidR="0001458A">
        <w:t>συναλλάγματος. Στην συνέχεια, η</w:t>
      </w:r>
      <w:r w:rsidR="003770E5" w:rsidRPr="00C27081">
        <w:t xml:space="preserve"> </w:t>
      </w:r>
      <w:r w:rsidR="0001458A">
        <w:t xml:space="preserve">πτώση του επιτοκίου της αλλοδαπής </w:t>
      </w:r>
      <w:r w:rsidR="003770E5" w:rsidRPr="00C27081">
        <w:t xml:space="preserve">θα προκαλέσει αύξηση </w:t>
      </w:r>
      <w:r w:rsidR="0001458A">
        <w:t>της προσφοράς ξένου συναλλάγματος και μείωση της ζήτησης του. Έτσι από την μια η</w:t>
      </w:r>
      <w:r w:rsidR="003770E5" w:rsidRPr="00C27081">
        <w:t xml:space="preserve"> καμπύλη ζήτησης θα μετατοπιστεί προς τα αριστερά (</w:t>
      </w:r>
      <w:proofErr w:type="spellStart"/>
      <w:r w:rsidR="003770E5" w:rsidRPr="00C27081">
        <w:t>D</w:t>
      </w:r>
      <w:r w:rsidR="003770E5" w:rsidRPr="0001458A">
        <w:rPr>
          <w:vertAlign w:val="subscript"/>
        </w:rPr>
        <w:t>o</w:t>
      </w:r>
      <w:proofErr w:type="spellEnd"/>
      <w:r w:rsidR="003770E5" w:rsidRPr="00C27081">
        <w:t xml:space="preserve"> – D</w:t>
      </w:r>
      <w:r w:rsidR="003770E5" w:rsidRPr="0001458A">
        <w:rPr>
          <w:vertAlign w:val="subscript"/>
        </w:rPr>
        <w:t>1</w:t>
      </w:r>
      <w:r w:rsidR="003770E5" w:rsidRPr="00C27081">
        <w:t xml:space="preserve">). </w:t>
      </w:r>
      <w:r w:rsidR="0001458A">
        <w:t>Ενώ η</w:t>
      </w:r>
      <w:r w:rsidR="003770E5" w:rsidRPr="00C27081">
        <w:t xml:space="preserve"> καμπύλη προσφοράς θα μετατοπιστεί προς τα δεξιά (</w:t>
      </w:r>
      <w:proofErr w:type="spellStart"/>
      <w:r w:rsidR="003770E5" w:rsidRPr="00C27081">
        <w:t>S</w:t>
      </w:r>
      <w:r w:rsidR="003770E5" w:rsidRPr="0001458A">
        <w:rPr>
          <w:vertAlign w:val="subscript"/>
        </w:rPr>
        <w:t>o</w:t>
      </w:r>
      <w:proofErr w:type="spellEnd"/>
      <w:r w:rsidR="003770E5" w:rsidRPr="00C27081">
        <w:t xml:space="preserve"> – S</w:t>
      </w:r>
      <w:r w:rsidR="003770E5" w:rsidRPr="0001458A">
        <w:rPr>
          <w:vertAlign w:val="subscript"/>
        </w:rPr>
        <w:t>1</w:t>
      </w:r>
      <w:r w:rsidR="003770E5" w:rsidRPr="00C27081">
        <w:t>). Λόγω των μετατοπίσεων των καμπυλών ζήτησης και προσφοράς,</w:t>
      </w:r>
      <w:r w:rsidR="0001458A">
        <w:t xml:space="preserve"> θα οδηγηθούμε σε ένα νέο σημείο ισορροπίας </w:t>
      </w:r>
      <w:r w:rsidR="003770E5" w:rsidRPr="00C27081">
        <w:t>Ε</w:t>
      </w:r>
      <w:r w:rsidR="003770E5" w:rsidRPr="0001458A">
        <w:rPr>
          <w:vertAlign w:val="subscript"/>
        </w:rPr>
        <w:t>1</w:t>
      </w:r>
      <w:r w:rsidR="0001458A">
        <w:t xml:space="preserve"> το οποίο αντιστοιχεί σε μια υποτίμηση του δολαρίου έναντι του ευρώ. </w:t>
      </w:r>
    </w:p>
    <w:p w:rsidR="00B27AD3" w:rsidRPr="00F96ABB" w:rsidRDefault="0001458A" w:rsidP="00F96ABB">
      <w:pPr>
        <w:spacing w:line="360" w:lineRule="auto"/>
        <w:jc w:val="both"/>
      </w:pPr>
      <w:r>
        <w:rPr>
          <w:rFonts w:eastAsiaTheme="minorHAnsi"/>
          <w:lang w:eastAsia="en-US"/>
        </w:rPr>
        <w:t xml:space="preserve">Έχοντας </w:t>
      </w:r>
      <w:proofErr w:type="spellStart"/>
      <w:r>
        <w:rPr>
          <w:rFonts w:eastAsiaTheme="minorHAnsi"/>
          <w:lang w:eastAsia="en-US"/>
        </w:rPr>
        <w:t>δεί</w:t>
      </w:r>
      <w:proofErr w:type="spellEnd"/>
      <w:r>
        <w:rPr>
          <w:rFonts w:eastAsiaTheme="minorHAnsi"/>
          <w:lang w:eastAsia="en-US"/>
        </w:rPr>
        <w:t xml:space="preserve"> πως καθορίζεται η συναλλαγματική ισοτιμία στην αγορά όψεως σε αυτό το σημείο θα θέλαμε να τονίσουμε ότι η</w:t>
      </w:r>
      <w:r w:rsidR="00B27AD3" w:rsidRPr="00B27AD3">
        <w:rPr>
          <w:rFonts w:eastAsiaTheme="minorHAnsi"/>
          <w:lang w:eastAsia="en-US"/>
        </w:rPr>
        <w:t xml:space="preserve"> αγορά και η πώληση νομισμάτων μπορεί να πραγματοποιηθεί είτε στην τρέχουσα αγορά (</w:t>
      </w:r>
      <w:proofErr w:type="spellStart"/>
      <w:r w:rsidR="00B27AD3" w:rsidRPr="00B27AD3">
        <w:rPr>
          <w:rFonts w:eastAsiaTheme="minorHAnsi"/>
          <w:lang w:eastAsia="en-US"/>
        </w:rPr>
        <w:t>spot</w:t>
      </w:r>
      <w:proofErr w:type="spellEnd"/>
      <w:r w:rsidR="00B27AD3" w:rsidRPr="00B27AD3">
        <w:rPr>
          <w:rFonts w:eastAsiaTheme="minorHAnsi"/>
          <w:lang w:eastAsia="en-US"/>
        </w:rPr>
        <w:t xml:space="preserve"> </w:t>
      </w:r>
      <w:proofErr w:type="spellStart"/>
      <w:r w:rsidR="00B27AD3" w:rsidRPr="00B27AD3">
        <w:rPr>
          <w:rFonts w:eastAsiaTheme="minorHAnsi"/>
          <w:lang w:eastAsia="en-US"/>
        </w:rPr>
        <w:t>market</w:t>
      </w:r>
      <w:proofErr w:type="spellEnd"/>
      <w:r w:rsidR="00B27AD3" w:rsidRPr="00B27AD3">
        <w:rPr>
          <w:rFonts w:eastAsiaTheme="minorHAnsi"/>
          <w:lang w:eastAsia="en-US"/>
        </w:rPr>
        <w:t>), είτε στην προθεσμιακή αγορά (</w:t>
      </w:r>
      <w:proofErr w:type="spellStart"/>
      <w:r w:rsidR="00B27AD3" w:rsidRPr="00B27AD3">
        <w:rPr>
          <w:rFonts w:eastAsiaTheme="minorHAnsi"/>
          <w:lang w:eastAsia="en-US"/>
        </w:rPr>
        <w:t>forward</w:t>
      </w:r>
      <w:proofErr w:type="spellEnd"/>
      <w:r w:rsidR="00B27AD3" w:rsidRPr="00B27AD3">
        <w:rPr>
          <w:rFonts w:eastAsiaTheme="minorHAnsi"/>
          <w:lang w:eastAsia="en-US"/>
        </w:rPr>
        <w:t xml:space="preserve"> </w:t>
      </w:r>
      <w:proofErr w:type="spellStart"/>
      <w:r w:rsidR="00B27AD3" w:rsidRPr="00B27AD3">
        <w:rPr>
          <w:rFonts w:eastAsiaTheme="minorHAnsi"/>
          <w:lang w:eastAsia="en-US"/>
        </w:rPr>
        <w:t>market</w:t>
      </w:r>
      <w:proofErr w:type="spellEnd"/>
      <w:r w:rsidR="00B27AD3" w:rsidRPr="00B27AD3">
        <w:rPr>
          <w:rFonts w:eastAsiaTheme="minorHAnsi"/>
          <w:lang w:eastAsia="en-US"/>
        </w:rPr>
        <w:t>).</w:t>
      </w:r>
      <w:r w:rsidR="00B27AD3">
        <w:rPr>
          <w:rFonts w:eastAsiaTheme="minorHAnsi"/>
          <w:lang w:eastAsia="en-US"/>
        </w:rPr>
        <w:t xml:space="preserve"> </w:t>
      </w:r>
      <w:r>
        <w:rPr>
          <w:rFonts w:eastAsiaTheme="minorHAnsi"/>
          <w:lang w:eastAsia="en-US"/>
        </w:rPr>
        <w:t>Κάνοντας αυτή την διάκριση πρέπει να αναφέρουμε ότι τ</w:t>
      </w:r>
      <w:r w:rsidR="00B27AD3" w:rsidRPr="00B27AD3">
        <w:rPr>
          <w:rFonts w:eastAsiaTheme="minorHAnsi"/>
          <w:lang w:eastAsia="en-US"/>
        </w:rPr>
        <w:t>ρέχουσα είναι η αγορά όπου οι ανταλλαγές νομισμάτων πραγματοποιούνται άμεσα. Η τιμή που διαμορφώνεται σε αυτές τις ανταλλαγές είναι γνωστή ως ισοτιμία όψεως (</w:t>
      </w:r>
      <w:proofErr w:type="spellStart"/>
      <w:r w:rsidR="00B27AD3" w:rsidRPr="00B27AD3">
        <w:rPr>
          <w:rFonts w:eastAsiaTheme="minorHAnsi"/>
          <w:lang w:eastAsia="en-US"/>
        </w:rPr>
        <w:t>spot</w:t>
      </w:r>
      <w:proofErr w:type="spellEnd"/>
      <w:r w:rsidR="00B27AD3" w:rsidRPr="00B27AD3">
        <w:rPr>
          <w:rFonts w:eastAsiaTheme="minorHAnsi"/>
          <w:lang w:eastAsia="en-US"/>
        </w:rPr>
        <w:t xml:space="preserve"> </w:t>
      </w:r>
      <w:proofErr w:type="spellStart"/>
      <w:r w:rsidR="00B27AD3" w:rsidRPr="00B27AD3">
        <w:rPr>
          <w:rFonts w:eastAsiaTheme="minorHAnsi"/>
          <w:lang w:eastAsia="en-US"/>
        </w:rPr>
        <w:t>exchange</w:t>
      </w:r>
      <w:proofErr w:type="spellEnd"/>
      <w:r w:rsidR="00B27AD3" w:rsidRPr="00B27AD3">
        <w:rPr>
          <w:rFonts w:eastAsiaTheme="minorHAnsi"/>
          <w:lang w:eastAsia="en-US"/>
        </w:rPr>
        <w:t xml:space="preserve"> </w:t>
      </w:r>
      <w:proofErr w:type="spellStart"/>
      <w:r w:rsidR="00B27AD3" w:rsidRPr="00B27AD3">
        <w:rPr>
          <w:rFonts w:eastAsiaTheme="minorHAnsi"/>
          <w:lang w:eastAsia="en-US"/>
        </w:rPr>
        <w:t>rate</w:t>
      </w:r>
      <w:proofErr w:type="spellEnd"/>
      <w:r w:rsidR="00B27AD3" w:rsidRPr="00B27AD3">
        <w:rPr>
          <w:rFonts w:eastAsiaTheme="minorHAnsi"/>
          <w:lang w:eastAsia="en-US"/>
        </w:rPr>
        <w:t>). Η ισοτιμία όψεως διακρίνεται σε τιμή αγοράς (</w:t>
      </w:r>
      <w:proofErr w:type="spellStart"/>
      <w:r w:rsidR="00B27AD3" w:rsidRPr="00B27AD3">
        <w:rPr>
          <w:rFonts w:eastAsiaTheme="minorHAnsi"/>
          <w:lang w:eastAsia="en-US"/>
        </w:rPr>
        <w:t>bid</w:t>
      </w:r>
      <w:proofErr w:type="spellEnd"/>
      <w:r w:rsidR="00AA2CEF" w:rsidRPr="00AA2CEF">
        <w:rPr>
          <w:rFonts w:eastAsiaTheme="minorHAnsi"/>
          <w:lang w:eastAsia="en-US"/>
        </w:rPr>
        <w:t xml:space="preserve"> </w:t>
      </w:r>
      <w:r w:rsidR="00AA2CEF">
        <w:rPr>
          <w:rFonts w:eastAsiaTheme="minorHAnsi"/>
          <w:lang w:val="en-US" w:eastAsia="en-US"/>
        </w:rPr>
        <w:t>price</w:t>
      </w:r>
      <w:r w:rsidR="00B27AD3" w:rsidRPr="00B27AD3">
        <w:rPr>
          <w:rFonts w:eastAsiaTheme="minorHAnsi"/>
          <w:lang w:eastAsia="en-US"/>
        </w:rPr>
        <w:t xml:space="preserve">) και </w:t>
      </w:r>
      <w:r w:rsidR="00B27AD3" w:rsidRPr="00B27AD3">
        <w:rPr>
          <w:rFonts w:eastAsiaTheme="minorHAnsi"/>
          <w:lang w:eastAsia="en-US"/>
        </w:rPr>
        <w:lastRenderedPageBreak/>
        <w:t>τιμή πώλησης (</w:t>
      </w:r>
      <w:proofErr w:type="spellStart"/>
      <w:r w:rsidR="00B27AD3" w:rsidRPr="00B27AD3">
        <w:rPr>
          <w:rFonts w:eastAsiaTheme="minorHAnsi"/>
          <w:lang w:eastAsia="en-US"/>
        </w:rPr>
        <w:t>ask</w:t>
      </w:r>
      <w:proofErr w:type="spellEnd"/>
      <w:r w:rsidR="00B27AD3" w:rsidRPr="00B27AD3">
        <w:rPr>
          <w:rFonts w:eastAsiaTheme="minorHAnsi"/>
          <w:lang w:eastAsia="en-US"/>
        </w:rPr>
        <w:t>/</w:t>
      </w:r>
      <w:proofErr w:type="spellStart"/>
      <w:r w:rsidR="00B27AD3" w:rsidRPr="00B27AD3">
        <w:rPr>
          <w:rFonts w:eastAsiaTheme="minorHAnsi"/>
          <w:lang w:eastAsia="en-US"/>
        </w:rPr>
        <w:t>offer</w:t>
      </w:r>
      <w:proofErr w:type="spellEnd"/>
      <w:r w:rsidR="00AA2CEF" w:rsidRPr="00AA2CEF">
        <w:rPr>
          <w:rFonts w:eastAsiaTheme="minorHAnsi"/>
          <w:lang w:eastAsia="en-US"/>
        </w:rPr>
        <w:t xml:space="preserve"> </w:t>
      </w:r>
      <w:r w:rsidR="00AA2CEF">
        <w:rPr>
          <w:rFonts w:eastAsiaTheme="minorHAnsi"/>
          <w:lang w:val="en-US" w:eastAsia="en-US"/>
        </w:rPr>
        <w:t>price</w:t>
      </w:r>
      <w:r w:rsidR="00EE17C5">
        <w:rPr>
          <w:rFonts w:eastAsiaTheme="minorHAnsi"/>
          <w:lang w:eastAsia="en-US"/>
        </w:rPr>
        <w:t>)</w:t>
      </w:r>
      <w:r w:rsidR="00B27AD3" w:rsidRPr="00B27AD3">
        <w:rPr>
          <w:rFonts w:eastAsiaTheme="minorHAnsi"/>
          <w:lang w:eastAsia="en-US"/>
        </w:rPr>
        <w:t>. Η τιμή αγοράς είναι η τιμή στην οποία η τράπεζα αγοράζει το νόμισμα, ενώ η τιμή πώλησης είναι η τιμή στην οποία η τράπεζα πωλεί το νόμισμα</w:t>
      </w:r>
      <w:r w:rsidR="009A3829">
        <w:rPr>
          <w:rFonts w:eastAsiaTheme="minorHAnsi"/>
          <w:lang w:eastAsia="en-US"/>
        </w:rPr>
        <w:t xml:space="preserve"> (δείτε τον ακόλουθο πίνακα)</w:t>
      </w:r>
      <w:r w:rsidR="00B27AD3" w:rsidRPr="00B27AD3">
        <w:rPr>
          <w:rFonts w:eastAsiaTheme="minorHAnsi"/>
          <w:lang w:eastAsia="en-US"/>
        </w:rPr>
        <w:t xml:space="preserve">. Η τιμή πώλησης είναι μεγαλύτερη της τιμής αγοράς. Αυτή η διαφορά μεταξύ των τιμών είναι γνωστή ως </w:t>
      </w:r>
      <w:r w:rsidR="00B27AD3">
        <w:rPr>
          <w:rFonts w:eastAsiaTheme="minorHAnsi"/>
          <w:lang w:eastAsia="en-US"/>
        </w:rPr>
        <w:t>περιθώριο (</w:t>
      </w:r>
      <w:r w:rsidR="00B27AD3">
        <w:rPr>
          <w:rFonts w:eastAsiaTheme="minorHAnsi"/>
          <w:lang w:val="en-US" w:eastAsia="en-US"/>
        </w:rPr>
        <w:t>sp</w:t>
      </w:r>
      <w:r w:rsidR="00B27AD3">
        <w:rPr>
          <w:rFonts w:eastAsiaTheme="minorHAnsi"/>
          <w:lang w:eastAsia="en-US"/>
        </w:rPr>
        <w:t>r</w:t>
      </w:r>
      <w:proofErr w:type="spellStart"/>
      <w:r w:rsidR="00B27AD3">
        <w:rPr>
          <w:rFonts w:eastAsiaTheme="minorHAnsi"/>
          <w:lang w:val="en-US" w:eastAsia="en-US"/>
        </w:rPr>
        <w:t>ead</w:t>
      </w:r>
      <w:proofErr w:type="spellEnd"/>
      <w:r w:rsidR="00B27AD3" w:rsidRPr="00B27AD3">
        <w:rPr>
          <w:rFonts w:eastAsiaTheme="minorHAnsi"/>
          <w:lang w:eastAsia="en-US"/>
        </w:rPr>
        <w:t>) και αποσκοπεί στην κάλυψη εξόδων</w:t>
      </w:r>
      <w:r w:rsidR="00B27AD3">
        <w:rPr>
          <w:rFonts w:eastAsiaTheme="minorHAnsi"/>
          <w:lang w:eastAsia="en-US"/>
        </w:rPr>
        <w:t xml:space="preserve"> αλλά και το κέρδος</w:t>
      </w:r>
      <w:r w:rsidR="00B27AD3" w:rsidRPr="00B27AD3">
        <w:rPr>
          <w:rFonts w:eastAsiaTheme="minorHAnsi"/>
          <w:lang w:eastAsia="en-US"/>
        </w:rPr>
        <w:t xml:space="preserve"> των τραπεζών που ασχολούνται με την αγοραπωλησία των νομισμάτων.</w:t>
      </w:r>
      <w:r w:rsidR="00F96ABB">
        <w:rPr>
          <w:rFonts w:eastAsiaTheme="minorHAnsi"/>
          <w:lang w:eastAsia="en-US"/>
        </w:rPr>
        <w:t xml:space="preserve"> </w:t>
      </w:r>
      <w:r w:rsidR="00F96ABB">
        <w:t>Οι διαφορές στα</w:t>
      </w:r>
      <w:r w:rsidR="00F96ABB" w:rsidRPr="003F0279">
        <w:t xml:space="preserve"> </w:t>
      </w:r>
      <w:r w:rsidR="00F96ABB">
        <w:rPr>
          <w:lang w:val="en-US"/>
        </w:rPr>
        <w:t>spread</w:t>
      </w:r>
      <w:r w:rsidR="00AA2CEF">
        <w:rPr>
          <w:lang w:val="en-US"/>
        </w:rPr>
        <w:t>s</w:t>
      </w:r>
      <w:r w:rsidR="00F96ABB" w:rsidRPr="003F0279">
        <w:t xml:space="preserve"> </w:t>
      </w:r>
      <w:r w:rsidR="00F96ABB">
        <w:t xml:space="preserve">οφείλονται στις συνθήκες της αγοράς και στον όγκο συναλλαγών. Ειδικότερα, το μέγεθος του </w:t>
      </w:r>
      <w:r w:rsidR="00F96ABB">
        <w:rPr>
          <w:lang w:val="en-US"/>
        </w:rPr>
        <w:t>spread</w:t>
      </w:r>
      <w:r w:rsidR="00F96ABB" w:rsidRPr="003F0279">
        <w:t xml:space="preserve"> </w:t>
      </w:r>
      <w:r w:rsidR="00F96ABB">
        <w:t>αυξάνεται ανάλογα με την αβεβαιότητα (μεταβλητότητα) και την έλλειψη ρευστότητας</w:t>
      </w:r>
      <w:r w:rsidR="00F96ABB" w:rsidRPr="003F0279">
        <w:t>,</w:t>
      </w:r>
      <w:r w:rsidR="00F96ABB">
        <w:t xml:space="preserve"> η οποία πηγάζει από το βαθμό αποστροφής κινδύνου </w:t>
      </w:r>
      <w:r w:rsidR="00AA2CEF">
        <w:t xml:space="preserve">της τράπεζας ή </w:t>
      </w:r>
      <w:proofErr w:type="spellStart"/>
      <w:r w:rsidR="00AA2CEF">
        <w:t>γεικότερα</w:t>
      </w:r>
      <w:proofErr w:type="spellEnd"/>
      <w:r w:rsidR="00AA2CEF">
        <w:t xml:space="preserve"> </w:t>
      </w:r>
      <w:r w:rsidR="00F96ABB">
        <w:t>του</w:t>
      </w:r>
      <w:r w:rsidR="00AA2CEF">
        <w:t xml:space="preserve"> λεγόμενου</w:t>
      </w:r>
      <w:r w:rsidR="00F96ABB">
        <w:t xml:space="preserve"> </w:t>
      </w:r>
      <w:r w:rsidR="00AA2CEF">
        <w:t>«</w:t>
      </w:r>
      <w:r w:rsidR="00F96ABB">
        <w:rPr>
          <w:lang w:val="en-US"/>
        </w:rPr>
        <w:t>dealer</w:t>
      </w:r>
      <w:r w:rsidR="00AA2CEF">
        <w:t>» στην αγορά συναλλάγματος.</w:t>
      </w:r>
    </w:p>
    <w:p w:rsidR="009A3829" w:rsidRDefault="009A3829" w:rsidP="00B27AD3">
      <w:pPr>
        <w:spacing w:line="360" w:lineRule="auto"/>
        <w:ind w:firstLine="284"/>
        <w:jc w:val="both"/>
        <w:rPr>
          <w:rFonts w:eastAsiaTheme="minorHAnsi"/>
          <w:lang w:eastAsia="en-US"/>
        </w:rPr>
      </w:pPr>
    </w:p>
    <w:p w:rsidR="009A3829" w:rsidRDefault="009A3829" w:rsidP="00AF4096">
      <w:pPr>
        <w:ind w:firstLine="284"/>
        <w:jc w:val="center"/>
        <w:rPr>
          <w:rFonts w:eastAsiaTheme="minorHAnsi"/>
          <w:lang w:eastAsia="en-US"/>
        </w:rPr>
      </w:pPr>
      <w:r w:rsidRPr="009A3829">
        <w:rPr>
          <w:rFonts w:eastAsiaTheme="minorHAnsi"/>
          <w:b/>
          <w:lang w:eastAsia="en-US"/>
        </w:rPr>
        <w:t xml:space="preserve">Πίνακας </w:t>
      </w:r>
      <w:r w:rsidR="00D64C65">
        <w:rPr>
          <w:rFonts w:eastAsiaTheme="minorHAnsi"/>
          <w:b/>
          <w:lang w:eastAsia="en-US"/>
        </w:rPr>
        <w:t>7.1</w:t>
      </w:r>
      <w:r w:rsidR="00D64C65">
        <w:rPr>
          <w:rFonts w:eastAsiaTheme="minorHAnsi"/>
          <w:lang w:eastAsia="en-US"/>
        </w:rPr>
        <w:t xml:space="preserve"> Τ</w:t>
      </w:r>
      <w:r>
        <w:rPr>
          <w:rFonts w:eastAsiaTheme="minorHAnsi"/>
          <w:lang w:eastAsia="en-US"/>
        </w:rPr>
        <w:t>ιμές συναλλάγματος σε Ευρώ ( 1 Ευρώ ανά μονάδα νομίσματος)</w:t>
      </w:r>
    </w:p>
    <w:p w:rsidR="00626FDA" w:rsidRDefault="00626FDA" w:rsidP="00A223EC">
      <w:pPr>
        <w:ind w:firstLine="284"/>
        <w:jc w:val="center"/>
        <w:rPr>
          <w:rFonts w:eastAsiaTheme="minorHAnsi"/>
          <w:lang w:eastAsia="en-US"/>
        </w:rPr>
      </w:pPr>
      <w:r>
        <w:rPr>
          <w:noProof/>
        </w:rPr>
        <w:drawing>
          <wp:inline distT="0" distB="0" distL="0" distR="0">
            <wp:extent cx="5186855" cy="2901124"/>
            <wp:effectExtent l="19050" t="19050" r="13970" b="13970"/>
            <wp:docPr id="78885" name="Εικόνα 7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9166" t="32330" r="28819" b="25873"/>
                    <a:stretch/>
                  </pic:blipFill>
                  <pic:spPr bwMode="auto">
                    <a:xfrm>
                      <a:off x="0" y="0"/>
                      <a:ext cx="5186855" cy="2901124"/>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3829" w:rsidRPr="00A223EC" w:rsidRDefault="00A223EC" w:rsidP="00A223EC">
      <w:pPr>
        <w:spacing w:line="360" w:lineRule="auto"/>
        <w:ind w:firstLine="284"/>
        <w:jc w:val="both"/>
        <w:rPr>
          <w:rFonts w:eastAsiaTheme="minorHAnsi"/>
          <w:sz w:val="20"/>
          <w:szCs w:val="20"/>
          <w:lang w:eastAsia="en-US"/>
        </w:rPr>
      </w:pPr>
      <w:r w:rsidRPr="00A223EC">
        <w:rPr>
          <w:rFonts w:eastAsiaTheme="minorHAnsi"/>
          <w:b/>
          <w:sz w:val="20"/>
          <w:szCs w:val="20"/>
          <w:lang w:eastAsia="en-US"/>
        </w:rPr>
        <w:t>Πηγή:</w:t>
      </w:r>
      <w:r w:rsidRPr="00A223EC">
        <w:rPr>
          <w:rFonts w:eastAsiaTheme="minorHAnsi"/>
          <w:sz w:val="20"/>
          <w:szCs w:val="20"/>
          <w:lang w:eastAsia="en-US"/>
        </w:rPr>
        <w:t xml:space="preserve"> </w:t>
      </w:r>
      <w:r w:rsidRPr="00A223EC">
        <w:rPr>
          <w:rFonts w:eastAsiaTheme="minorHAnsi"/>
          <w:sz w:val="20"/>
          <w:szCs w:val="20"/>
          <w:lang w:val="en-US" w:eastAsia="en-US"/>
        </w:rPr>
        <w:t>Alpha</w:t>
      </w:r>
      <w:r w:rsidRPr="00C310DD">
        <w:rPr>
          <w:rFonts w:eastAsiaTheme="minorHAnsi"/>
          <w:sz w:val="20"/>
          <w:szCs w:val="20"/>
          <w:lang w:eastAsia="en-US"/>
        </w:rPr>
        <w:t xml:space="preserve"> </w:t>
      </w:r>
      <w:r w:rsidRPr="00A223EC">
        <w:rPr>
          <w:rFonts w:eastAsiaTheme="minorHAnsi"/>
          <w:sz w:val="20"/>
          <w:szCs w:val="20"/>
          <w:lang w:eastAsia="en-US"/>
        </w:rPr>
        <w:t>Τράπεζα</w:t>
      </w:r>
    </w:p>
    <w:p w:rsidR="00AA2CEF" w:rsidRDefault="00AA2CEF" w:rsidP="0058071D">
      <w:pPr>
        <w:spacing w:line="360" w:lineRule="auto"/>
        <w:ind w:firstLine="720"/>
        <w:jc w:val="both"/>
        <w:rPr>
          <w:rFonts w:eastAsiaTheme="minorHAnsi"/>
          <w:lang w:eastAsia="en-US"/>
        </w:rPr>
      </w:pPr>
    </w:p>
    <w:p w:rsidR="0058071D" w:rsidRDefault="00B27AD3" w:rsidP="0058071D">
      <w:pPr>
        <w:spacing w:line="360" w:lineRule="auto"/>
        <w:ind w:firstLine="720"/>
        <w:jc w:val="both"/>
        <w:rPr>
          <w:rFonts w:eastAsiaTheme="minorHAnsi"/>
          <w:lang w:eastAsia="en-US"/>
        </w:rPr>
      </w:pPr>
      <w:r w:rsidRPr="00B27AD3">
        <w:rPr>
          <w:rFonts w:eastAsiaTheme="minorHAnsi"/>
          <w:lang w:eastAsia="en-US"/>
        </w:rPr>
        <w:t>Στην προθεσμιακή αγορά έχουμε τη διενέργεια προθεσμιακών πράξεων συναλλάγματος οι οποίες είναι συμφωνίες που συνάπτονται σήμερα για την αγορά ή πώληση μιας συγκεκριμένης ποσότητας ενός νομίσματος σε μια προκαθορισμένη τιμή σε κάποια συγκεκριμένη στιγμή στο μέλλον. Η τιμή</w:t>
      </w:r>
      <w:r w:rsidR="009A3829">
        <w:rPr>
          <w:rFonts w:eastAsiaTheme="minorHAnsi"/>
          <w:lang w:eastAsia="en-US"/>
        </w:rPr>
        <w:t xml:space="preserve"> </w:t>
      </w:r>
      <w:r w:rsidR="009A3829" w:rsidRPr="009A3829">
        <w:rPr>
          <w:rFonts w:eastAsiaTheme="minorHAnsi"/>
          <w:lang w:eastAsia="en-US"/>
        </w:rPr>
        <w:t>στην οποία συμφωνούν να γίνει η αγορά ή πώληση του νομίσματος</w:t>
      </w:r>
      <w:r w:rsidR="009A3829">
        <w:rPr>
          <w:rFonts w:eastAsiaTheme="minorHAnsi"/>
          <w:lang w:eastAsia="en-US"/>
        </w:rPr>
        <w:t xml:space="preserve"> </w:t>
      </w:r>
      <w:r w:rsidR="009A3829" w:rsidRPr="009A3829">
        <w:rPr>
          <w:rFonts w:eastAsiaTheme="minorHAnsi"/>
          <w:lang w:eastAsia="en-US"/>
        </w:rPr>
        <w:t>ονομάζεται προθεσμιακή τιμή (</w:t>
      </w:r>
      <w:proofErr w:type="spellStart"/>
      <w:r w:rsidR="009A3829" w:rsidRPr="009A3829">
        <w:rPr>
          <w:rFonts w:eastAsiaTheme="minorHAnsi"/>
          <w:lang w:eastAsia="en-US"/>
        </w:rPr>
        <w:t>forward</w:t>
      </w:r>
      <w:proofErr w:type="spellEnd"/>
      <w:r w:rsidR="009A3829" w:rsidRPr="009A3829">
        <w:rPr>
          <w:rFonts w:eastAsiaTheme="minorHAnsi"/>
          <w:lang w:eastAsia="en-US"/>
        </w:rPr>
        <w:t xml:space="preserve"> </w:t>
      </w:r>
      <w:proofErr w:type="spellStart"/>
      <w:r w:rsidR="009A3829" w:rsidRPr="009A3829">
        <w:rPr>
          <w:rFonts w:eastAsiaTheme="minorHAnsi"/>
          <w:lang w:eastAsia="en-US"/>
        </w:rPr>
        <w:t>rate</w:t>
      </w:r>
      <w:proofErr w:type="spellEnd"/>
      <w:r w:rsidR="009A3829" w:rsidRPr="009A3829">
        <w:rPr>
          <w:rFonts w:eastAsiaTheme="minorHAnsi"/>
          <w:lang w:eastAsia="en-US"/>
        </w:rPr>
        <w:t>). Η προθεσμιακή</w:t>
      </w:r>
      <w:r w:rsidR="009A3829">
        <w:rPr>
          <w:rFonts w:eastAsiaTheme="minorHAnsi"/>
          <w:lang w:eastAsia="en-US"/>
        </w:rPr>
        <w:t xml:space="preserve"> </w:t>
      </w:r>
      <w:r w:rsidR="009A3829" w:rsidRPr="009A3829">
        <w:rPr>
          <w:rFonts w:eastAsiaTheme="minorHAnsi"/>
          <w:lang w:eastAsia="en-US"/>
        </w:rPr>
        <w:t>συναλλαγματική τιμή μπορεί να είναι είτ</w:t>
      </w:r>
      <w:r w:rsidR="009A3829">
        <w:rPr>
          <w:rFonts w:eastAsiaTheme="minorHAnsi"/>
          <w:lang w:eastAsia="en-US"/>
        </w:rPr>
        <w:t>ε μεγαλύτερη (</w:t>
      </w:r>
      <w:proofErr w:type="spellStart"/>
      <w:r w:rsidR="009A3829">
        <w:rPr>
          <w:rFonts w:eastAsiaTheme="minorHAnsi"/>
          <w:lang w:eastAsia="en-US"/>
        </w:rPr>
        <w:t>forward</w:t>
      </w:r>
      <w:proofErr w:type="spellEnd"/>
      <w:r w:rsidR="009A3829">
        <w:rPr>
          <w:rFonts w:eastAsiaTheme="minorHAnsi"/>
          <w:lang w:eastAsia="en-US"/>
        </w:rPr>
        <w:t xml:space="preserve"> </w:t>
      </w:r>
      <w:proofErr w:type="spellStart"/>
      <w:r w:rsidR="009A3829">
        <w:rPr>
          <w:rFonts w:eastAsiaTheme="minorHAnsi"/>
          <w:lang w:eastAsia="en-US"/>
        </w:rPr>
        <w:t>premium</w:t>
      </w:r>
      <w:proofErr w:type="spellEnd"/>
      <w:r w:rsidR="009A3829">
        <w:rPr>
          <w:rFonts w:eastAsiaTheme="minorHAnsi"/>
          <w:lang w:eastAsia="en-US"/>
        </w:rPr>
        <w:t xml:space="preserve">), </w:t>
      </w:r>
      <w:r w:rsidR="009A3829" w:rsidRPr="009A3829">
        <w:rPr>
          <w:rFonts w:eastAsiaTheme="minorHAnsi"/>
          <w:lang w:eastAsia="en-US"/>
        </w:rPr>
        <w:t>είτε μικρότερη (</w:t>
      </w:r>
      <w:proofErr w:type="spellStart"/>
      <w:r w:rsidR="009A3829" w:rsidRPr="009A3829">
        <w:rPr>
          <w:rFonts w:eastAsiaTheme="minorHAnsi"/>
          <w:lang w:eastAsia="en-US"/>
        </w:rPr>
        <w:t>forward</w:t>
      </w:r>
      <w:proofErr w:type="spellEnd"/>
      <w:r w:rsidR="009A3829" w:rsidRPr="009A3829">
        <w:rPr>
          <w:rFonts w:eastAsiaTheme="minorHAnsi"/>
          <w:lang w:eastAsia="en-US"/>
        </w:rPr>
        <w:t xml:space="preserve"> </w:t>
      </w:r>
      <w:proofErr w:type="spellStart"/>
      <w:r w:rsidR="009A3829" w:rsidRPr="009A3829">
        <w:rPr>
          <w:rFonts w:eastAsiaTheme="minorHAnsi"/>
          <w:lang w:eastAsia="en-US"/>
        </w:rPr>
        <w:t>discount</w:t>
      </w:r>
      <w:proofErr w:type="spellEnd"/>
      <w:r w:rsidR="009A3829" w:rsidRPr="009A3829">
        <w:rPr>
          <w:rFonts w:eastAsiaTheme="minorHAnsi"/>
          <w:lang w:eastAsia="en-US"/>
        </w:rPr>
        <w:t>) της τρέχουσας τιμής</w:t>
      </w:r>
      <w:r w:rsidR="009B73B7">
        <w:rPr>
          <w:rFonts w:eastAsiaTheme="minorHAnsi"/>
          <w:lang w:eastAsia="en-US"/>
        </w:rPr>
        <w:t xml:space="preserve"> συναλλάγματος</w:t>
      </w:r>
      <w:r w:rsidR="009A3829" w:rsidRPr="009A3829">
        <w:rPr>
          <w:rFonts w:eastAsiaTheme="minorHAnsi"/>
          <w:lang w:eastAsia="en-US"/>
        </w:rPr>
        <w:t>.</w:t>
      </w:r>
    </w:p>
    <w:p w:rsidR="009A3829" w:rsidRPr="009A3829" w:rsidRDefault="009A3829" w:rsidP="0058071D">
      <w:pPr>
        <w:spacing w:line="360" w:lineRule="auto"/>
        <w:ind w:firstLine="720"/>
        <w:jc w:val="both"/>
        <w:rPr>
          <w:rFonts w:eastAsiaTheme="minorHAnsi"/>
          <w:lang w:eastAsia="en-US"/>
        </w:rPr>
      </w:pPr>
      <w:r>
        <w:rPr>
          <w:rFonts w:eastAsiaTheme="minorHAnsi"/>
          <w:lang w:eastAsia="en-US"/>
        </w:rPr>
        <w:lastRenderedPageBreak/>
        <w:t>Η αγορά αυτή είναι ιδιαίτερα χρήσιμη για την κάλυψη του συναλλαγματικού κινδύνου από συναλλαγές του διεθνούς εμπορίου. Αυτό θ</w:t>
      </w:r>
      <w:r w:rsidR="00A77851">
        <w:rPr>
          <w:rFonts w:eastAsiaTheme="minorHAnsi"/>
          <w:lang w:eastAsia="en-US"/>
        </w:rPr>
        <w:t>α το καταλάβουμε καλύτερα αναλύο</w:t>
      </w:r>
      <w:r w:rsidR="009B73B7">
        <w:rPr>
          <w:rFonts w:eastAsiaTheme="minorHAnsi"/>
          <w:lang w:eastAsia="en-US"/>
        </w:rPr>
        <w:t xml:space="preserve">ντας το ακόλουθο παράδειγμα. </w:t>
      </w:r>
      <w:r w:rsidRPr="009A3829">
        <w:rPr>
          <w:rFonts w:eastAsiaTheme="minorHAnsi"/>
          <w:lang w:eastAsia="en-US"/>
        </w:rPr>
        <w:t>Ας υποθέσουμε ότι έχουμε έναν Έλληνα</w:t>
      </w:r>
      <w:r>
        <w:rPr>
          <w:rFonts w:eastAsiaTheme="minorHAnsi"/>
          <w:lang w:eastAsia="en-US"/>
        </w:rPr>
        <w:t xml:space="preserve"> </w:t>
      </w:r>
      <w:r w:rsidRPr="009A3829">
        <w:rPr>
          <w:rFonts w:eastAsiaTheme="minorHAnsi"/>
          <w:lang w:eastAsia="en-US"/>
        </w:rPr>
        <w:t xml:space="preserve">εισαγωγέα </w:t>
      </w:r>
      <w:r>
        <w:rPr>
          <w:rFonts w:eastAsiaTheme="minorHAnsi"/>
          <w:lang w:eastAsia="en-US"/>
        </w:rPr>
        <w:t>μηχανών από την Ιαπωνία</w:t>
      </w:r>
      <w:r w:rsidRPr="009A3829">
        <w:rPr>
          <w:rFonts w:eastAsiaTheme="minorHAnsi"/>
          <w:lang w:eastAsia="en-US"/>
        </w:rPr>
        <w:t>. Έστω ότι πρέπει να πληρώσει για την εισαγωγή</w:t>
      </w:r>
      <w:r>
        <w:rPr>
          <w:rFonts w:eastAsiaTheme="minorHAnsi"/>
          <w:lang w:eastAsia="en-US"/>
        </w:rPr>
        <w:t xml:space="preserve"> </w:t>
      </w:r>
      <w:r w:rsidRPr="009A3829">
        <w:rPr>
          <w:rFonts w:eastAsiaTheme="minorHAnsi"/>
          <w:lang w:eastAsia="en-US"/>
        </w:rPr>
        <w:t xml:space="preserve">των </w:t>
      </w:r>
      <w:r>
        <w:rPr>
          <w:rFonts w:eastAsiaTheme="minorHAnsi"/>
          <w:lang w:eastAsia="en-US"/>
        </w:rPr>
        <w:t>μηχανών</w:t>
      </w:r>
      <w:r w:rsidRPr="009A3829">
        <w:rPr>
          <w:rFonts w:eastAsiaTheme="minorHAnsi"/>
          <w:lang w:eastAsia="en-US"/>
        </w:rPr>
        <w:t xml:space="preserve"> 100.000</w:t>
      </w:r>
      <w:r>
        <w:rPr>
          <w:rFonts w:eastAsiaTheme="minorHAnsi"/>
          <w:lang w:eastAsia="en-US"/>
        </w:rPr>
        <w:t xml:space="preserve"> γιεν</w:t>
      </w:r>
      <w:r w:rsidRPr="009A3829">
        <w:rPr>
          <w:rFonts w:eastAsiaTheme="minorHAnsi"/>
          <w:lang w:eastAsia="en-US"/>
        </w:rPr>
        <w:t xml:space="preserve"> σε ένα μήνα από σήμερα. Ο εισαγωγέας έχει </w:t>
      </w:r>
      <w:r w:rsidR="00F23C6B">
        <w:rPr>
          <w:rFonts w:eastAsiaTheme="minorHAnsi"/>
          <w:lang w:eastAsia="en-US"/>
        </w:rPr>
        <w:t>τρείς</w:t>
      </w:r>
      <w:r w:rsidRPr="009A3829">
        <w:rPr>
          <w:rFonts w:eastAsiaTheme="minorHAnsi"/>
          <w:lang w:eastAsia="en-US"/>
        </w:rPr>
        <w:t xml:space="preserve"> επιλογές:</w:t>
      </w:r>
    </w:p>
    <w:p w:rsidR="00F23C6B" w:rsidRDefault="00F23C6B" w:rsidP="000B242A">
      <w:pPr>
        <w:pStyle w:val="ae"/>
        <w:numPr>
          <w:ilvl w:val="0"/>
          <w:numId w:val="2"/>
        </w:numPr>
        <w:spacing w:line="360" w:lineRule="auto"/>
        <w:jc w:val="both"/>
        <w:rPr>
          <w:rFonts w:eastAsiaTheme="minorHAnsi"/>
          <w:lang w:eastAsia="en-US"/>
        </w:rPr>
      </w:pPr>
      <w:r>
        <w:rPr>
          <w:rFonts w:eastAsiaTheme="minorHAnsi"/>
          <w:lang w:eastAsia="en-US"/>
        </w:rPr>
        <w:t>Να μετατρέψει τα ευρώ σε γιεν στην τρέχουσα ισοτιμία και να περιμένει ένα μήνα. Έτσι όμως δεσμεύει τα χρήματα που θα μπορούσε να τα χρησιμοποιήσει αλλού.</w:t>
      </w:r>
    </w:p>
    <w:p w:rsidR="009A3829" w:rsidRPr="009B2003" w:rsidRDefault="009A3829" w:rsidP="000B242A">
      <w:pPr>
        <w:pStyle w:val="ae"/>
        <w:numPr>
          <w:ilvl w:val="0"/>
          <w:numId w:val="2"/>
        </w:numPr>
        <w:spacing w:line="360" w:lineRule="auto"/>
        <w:jc w:val="both"/>
        <w:rPr>
          <w:rFonts w:eastAsiaTheme="minorHAnsi"/>
          <w:lang w:eastAsia="en-US"/>
        </w:rPr>
      </w:pPr>
      <w:r w:rsidRPr="009B2003">
        <w:rPr>
          <w:rFonts w:eastAsiaTheme="minorHAnsi"/>
          <w:lang w:eastAsia="en-US"/>
        </w:rPr>
        <w:t>Να περιμένει ένα μήνα και μετά να αγοράσει γιεν για να πληρώσει τις μηχανές. Όμως το μειονέκτημα αυτής της επιλογής είναι ότι η συναλλαγματική ισοτιμία μπορεί να αλλάξει προς το χειρότερο και να</w:t>
      </w:r>
      <w:r w:rsidR="009B2003" w:rsidRPr="009B2003">
        <w:rPr>
          <w:rFonts w:eastAsiaTheme="minorHAnsi"/>
          <w:lang w:eastAsia="en-US"/>
        </w:rPr>
        <w:t xml:space="preserve"> χάσει κάποιο ποσό. Αν για παράδειγμα υποτιμηθεί το Ευρώ </w:t>
      </w:r>
      <w:r w:rsidR="009B2003">
        <w:rPr>
          <w:rFonts w:eastAsiaTheme="minorHAnsi"/>
          <w:lang w:eastAsia="en-US"/>
        </w:rPr>
        <w:t>έ</w:t>
      </w:r>
      <w:r w:rsidR="009B2003" w:rsidRPr="009B2003">
        <w:rPr>
          <w:rFonts w:eastAsiaTheme="minorHAnsi"/>
          <w:lang w:eastAsia="en-US"/>
        </w:rPr>
        <w:t>ναντι του γιέν θα χρειάζεται περισσότερα ευρώ για να αγοράσει το σταθερό ποσό γιέν που χρειάζεται.</w:t>
      </w:r>
    </w:p>
    <w:p w:rsidR="009A3829" w:rsidRPr="009B2003" w:rsidRDefault="009A3829" w:rsidP="000B242A">
      <w:pPr>
        <w:pStyle w:val="ae"/>
        <w:numPr>
          <w:ilvl w:val="0"/>
          <w:numId w:val="2"/>
        </w:numPr>
        <w:spacing w:line="360" w:lineRule="auto"/>
        <w:jc w:val="both"/>
        <w:rPr>
          <w:rFonts w:eastAsiaTheme="minorHAnsi"/>
          <w:lang w:eastAsia="en-US"/>
        </w:rPr>
      </w:pPr>
      <w:r w:rsidRPr="009B2003">
        <w:rPr>
          <w:rFonts w:eastAsiaTheme="minorHAnsi"/>
          <w:lang w:eastAsia="en-US"/>
        </w:rPr>
        <w:t>Να χρησιμοποιήσει την προθεσμιακή αγορά</w:t>
      </w:r>
      <w:r w:rsidR="009B2003" w:rsidRPr="009B2003">
        <w:rPr>
          <w:rFonts w:eastAsiaTheme="minorHAnsi"/>
          <w:lang w:eastAsia="en-US"/>
        </w:rPr>
        <w:t xml:space="preserve"> και ν</w:t>
      </w:r>
      <w:r w:rsidRPr="009B2003">
        <w:rPr>
          <w:rFonts w:eastAsiaTheme="minorHAnsi"/>
          <w:lang w:eastAsia="en-US"/>
        </w:rPr>
        <w:t>α αγοράσει ένα</w:t>
      </w:r>
      <w:r w:rsidR="009B2003" w:rsidRPr="009B2003">
        <w:rPr>
          <w:rFonts w:eastAsiaTheme="minorHAnsi"/>
          <w:lang w:eastAsia="en-US"/>
        </w:rPr>
        <w:t xml:space="preserve"> </w:t>
      </w:r>
      <w:r w:rsidRPr="009B2003">
        <w:rPr>
          <w:rFonts w:eastAsiaTheme="minorHAnsi"/>
          <w:lang w:eastAsia="en-US"/>
        </w:rPr>
        <w:t xml:space="preserve">προθεσμιακό συμβόλαιο </w:t>
      </w:r>
      <w:r w:rsidR="00510059">
        <w:rPr>
          <w:rFonts w:eastAsiaTheme="minorHAnsi"/>
          <w:lang w:eastAsia="en-US"/>
        </w:rPr>
        <w:t>του γιεν</w:t>
      </w:r>
      <w:r w:rsidRPr="009B2003">
        <w:rPr>
          <w:rFonts w:eastAsiaTheme="minorHAnsi"/>
          <w:lang w:eastAsia="en-US"/>
        </w:rPr>
        <w:t>, στα πλαίσια του οποίου</w:t>
      </w:r>
      <w:r w:rsidR="009B2003" w:rsidRPr="009B2003">
        <w:rPr>
          <w:rFonts w:eastAsiaTheme="minorHAnsi"/>
          <w:lang w:eastAsia="en-US"/>
        </w:rPr>
        <w:t xml:space="preserve"> </w:t>
      </w:r>
      <w:r w:rsidRPr="009B2003">
        <w:rPr>
          <w:rFonts w:eastAsiaTheme="minorHAnsi"/>
          <w:lang w:eastAsia="en-US"/>
        </w:rPr>
        <w:t>αναλαμβάνει την υπο</w:t>
      </w:r>
      <w:r w:rsidR="009B2003" w:rsidRPr="009B2003">
        <w:rPr>
          <w:rFonts w:eastAsiaTheme="minorHAnsi"/>
          <w:lang w:eastAsia="en-US"/>
        </w:rPr>
        <w:t xml:space="preserve">χρέωση να αγοράσει σε ένα μήνα </w:t>
      </w:r>
      <w:r w:rsidRPr="009B2003">
        <w:rPr>
          <w:rFonts w:eastAsiaTheme="minorHAnsi"/>
          <w:lang w:eastAsia="en-US"/>
        </w:rPr>
        <w:t xml:space="preserve">100.000 </w:t>
      </w:r>
      <w:r w:rsidR="009B2003" w:rsidRPr="009B2003">
        <w:rPr>
          <w:rFonts w:eastAsiaTheme="minorHAnsi"/>
          <w:lang w:eastAsia="en-US"/>
        </w:rPr>
        <w:t xml:space="preserve">γιέν </w:t>
      </w:r>
      <w:r w:rsidRPr="009B2003">
        <w:rPr>
          <w:rFonts w:eastAsiaTheme="minorHAnsi"/>
          <w:lang w:eastAsia="en-US"/>
        </w:rPr>
        <w:t>έναντι</w:t>
      </w:r>
      <w:r w:rsidR="009B2003" w:rsidRPr="009B2003">
        <w:rPr>
          <w:rFonts w:eastAsiaTheme="minorHAnsi"/>
          <w:lang w:eastAsia="en-US"/>
        </w:rPr>
        <w:t xml:space="preserve"> </w:t>
      </w:r>
      <w:r w:rsidRPr="009B2003">
        <w:rPr>
          <w:rFonts w:eastAsiaTheme="minorHAnsi"/>
          <w:lang w:eastAsia="en-US"/>
        </w:rPr>
        <w:t>ευρώ σε μια προκαθορισμένη προθεσμιακή τιμή (</w:t>
      </w:r>
      <w:r w:rsidR="00510059">
        <w:rPr>
          <w:rFonts w:eastAsiaTheme="minorHAnsi"/>
          <w:lang w:val="en-US" w:eastAsia="en-US"/>
        </w:rPr>
        <w:t>F</w:t>
      </w:r>
      <w:r w:rsidRPr="009B2003">
        <w:rPr>
          <w:rFonts w:eastAsiaTheme="minorHAnsi"/>
          <w:lang w:eastAsia="en-US"/>
        </w:rPr>
        <w:t>).</w:t>
      </w:r>
      <w:r w:rsidR="009B2003">
        <w:rPr>
          <w:rFonts w:eastAsiaTheme="minorHAnsi"/>
          <w:lang w:eastAsia="en-US"/>
        </w:rPr>
        <w:t xml:space="preserve"> Οπότε κλειδώνει από σήμερα την ισοτιμία που θα αλλάξει τα νομίσματα</w:t>
      </w:r>
      <w:r w:rsidR="00F23C6B">
        <w:rPr>
          <w:rFonts w:eastAsiaTheme="minorHAnsi"/>
          <w:lang w:eastAsia="en-US"/>
        </w:rPr>
        <w:t xml:space="preserve"> χωρίς να διατρέχει συναλλαγματικό κίνδυνο, και ταυτόχρονα έχει στην διάθεση του τα ευρώ που χρειάζεται για τις συναλλαγές του.</w:t>
      </w:r>
    </w:p>
    <w:p w:rsidR="004833ED" w:rsidRDefault="00F23C6B" w:rsidP="0058071D">
      <w:pPr>
        <w:spacing w:line="360" w:lineRule="auto"/>
        <w:ind w:firstLine="720"/>
        <w:jc w:val="both"/>
      </w:pPr>
      <w:r>
        <w:rPr>
          <w:rFonts w:eastAsiaTheme="minorHAnsi"/>
          <w:lang w:eastAsia="en-US"/>
        </w:rPr>
        <w:t>Ο</w:t>
      </w:r>
      <w:r w:rsidR="009A3829" w:rsidRPr="009A3829">
        <w:rPr>
          <w:rFonts w:eastAsiaTheme="minorHAnsi"/>
          <w:lang w:eastAsia="en-US"/>
        </w:rPr>
        <w:t>ι προθεσμιακές τιμές</w:t>
      </w:r>
      <w:r w:rsidR="004833ED">
        <w:rPr>
          <w:rFonts w:eastAsiaTheme="minorHAnsi"/>
          <w:lang w:eastAsia="en-US"/>
        </w:rPr>
        <w:t xml:space="preserve"> (</w:t>
      </w:r>
      <w:r w:rsidR="004833ED">
        <w:rPr>
          <w:rFonts w:eastAsiaTheme="minorHAnsi"/>
          <w:lang w:val="en-US" w:eastAsia="en-US"/>
        </w:rPr>
        <w:t>F</w:t>
      </w:r>
      <w:r w:rsidR="004833ED">
        <w:rPr>
          <w:rFonts w:eastAsiaTheme="minorHAnsi"/>
          <w:lang w:eastAsia="en-US"/>
        </w:rPr>
        <w:t>)</w:t>
      </w:r>
      <w:r w:rsidR="009A3829" w:rsidRPr="009A3829">
        <w:rPr>
          <w:rFonts w:eastAsiaTheme="minorHAnsi"/>
          <w:lang w:eastAsia="en-US"/>
        </w:rPr>
        <w:t xml:space="preserve"> συνήθως εκφράζονται ως</w:t>
      </w:r>
      <w:r>
        <w:rPr>
          <w:rFonts w:eastAsiaTheme="minorHAnsi"/>
          <w:lang w:eastAsia="en-US"/>
        </w:rPr>
        <w:t xml:space="preserve"> </w:t>
      </w:r>
      <w:r w:rsidR="009A3829" w:rsidRPr="009A3829">
        <w:rPr>
          <w:rFonts w:eastAsiaTheme="minorHAnsi"/>
          <w:lang w:eastAsia="en-US"/>
        </w:rPr>
        <w:t>ποσοστιαίες αποκλίσεις από την τρέχουσα τιμή</w:t>
      </w:r>
      <w:r w:rsidR="004833ED" w:rsidRPr="004833ED">
        <w:rPr>
          <w:rFonts w:eastAsiaTheme="minorHAnsi"/>
          <w:lang w:eastAsia="en-US"/>
        </w:rPr>
        <w:t xml:space="preserve"> (</w:t>
      </w:r>
      <w:r w:rsidR="004833ED">
        <w:rPr>
          <w:rFonts w:eastAsiaTheme="minorHAnsi"/>
          <w:lang w:val="en-US" w:eastAsia="en-US"/>
        </w:rPr>
        <w:t>S</w:t>
      </w:r>
      <w:r w:rsidR="004833ED" w:rsidRPr="004833ED">
        <w:rPr>
          <w:rFonts w:eastAsiaTheme="minorHAnsi"/>
          <w:lang w:eastAsia="en-US"/>
        </w:rPr>
        <w:t>)</w:t>
      </w:r>
      <w:r w:rsidR="009A3829" w:rsidRPr="009A3829">
        <w:rPr>
          <w:rFonts w:eastAsiaTheme="minorHAnsi"/>
          <w:lang w:eastAsia="en-US"/>
        </w:rPr>
        <w:t xml:space="preserve"> και </w:t>
      </w:r>
      <w:r>
        <w:rPr>
          <w:rFonts w:eastAsiaTheme="minorHAnsi"/>
          <w:lang w:eastAsia="en-US"/>
        </w:rPr>
        <w:t xml:space="preserve">είναι εκφρασμένες </w:t>
      </w:r>
      <w:r w:rsidR="009A3829" w:rsidRPr="009A3829">
        <w:rPr>
          <w:rFonts w:eastAsiaTheme="minorHAnsi"/>
          <w:lang w:eastAsia="en-US"/>
        </w:rPr>
        <w:t xml:space="preserve">σε ετήσια βάση. </w:t>
      </w:r>
      <w:r w:rsidR="004833ED">
        <w:t xml:space="preserve">Αυτή </w:t>
      </w:r>
      <w:r w:rsidR="00494385">
        <w:t xml:space="preserve">η </w:t>
      </w:r>
      <w:r w:rsidR="004833ED">
        <w:t>απόκλιση αναφέρεται συχνά στην βιβλιογραφία ως προθεσμιακό πριμ όταν είναι θετική</w:t>
      </w:r>
      <w:r w:rsidR="00510059">
        <w:t xml:space="preserve"> </w:t>
      </w:r>
      <w:r w:rsidR="00494385" w:rsidRPr="00494385">
        <w:t>(</w:t>
      </w:r>
      <w:proofErr w:type="spellStart"/>
      <w:r w:rsidR="00510059">
        <w:t>forward</w:t>
      </w:r>
      <w:proofErr w:type="spellEnd"/>
      <w:r w:rsidR="00510059">
        <w:t xml:space="preserve"> </w:t>
      </w:r>
      <w:proofErr w:type="spellStart"/>
      <w:r w:rsidR="00510059">
        <w:t>premium</w:t>
      </w:r>
      <w:proofErr w:type="spellEnd"/>
      <w:r w:rsidR="004833ED" w:rsidRPr="004833ED">
        <w:t xml:space="preserve">) </w:t>
      </w:r>
      <w:r w:rsidR="004833ED">
        <w:t>ή προθεσμια</w:t>
      </w:r>
      <w:r w:rsidR="00494385">
        <w:t>κή έκπτωση όταν είναι αρνητική</w:t>
      </w:r>
      <w:r w:rsidR="00494385" w:rsidRPr="00494385">
        <w:t xml:space="preserve"> (</w:t>
      </w:r>
      <w:proofErr w:type="spellStart"/>
      <w:r w:rsidR="00510059">
        <w:t>forward</w:t>
      </w:r>
      <w:proofErr w:type="spellEnd"/>
      <w:r w:rsidR="00510059">
        <w:t xml:space="preserve"> </w:t>
      </w:r>
      <w:proofErr w:type="spellStart"/>
      <w:r w:rsidR="00510059">
        <w:t>discount</w:t>
      </w:r>
      <w:proofErr w:type="spellEnd"/>
      <w:r w:rsidR="00510059">
        <w:t>)</w:t>
      </w:r>
      <w:r w:rsidR="00494385" w:rsidRPr="00494385">
        <w:t>,</w:t>
      </w:r>
      <w:r w:rsidR="00510059">
        <w:t xml:space="preserve"> κα</w:t>
      </w:r>
      <w:r w:rsidR="00494385">
        <w:t>ι</w:t>
      </w:r>
      <w:r w:rsidR="00510059">
        <w:t xml:space="preserve"> υπολογίζεται ως: </w:t>
      </w:r>
    </w:p>
    <w:p w:rsidR="004833ED" w:rsidRPr="004833ED" w:rsidRDefault="004833ED" w:rsidP="004833ED">
      <w:pPr>
        <w:ind w:firstLine="720"/>
        <w:jc w:val="both"/>
        <w:rPr>
          <w:rFonts w:eastAsiaTheme="minorHAnsi"/>
          <w:lang w:eastAsia="en-US"/>
        </w:rPr>
      </w:pPr>
    </w:p>
    <w:p w:rsidR="00F23C6B" w:rsidRPr="004833ED" w:rsidRDefault="00EA318F" w:rsidP="009A3829">
      <w:pPr>
        <w:spacing w:line="360" w:lineRule="auto"/>
        <w:ind w:firstLine="284"/>
        <w:jc w:val="both"/>
        <w:rPr>
          <w:rFonts w:eastAsiaTheme="minorHAnsi"/>
          <w:i/>
          <w:lang w:val="en-US" w:eastAsia="en-US"/>
        </w:rPr>
      </w:pPr>
      <m:oMathPara>
        <m:oMath>
          <m:f>
            <m:fPr>
              <m:ctrlPr>
                <w:rPr>
                  <w:rFonts w:ascii="Cambria Math" w:eastAsiaTheme="minorHAnsi" w:hAnsi="Cambria Math"/>
                  <w:i/>
                  <w:lang w:val="en-US" w:eastAsia="en-US"/>
                </w:rPr>
              </m:ctrlPr>
            </m:fPr>
            <m:num>
              <m:r>
                <w:rPr>
                  <w:rFonts w:ascii="Cambria Math" w:eastAsiaTheme="minorHAnsi" w:hAnsi="Cambria Math"/>
                  <w:lang w:val="en-US" w:eastAsia="en-US"/>
                </w:rPr>
                <m:t>F</m:t>
              </m:r>
              <m:r>
                <w:rPr>
                  <w:rFonts w:ascii="Cambria Math" w:eastAsiaTheme="minorHAnsi" w:hAnsi="Cambria Math"/>
                  <w:lang w:eastAsia="en-US"/>
                </w:rPr>
                <m:t>-S</m:t>
              </m:r>
            </m:num>
            <m:den>
              <m:r>
                <w:rPr>
                  <w:rFonts w:ascii="Cambria Math" w:eastAsiaTheme="minorHAnsi" w:hAnsi="Cambria Math"/>
                  <w:lang w:val="en-US" w:eastAsia="en-US"/>
                </w:rPr>
                <m:t>S</m:t>
              </m:r>
            </m:den>
          </m:f>
          <m:r>
            <w:rPr>
              <w:rFonts w:ascii="Cambria Math" w:eastAsiaTheme="minorHAnsi" w:hAnsi="Cambria Math"/>
              <w:lang w:val="en-US" w:eastAsia="en-US"/>
            </w:rPr>
            <m:t>×</m:t>
          </m:r>
          <m:f>
            <m:fPr>
              <m:ctrlPr>
                <w:rPr>
                  <w:rFonts w:ascii="Cambria Math" w:eastAsiaTheme="minorHAnsi" w:hAnsi="Cambria Math"/>
                  <w:i/>
                  <w:lang w:val="en-US" w:eastAsia="en-US"/>
                </w:rPr>
              </m:ctrlPr>
            </m:fPr>
            <m:num>
              <m:r>
                <w:rPr>
                  <w:rFonts w:ascii="Cambria Math" w:eastAsiaTheme="minorHAnsi" w:hAnsi="Cambria Math"/>
                  <w:lang w:val="en-US" w:eastAsia="en-US"/>
                </w:rPr>
                <m:t>360</m:t>
              </m:r>
            </m:num>
            <m:den>
              <m:r>
                <w:rPr>
                  <w:rFonts w:ascii="Cambria Math" w:eastAsiaTheme="minorHAnsi" w:hAnsi="Cambria Math"/>
                  <w:lang w:val="en-US" w:eastAsia="en-US"/>
                </w:rPr>
                <m:t>t</m:t>
              </m:r>
            </m:den>
          </m:f>
          <m:r>
            <w:rPr>
              <w:rFonts w:ascii="Cambria Math" w:eastAsiaTheme="minorHAnsi" w:hAnsi="Cambria Math"/>
              <w:lang w:val="en-US" w:eastAsia="en-US"/>
            </w:rPr>
            <m:t>×100</m:t>
          </m:r>
        </m:oMath>
      </m:oMathPara>
    </w:p>
    <w:p w:rsidR="005A2C5B" w:rsidRPr="005A2C5B" w:rsidRDefault="005A2C5B" w:rsidP="005A2C5B"/>
    <w:p w:rsidR="00ED7070" w:rsidRDefault="0000705C" w:rsidP="009F6F3B">
      <w:pPr>
        <w:pStyle w:val="2"/>
        <w:spacing w:before="0" w:after="0" w:line="360" w:lineRule="auto"/>
        <w:jc w:val="both"/>
        <w:rPr>
          <w:rFonts w:ascii="Times New Roman" w:hAnsi="Times New Roman" w:cs="Times New Roman"/>
          <w:i w:val="0"/>
        </w:rPr>
      </w:pPr>
      <w:bookmarkStart w:id="12" w:name="_Toc395803092"/>
      <w:bookmarkStart w:id="13" w:name="_Toc396220900"/>
      <w:r>
        <w:rPr>
          <w:rFonts w:ascii="Times New Roman" w:hAnsi="Times New Roman" w:cs="Times New Roman"/>
          <w:i w:val="0"/>
        </w:rPr>
        <w:lastRenderedPageBreak/>
        <w:t>7</w:t>
      </w:r>
      <w:r w:rsidR="009F6F3B">
        <w:rPr>
          <w:rFonts w:ascii="Times New Roman" w:hAnsi="Times New Roman" w:cs="Times New Roman"/>
          <w:i w:val="0"/>
        </w:rPr>
        <w:t xml:space="preserve">.2 </w:t>
      </w:r>
      <w:r w:rsidR="00ED7070">
        <w:rPr>
          <w:rFonts w:ascii="Times New Roman" w:hAnsi="Times New Roman" w:cs="Times New Roman"/>
          <w:i w:val="0"/>
        </w:rPr>
        <w:t>Το ισοζύγιο πληρωμών</w:t>
      </w:r>
      <w:bookmarkEnd w:id="12"/>
      <w:bookmarkEnd w:id="13"/>
    </w:p>
    <w:p w:rsidR="00242FFD" w:rsidRPr="00C5534A" w:rsidRDefault="00242FFD" w:rsidP="00C5534A">
      <w:pPr>
        <w:spacing w:line="360" w:lineRule="auto"/>
        <w:ind w:firstLine="720"/>
        <w:contextualSpacing/>
        <w:jc w:val="both"/>
        <w:rPr>
          <w:rFonts w:eastAsia="Calibri"/>
          <w:lang w:eastAsia="en-US"/>
        </w:rPr>
      </w:pPr>
      <w:r w:rsidRPr="00242FFD">
        <w:t xml:space="preserve"> </w:t>
      </w:r>
      <w:r w:rsidRPr="00C5534A">
        <w:rPr>
          <w:rFonts w:eastAsia="Calibri"/>
          <w:lang w:eastAsia="en-US"/>
        </w:rPr>
        <w:t>Στο Ισοζύγιο Πληρωμών (</w:t>
      </w:r>
      <w:proofErr w:type="spellStart"/>
      <w:r w:rsidRPr="00C5534A">
        <w:rPr>
          <w:rFonts w:eastAsia="Calibri"/>
          <w:lang w:eastAsia="en-US"/>
        </w:rPr>
        <w:t>balance</w:t>
      </w:r>
      <w:proofErr w:type="spellEnd"/>
      <w:r w:rsidRPr="00C5534A">
        <w:rPr>
          <w:rFonts w:eastAsia="Calibri"/>
          <w:lang w:eastAsia="en-US"/>
        </w:rPr>
        <w:t xml:space="preserve"> </w:t>
      </w:r>
      <w:proofErr w:type="spellStart"/>
      <w:r w:rsidRPr="00C5534A">
        <w:rPr>
          <w:rFonts w:eastAsia="Calibri"/>
          <w:lang w:eastAsia="en-US"/>
        </w:rPr>
        <w:t>of</w:t>
      </w:r>
      <w:proofErr w:type="spellEnd"/>
      <w:r w:rsidRPr="00C5534A">
        <w:rPr>
          <w:rFonts w:eastAsia="Calibri"/>
          <w:lang w:eastAsia="en-US"/>
        </w:rPr>
        <w:t xml:space="preserve"> </w:t>
      </w:r>
      <w:proofErr w:type="spellStart"/>
      <w:r w:rsidRPr="00C5534A">
        <w:rPr>
          <w:rFonts w:eastAsia="Calibri"/>
          <w:lang w:eastAsia="en-US"/>
        </w:rPr>
        <w:t>payments</w:t>
      </w:r>
      <w:proofErr w:type="spellEnd"/>
      <w:r w:rsidRPr="00C5534A">
        <w:rPr>
          <w:rFonts w:eastAsia="Calibri"/>
          <w:lang w:eastAsia="en-US"/>
        </w:rPr>
        <w:t>) καταγράφονται όλες οι οικονομικές συναλλαγές μεταξύ κατοίκων μίας χώρας και του υπόλοιπου κόσμου γι</w:t>
      </w:r>
      <w:r w:rsidR="003B35E9">
        <w:rPr>
          <w:rFonts w:eastAsia="Calibri"/>
          <w:lang w:eastAsia="en-US"/>
        </w:rPr>
        <w:t xml:space="preserve">α μια δεδομένη χρονική περίοδο. Η χρονική περίοδος </w:t>
      </w:r>
      <w:r w:rsidRPr="00C5534A">
        <w:rPr>
          <w:rFonts w:eastAsia="Calibri"/>
          <w:lang w:eastAsia="en-US"/>
        </w:rPr>
        <w:t xml:space="preserve">συνήθως </w:t>
      </w:r>
      <w:r w:rsidR="003B35E9">
        <w:rPr>
          <w:rFonts w:eastAsia="Calibri"/>
          <w:lang w:eastAsia="en-US"/>
        </w:rPr>
        <w:t>είναι το ένα έτος</w:t>
      </w:r>
      <w:r w:rsidRPr="00C5534A">
        <w:rPr>
          <w:rFonts w:eastAsia="Calibri"/>
          <w:lang w:eastAsia="en-US"/>
        </w:rPr>
        <w:t xml:space="preserve">. </w:t>
      </w:r>
      <w:r w:rsidR="00A36A80" w:rsidRPr="003A347E">
        <w:t>Το ισοζύγιο πληρωμών παίζει καθοριστικό ρολό για την οικονομία</w:t>
      </w:r>
      <w:r w:rsidR="00A36A80">
        <w:t xml:space="preserve"> μί</w:t>
      </w:r>
      <w:r w:rsidR="00A36A80" w:rsidRPr="003A347E">
        <w:t>ας χώρας διότι διαμορφώνει το εθνικό εισόδημα και την εθνική δαπάνη αλλά και απεικονίζει την θέση της στη διεθνή κατάταξη.</w:t>
      </w:r>
      <w:r w:rsidR="00A36A80" w:rsidRPr="00A36A80">
        <w:t xml:space="preserve"> </w:t>
      </w:r>
      <w:r w:rsidR="003B35E9">
        <w:rPr>
          <w:rFonts w:eastAsia="Calibri"/>
          <w:lang w:eastAsia="en-US"/>
        </w:rPr>
        <w:t xml:space="preserve">Παρέχονται </w:t>
      </w:r>
      <w:r w:rsidRPr="00C5534A">
        <w:rPr>
          <w:rFonts w:eastAsia="Calibri"/>
          <w:lang w:eastAsia="en-US"/>
        </w:rPr>
        <w:t xml:space="preserve">πληροφορίες για τις εξαγωγές/εισαγωγές αγαθών και υπηρεσιών και για το εάν μια χώρα δανείζει/δανείζεται από τον υπόλοιπο κόσμο. Επιπρόσθετα </w:t>
      </w:r>
      <w:r w:rsidR="003B35E9">
        <w:rPr>
          <w:rFonts w:eastAsia="Calibri"/>
          <w:lang w:eastAsia="en-US"/>
        </w:rPr>
        <w:t>δίνει</w:t>
      </w:r>
      <w:r w:rsidR="00C5534A">
        <w:rPr>
          <w:rFonts w:eastAsia="Calibri"/>
          <w:lang w:eastAsia="en-US"/>
        </w:rPr>
        <w:t xml:space="preserve"> πληροφ</w:t>
      </w:r>
      <w:r w:rsidR="003B35E9">
        <w:rPr>
          <w:rFonts w:eastAsia="Calibri"/>
          <w:lang w:eastAsia="en-US"/>
        </w:rPr>
        <w:t xml:space="preserve">ορίες </w:t>
      </w:r>
      <w:r w:rsidR="00C5534A">
        <w:rPr>
          <w:rFonts w:eastAsia="Calibri"/>
          <w:lang w:eastAsia="en-US"/>
        </w:rPr>
        <w:t>για το εάν η κεντρική τ</w:t>
      </w:r>
      <w:r w:rsidRPr="00C5534A">
        <w:rPr>
          <w:rFonts w:eastAsia="Calibri"/>
          <w:lang w:eastAsia="en-US"/>
        </w:rPr>
        <w:t xml:space="preserve">ράπεζα αυξάνει ή μειώνει τα διαθέσιμά της σε ξένο νόμισμα. </w:t>
      </w:r>
      <w:r w:rsidR="003B35E9">
        <w:rPr>
          <w:rFonts w:eastAsia="Calibri"/>
          <w:lang w:eastAsia="en-US"/>
        </w:rPr>
        <w:t>Παρόλο που δεν υπάρχει κοινή μέθοδος καταγραφής για όλες τις χώρες το</w:t>
      </w:r>
      <w:r w:rsidRPr="00C5534A">
        <w:rPr>
          <w:rFonts w:eastAsia="Calibri"/>
          <w:lang w:eastAsia="en-US"/>
        </w:rPr>
        <w:t xml:space="preserve"> ΔΝΤ προσπαθεί να εναρμονίσει την παρουσίαση του Ισοζυγίου Πληρωμών μέσω των οδηγιών που παρέχει</w:t>
      </w:r>
      <w:r w:rsidR="003B35E9">
        <w:rPr>
          <w:rFonts w:eastAsia="Calibri"/>
          <w:lang w:eastAsia="en-US"/>
        </w:rPr>
        <w:t xml:space="preserve"> στις εκδόσεις του (</w:t>
      </w:r>
      <w:r w:rsidRPr="003B35E9">
        <w:rPr>
          <w:rFonts w:eastAsia="Calibri"/>
          <w:lang w:val="en-US" w:eastAsia="en-US"/>
        </w:rPr>
        <w:t>The</w:t>
      </w:r>
      <w:r w:rsidRPr="003B35E9">
        <w:rPr>
          <w:rFonts w:eastAsia="Calibri"/>
          <w:lang w:eastAsia="en-US"/>
        </w:rPr>
        <w:t xml:space="preserve"> </w:t>
      </w:r>
      <w:r w:rsidRPr="003B35E9">
        <w:rPr>
          <w:rFonts w:eastAsia="Calibri"/>
          <w:lang w:val="en-US" w:eastAsia="en-US"/>
        </w:rPr>
        <w:t>Balance</w:t>
      </w:r>
      <w:r w:rsidRPr="003B35E9">
        <w:rPr>
          <w:rFonts w:eastAsia="Calibri"/>
          <w:lang w:eastAsia="en-US"/>
        </w:rPr>
        <w:t xml:space="preserve"> </w:t>
      </w:r>
      <w:r w:rsidRPr="003B35E9">
        <w:rPr>
          <w:rFonts w:eastAsia="Calibri"/>
          <w:lang w:val="en-US" w:eastAsia="en-US"/>
        </w:rPr>
        <w:t>of</w:t>
      </w:r>
      <w:r w:rsidRPr="003B35E9">
        <w:rPr>
          <w:rFonts w:eastAsia="Calibri"/>
          <w:lang w:eastAsia="en-US"/>
        </w:rPr>
        <w:t xml:space="preserve"> </w:t>
      </w:r>
      <w:r w:rsidRPr="003B35E9">
        <w:rPr>
          <w:rFonts w:eastAsia="Calibri"/>
          <w:lang w:val="en-US" w:eastAsia="en-US"/>
        </w:rPr>
        <w:t>Payments</w:t>
      </w:r>
      <w:r w:rsidRPr="003B35E9">
        <w:rPr>
          <w:rFonts w:eastAsia="Calibri"/>
          <w:lang w:eastAsia="en-US"/>
        </w:rPr>
        <w:t xml:space="preserve"> </w:t>
      </w:r>
      <w:r w:rsidRPr="003B35E9">
        <w:rPr>
          <w:rFonts w:eastAsia="Calibri"/>
          <w:lang w:val="en-US" w:eastAsia="en-US"/>
        </w:rPr>
        <w:t>Statistics</w:t>
      </w:r>
      <w:r w:rsidRPr="003B35E9">
        <w:rPr>
          <w:rFonts w:eastAsia="Calibri"/>
          <w:lang w:eastAsia="en-US"/>
        </w:rPr>
        <w:t xml:space="preserve"> </w:t>
      </w:r>
      <w:r w:rsidRPr="003B35E9">
        <w:rPr>
          <w:rFonts w:eastAsia="Calibri"/>
          <w:lang w:val="en-US" w:eastAsia="en-US"/>
        </w:rPr>
        <w:t>Yearbook</w:t>
      </w:r>
      <w:r w:rsidR="003B35E9">
        <w:rPr>
          <w:rFonts w:eastAsia="Calibri"/>
          <w:lang w:eastAsia="en-US"/>
        </w:rPr>
        <w:t xml:space="preserve"> και </w:t>
      </w:r>
      <w:proofErr w:type="spellStart"/>
      <w:r w:rsidRPr="00C5534A">
        <w:rPr>
          <w:rFonts w:eastAsia="Calibri"/>
          <w:lang w:eastAsia="en-US"/>
        </w:rPr>
        <w:t>International</w:t>
      </w:r>
      <w:proofErr w:type="spellEnd"/>
      <w:r w:rsidRPr="00C5534A">
        <w:rPr>
          <w:rFonts w:eastAsia="Calibri"/>
          <w:lang w:eastAsia="en-US"/>
        </w:rPr>
        <w:t xml:space="preserve"> </w:t>
      </w:r>
      <w:proofErr w:type="spellStart"/>
      <w:r w:rsidRPr="00C5534A">
        <w:rPr>
          <w:rFonts w:eastAsia="Calibri"/>
          <w:lang w:eastAsia="en-US"/>
        </w:rPr>
        <w:t>Financial</w:t>
      </w:r>
      <w:proofErr w:type="spellEnd"/>
      <w:r w:rsidRPr="00C5534A">
        <w:rPr>
          <w:rFonts w:eastAsia="Calibri"/>
          <w:lang w:eastAsia="en-US"/>
        </w:rPr>
        <w:t xml:space="preserve"> </w:t>
      </w:r>
      <w:proofErr w:type="spellStart"/>
      <w:r w:rsidRPr="00C5534A">
        <w:rPr>
          <w:rFonts w:eastAsia="Calibri"/>
          <w:lang w:eastAsia="en-US"/>
        </w:rPr>
        <w:t>Statistics</w:t>
      </w:r>
      <w:proofErr w:type="spellEnd"/>
      <w:r w:rsidR="003B35E9">
        <w:rPr>
          <w:rFonts w:eastAsia="Calibri"/>
          <w:lang w:eastAsia="en-US"/>
        </w:rPr>
        <w:t>)</w:t>
      </w:r>
      <w:r w:rsidRPr="00C5534A">
        <w:rPr>
          <w:rFonts w:eastAsia="Calibri"/>
          <w:lang w:eastAsia="en-US"/>
        </w:rPr>
        <w:t xml:space="preserve"> </w:t>
      </w:r>
    </w:p>
    <w:p w:rsidR="00242FFD" w:rsidRPr="00C5534A" w:rsidRDefault="003B35E9" w:rsidP="004C1887">
      <w:pPr>
        <w:spacing w:line="360" w:lineRule="auto"/>
        <w:ind w:firstLine="720"/>
        <w:contextualSpacing/>
        <w:jc w:val="both"/>
        <w:rPr>
          <w:rFonts w:eastAsia="Calibri"/>
          <w:lang w:eastAsia="en-US"/>
        </w:rPr>
      </w:pPr>
      <w:r>
        <w:rPr>
          <w:rFonts w:eastAsia="Calibri"/>
          <w:lang w:eastAsia="en-US"/>
        </w:rPr>
        <w:t>Ορισμένα βασικά σημεία για την ανάγνωση του Ισοζυγίου</w:t>
      </w:r>
      <w:r w:rsidR="00242FFD" w:rsidRPr="00C5534A">
        <w:rPr>
          <w:rFonts w:eastAsia="Calibri"/>
          <w:lang w:eastAsia="en-US"/>
        </w:rPr>
        <w:t xml:space="preserve"> Πληρωμών </w:t>
      </w:r>
      <w:r>
        <w:rPr>
          <w:rFonts w:eastAsia="Calibri"/>
          <w:lang w:eastAsia="en-US"/>
        </w:rPr>
        <w:t xml:space="preserve">είναι ότι </w:t>
      </w:r>
      <w:r w:rsidRPr="00C5534A">
        <w:rPr>
          <w:rFonts w:eastAsia="Calibri"/>
          <w:lang w:eastAsia="en-US"/>
        </w:rPr>
        <w:t>για κάθε συναλλαγή έχουμε χρέωση και πίστωση</w:t>
      </w:r>
      <w:r>
        <w:rPr>
          <w:rFonts w:eastAsia="Calibri"/>
          <w:lang w:eastAsia="en-US"/>
        </w:rPr>
        <w:t xml:space="preserve">. </w:t>
      </w:r>
      <w:r w:rsidRPr="00C5534A">
        <w:rPr>
          <w:rFonts w:eastAsia="Calibri"/>
          <w:lang w:eastAsia="en-US"/>
        </w:rPr>
        <w:t>Κάθε είσπραξη από ξένους κατοίκους καταγράφεται ως πίστωση (+)</w:t>
      </w:r>
      <w:r w:rsidR="00494385">
        <w:rPr>
          <w:rFonts w:eastAsia="Calibri"/>
          <w:lang w:eastAsia="en-US"/>
        </w:rPr>
        <w:t>,</w:t>
      </w:r>
      <w:r>
        <w:rPr>
          <w:rFonts w:eastAsia="Calibri"/>
          <w:lang w:eastAsia="en-US"/>
        </w:rPr>
        <w:t xml:space="preserve"> ενώ κάθε </w:t>
      </w:r>
      <w:r w:rsidRPr="00C5534A">
        <w:rPr>
          <w:rFonts w:eastAsia="Calibri"/>
          <w:lang w:eastAsia="en-US"/>
        </w:rPr>
        <w:t>πληρωμή σε ξένους κατοίκους καταγράφεται ως χρέωση (-)</w:t>
      </w:r>
      <w:r w:rsidR="004C1887">
        <w:rPr>
          <w:rFonts w:eastAsia="Calibri"/>
          <w:lang w:eastAsia="en-US"/>
        </w:rPr>
        <w:t>.</w:t>
      </w:r>
      <w:r w:rsidR="00494385">
        <w:rPr>
          <w:rFonts w:eastAsia="Calibri"/>
          <w:lang w:eastAsia="en-US"/>
        </w:rPr>
        <w:t xml:space="preserve"> </w:t>
      </w:r>
      <w:r w:rsidR="004C1887" w:rsidRPr="00C5534A">
        <w:rPr>
          <w:rFonts w:eastAsia="Calibri"/>
          <w:lang w:eastAsia="en-US"/>
        </w:rPr>
        <w:t>Εναλλακτικά, συναλλαγές που οδηγούν σε ζήτηση ξένου νομίσματος καταγράφονται ως χρέωση, ενώ συναλλαγές που οδηγούν σε ζήτηση εγχώριου νομίσματος καταγράφονται ως πίστωση.</w:t>
      </w:r>
      <w:r w:rsidR="004C1887">
        <w:rPr>
          <w:rFonts w:eastAsia="Calibri"/>
          <w:lang w:eastAsia="en-US"/>
        </w:rPr>
        <w:t xml:space="preserve"> Πρόκειται για μια λογιστική καταγραφή των συναλλαγών και βρίσκεται πάντα σε ισορροπία.</w:t>
      </w:r>
      <w:r w:rsidR="00242FFD" w:rsidRPr="00C5534A">
        <w:rPr>
          <w:rFonts w:eastAsia="Calibri"/>
          <w:lang w:eastAsia="en-US"/>
        </w:rPr>
        <w:t xml:space="preserve"> </w:t>
      </w:r>
    </w:p>
    <w:p w:rsidR="00C5534A" w:rsidRDefault="00C5534A" w:rsidP="00242FFD"/>
    <w:p w:rsidR="00C5534A" w:rsidRPr="0087512F" w:rsidRDefault="00C5534A" w:rsidP="00242FFD"/>
    <w:p w:rsidR="00A56C61" w:rsidRDefault="00A56C61" w:rsidP="00A56C61">
      <w:pPr>
        <w:pStyle w:val="2"/>
        <w:spacing w:before="0" w:after="0" w:line="360" w:lineRule="auto"/>
        <w:jc w:val="both"/>
        <w:rPr>
          <w:rFonts w:ascii="Times New Roman" w:hAnsi="Times New Roman" w:cs="Times New Roman"/>
          <w:i w:val="0"/>
          <w:sz w:val="24"/>
          <w:szCs w:val="24"/>
        </w:rPr>
      </w:pPr>
      <w:bookmarkStart w:id="14" w:name="_Toc395803093"/>
      <w:bookmarkStart w:id="15" w:name="_Toc396220901"/>
      <w:r>
        <w:rPr>
          <w:rFonts w:ascii="Times New Roman" w:hAnsi="Times New Roman" w:cs="Times New Roman"/>
          <w:i w:val="0"/>
          <w:sz w:val="24"/>
          <w:szCs w:val="24"/>
        </w:rPr>
        <w:t>7.2</w:t>
      </w:r>
      <w:r w:rsidRPr="00580915">
        <w:rPr>
          <w:rFonts w:ascii="Times New Roman" w:hAnsi="Times New Roman" w:cs="Times New Roman"/>
          <w:i w:val="0"/>
          <w:sz w:val="24"/>
          <w:szCs w:val="24"/>
        </w:rPr>
        <w:t xml:space="preserve">.1 </w:t>
      </w:r>
      <w:r w:rsidR="00812DF6">
        <w:rPr>
          <w:rFonts w:ascii="Times New Roman" w:hAnsi="Times New Roman" w:cs="Times New Roman"/>
          <w:i w:val="0"/>
          <w:sz w:val="24"/>
          <w:szCs w:val="24"/>
        </w:rPr>
        <w:t>Η διάρθρωση του ι</w:t>
      </w:r>
      <w:r>
        <w:rPr>
          <w:rFonts w:ascii="Times New Roman" w:hAnsi="Times New Roman" w:cs="Times New Roman"/>
          <w:i w:val="0"/>
          <w:sz w:val="24"/>
          <w:szCs w:val="24"/>
        </w:rPr>
        <w:t>σοζυγίου πληρωμών</w:t>
      </w:r>
      <w:bookmarkEnd w:id="14"/>
      <w:bookmarkEnd w:id="15"/>
    </w:p>
    <w:p w:rsidR="00FA7EC7" w:rsidRPr="00FA7EC7" w:rsidRDefault="004C1887" w:rsidP="00FA7EC7">
      <w:pPr>
        <w:spacing w:line="360" w:lineRule="auto"/>
        <w:ind w:firstLine="720"/>
        <w:contextualSpacing/>
        <w:jc w:val="both"/>
      </w:pPr>
      <w:r>
        <w:t>Μελετώντας την διάρθρωση του ισοζυγίου πληρωμών ο</w:t>
      </w:r>
      <w:r w:rsidRPr="004C1887">
        <w:t xml:space="preserve">ι κύριες </w:t>
      </w:r>
      <w:r>
        <w:t xml:space="preserve">συνιστώσες του μπορούμε να πούμε ότι είναι </w:t>
      </w:r>
      <w:r w:rsidR="000236B7">
        <w:t>τ</w:t>
      </w:r>
      <w:r>
        <w:t xml:space="preserve">ο </w:t>
      </w:r>
      <w:r w:rsidRPr="004C1887">
        <w:t>Ισοζύγιο Τρεχουσών Συναλ</w:t>
      </w:r>
      <w:r>
        <w:t>λαγών (</w:t>
      </w:r>
      <w:proofErr w:type="spellStart"/>
      <w:r>
        <w:t>Current</w:t>
      </w:r>
      <w:proofErr w:type="spellEnd"/>
      <w:r>
        <w:t xml:space="preserve"> </w:t>
      </w:r>
      <w:proofErr w:type="spellStart"/>
      <w:r>
        <w:t>account</w:t>
      </w:r>
      <w:proofErr w:type="spellEnd"/>
      <w:r>
        <w:t xml:space="preserve"> </w:t>
      </w:r>
      <w:proofErr w:type="spellStart"/>
      <w:r>
        <w:t>balance</w:t>
      </w:r>
      <w:proofErr w:type="spellEnd"/>
      <w:r w:rsidR="000236B7">
        <w:t xml:space="preserve">, </w:t>
      </w:r>
      <w:r w:rsidR="000236B7">
        <w:rPr>
          <w:lang w:val="en-US"/>
        </w:rPr>
        <w:t>CA</w:t>
      </w:r>
      <w:r>
        <w:t xml:space="preserve">) και </w:t>
      </w:r>
      <w:r w:rsidR="000236B7">
        <w:t>το</w:t>
      </w:r>
      <w:r w:rsidRPr="004C1887">
        <w:t xml:space="preserve"> Ισοζύγιο </w:t>
      </w:r>
      <w:r w:rsidR="00C07AE6">
        <w:t xml:space="preserve">Χρηματοοικονομικών </w:t>
      </w:r>
      <w:r w:rsidRPr="004C1887">
        <w:t>Συναλλαγών (</w:t>
      </w:r>
      <w:r w:rsidR="00FA7EC7">
        <w:rPr>
          <w:lang w:val="en-US"/>
        </w:rPr>
        <w:t>Financial</w:t>
      </w:r>
      <w:r w:rsidRPr="004C1887">
        <w:t xml:space="preserve"> </w:t>
      </w:r>
      <w:proofErr w:type="spellStart"/>
      <w:r w:rsidRPr="004C1887">
        <w:t>account</w:t>
      </w:r>
      <w:proofErr w:type="spellEnd"/>
      <w:r w:rsidRPr="004C1887">
        <w:t xml:space="preserve"> </w:t>
      </w:r>
      <w:proofErr w:type="spellStart"/>
      <w:r w:rsidRPr="004C1887">
        <w:t>balance</w:t>
      </w:r>
      <w:proofErr w:type="spellEnd"/>
      <w:r w:rsidR="000236B7">
        <w:t xml:space="preserve">, </w:t>
      </w:r>
      <w:r w:rsidR="00FA7EC7">
        <w:rPr>
          <w:lang w:val="en-US"/>
        </w:rPr>
        <w:t>CF</w:t>
      </w:r>
      <w:r w:rsidRPr="004C1887">
        <w:t>).</w:t>
      </w:r>
      <w:r w:rsidR="00FA7EC7" w:rsidRPr="00FA7EC7">
        <w:t xml:space="preserve"> </w:t>
      </w:r>
    </w:p>
    <w:p w:rsidR="000236B7" w:rsidRPr="00FA7EC7" w:rsidRDefault="00FA7EC7" w:rsidP="00FA7EC7">
      <w:pPr>
        <w:spacing w:line="360" w:lineRule="auto"/>
        <w:ind w:left="720" w:firstLine="720"/>
        <w:contextualSpacing/>
        <w:jc w:val="both"/>
        <w:rPr>
          <w:i/>
        </w:rPr>
      </w:pPr>
      <w:r w:rsidRPr="00FA7EC7">
        <w:rPr>
          <w:i/>
          <w:lang w:val="en-US"/>
        </w:rPr>
        <w:t>BP</w:t>
      </w:r>
      <w:r w:rsidRPr="00FA7EC7">
        <w:rPr>
          <w:i/>
        </w:rPr>
        <w:t>=</w:t>
      </w:r>
      <w:r w:rsidRPr="00FA7EC7">
        <w:rPr>
          <w:i/>
          <w:lang w:val="en-US"/>
        </w:rPr>
        <w:t>CA</w:t>
      </w:r>
      <w:r w:rsidRPr="00FA7EC7">
        <w:rPr>
          <w:i/>
        </w:rPr>
        <w:t>+</w:t>
      </w:r>
      <w:r w:rsidRPr="00FA7EC7">
        <w:rPr>
          <w:i/>
          <w:lang w:val="en-US"/>
        </w:rPr>
        <w:t>CF</w:t>
      </w:r>
      <w:r w:rsidR="004C1887" w:rsidRPr="00FA7EC7">
        <w:rPr>
          <w:i/>
        </w:rPr>
        <w:t xml:space="preserve"> </w:t>
      </w:r>
    </w:p>
    <w:p w:rsidR="004C1887" w:rsidRPr="004C1887" w:rsidRDefault="006A395D" w:rsidP="00FA7EC7">
      <w:pPr>
        <w:spacing w:line="360" w:lineRule="auto"/>
        <w:ind w:firstLine="720"/>
        <w:contextualSpacing/>
        <w:jc w:val="both"/>
      </w:pPr>
      <w:r>
        <w:t>Από την μια τ</w:t>
      </w:r>
      <w:r w:rsidR="004C1887" w:rsidRPr="004C1887">
        <w:t xml:space="preserve">ο </w:t>
      </w:r>
      <w:r w:rsidR="004C1887" w:rsidRPr="004C1887">
        <w:rPr>
          <w:b/>
          <w:bCs/>
        </w:rPr>
        <w:t xml:space="preserve">Ισοζύγιο Τρεχουσών Συναλλαγών </w:t>
      </w:r>
      <w:r w:rsidR="004C1887" w:rsidRPr="004C1887">
        <w:t>αναφέρεται σε ροές εισοδήματος και αναλύεται σε δύο υπο</w:t>
      </w:r>
      <w:r w:rsidR="004C1887">
        <w:t>κατηγορίες</w:t>
      </w:r>
      <w:r w:rsidR="004C1887" w:rsidRPr="004C1887">
        <w:t xml:space="preserve">: </w:t>
      </w:r>
    </w:p>
    <w:p w:rsidR="004C1887" w:rsidRPr="004C1887" w:rsidRDefault="004C1887" w:rsidP="004C1887">
      <w:pPr>
        <w:spacing w:line="360" w:lineRule="auto"/>
        <w:contextualSpacing/>
        <w:jc w:val="both"/>
      </w:pPr>
      <w:r>
        <w:t>(Α1)</w:t>
      </w:r>
      <w:r w:rsidRPr="004C1887">
        <w:t xml:space="preserve"> </w:t>
      </w:r>
      <w:r>
        <w:t>Το Εμπορικό Ισοζύγιο (</w:t>
      </w:r>
      <w:proofErr w:type="spellStart"/>
      <w:r w:rsidRPr="004C1887">
        <w:t>Trade</w:t>
      </w:r>
      <w:proofErr w:type="spellEnd"/>
      <w:r w:rsidRPr="004C1887">
        <w:t xml:space="preserve"> </w:t>
      </w:r>
      <w:proofErr w:type="spellStart"/>
      <w:r w:rsidRPr="004C1887">
        <w:t>balance</w:t>
      </w:r>
      <w:proofErr w:type="spellEnd"/>
      <w:r>
        <w:t xml:space="preserve">), που περιλαμβάνει </w:t>
      </w:r>
      <w:r w:rsidRPr="004C1887">
        <w:t xml:space="preserve">εξαγωγές αγαθών </w:t>
      </w:r>
      <w:r>
        <w:t>μείον εισαγωγές αγαθών.</w:t>
      </w:r>
      <w:r w:rsidRPr="004C1887">
        <w:t xml:space="preserve"> </w:t>
      </w:r>
    </w:p>
    <w:p w:rsidR="004C1887" w:rsidRPr="004C1887" w:rsidRDefault="004C1887" w:rsidP="004C1887">
      <w:pPr>
        <w:spacing w:line="360" w:lineRule="auto"/>
        <w:contextualSpacing/>
        <w:jc w:val="both"/>
      </w:pPr>
      <w:r>
        <w:lastRenderedPageBreak/>
        <w:t>(Α2)</w:t>
      </w:r>
      <w:r w:rsidRPr="004C1887">
        <w:t xml:space="preserve"> </w:t>
      </w:r>
      <w:r>
        <w:t xml:space="preserve">Το </w:t>
      </w:r>
      <w:r w:rsidRPr="004C1887">
        <w:t>Ισοζύγιο Άδηλων Συναλλαγών (</w:t>
      </w:r>
      <w:proofErr w:type="spellStart"/>
      <w:r w:rsidRPr="004C1887">
        <w:t>Invisible</w:t>
      </w:r>
      <w:proofErr w:type="spellEnd"/>
      <w:r w:rsidRPr="004C1887">
        <w:t xml:space="preserve"> </w:t>
      </w:r>
      <w:proofErr w:type="spellStart"/>
      <w:r w:rsidRPr="004C1887">
        <w:t>balance</w:t>
      </w:r>
      <w:proofErr w:type="spellEnd"/>
      <w:r w:rsidRPr="004C1887">
        <w:t>) το οποίο αποτελείται από το άθρο</w:t>
      </w:r>
      <w:r w:rsidR="006A395D">
        <w:t>ισμα τριών επιμέρους ισοζυγίων.</w:t>
      </w:r>
      <w:r w:rsidRPr="004C1887">
        <w:t xml:space="preserve"> </w:t>
      </w:r>
    </w:p>
    <w:p w:rsidR="004C1887" w:rsidRPr="004C1887" w:rsidRDefault="004C1887" w:rsidP="006A395D">
      <w:pPr>
        <w:spacing w:line="360" w:lineRule="auto"/>
        <w:ind w:left="720"/>
        <w:contextualSpacing/>
        <w:jc w:val="both"/>
      </w:pPr>
      <w:r>
        <w:t>(Α2.1)</w:t>
      </w:r>
      <w:r w:rsidRPr="004C1887">
        <w:t xml:space="preserve"> Ισοζύγιο υπηρεσιών όπου καταγράφονται οι εισπράξεις και οι πληρωμές της χώρας που αφορούν ταξιδιωτικό συνάλλαγμα, μεταφορές και λοιπές υπηρεσίες. </w:t>
      </w:r>
    </w:p>
    <w:p w:rsidR="004C1887" w:rsidRPr="004C1887" w:rsidRDefault="004C1887" w:rsidP="006A395D">
      <w:pPr>
        <w:spacing w:line="360" w:lineRule="auto"/>
        <w:ind w:left="720"/>
        <w:contextualSpacing/>
        <w:jc w:val="both"/>
      </w:pPr>
      <w:r>
        <w:t>(Α2.2)</w:t>
      </w:r>
      <w:r w:rsidRPr="004C1887">
        <w:t xml:space="preserve"> Ισοζύγιο εισοδημάτων όπου καταχωρούνται οι εισπράξεις και πληρωμές της χώρας που αφορούν αμοιβές, μισθούς, τόκους, μερίσματα και κέρδη. </w:t>
      </w:r>
    </w:p>
    <w:p w:rsidR="004C1887" w:rsidRPr="004C1887" w:rsidRDefault="004C1887" w:rsidP="006A395D">
      <w:pPr>
        <w:spacing w:line="360" w:lineRule="auto"/>
        <w:ind w:left="720"/>
        <w:contextualSpacing/>
        <w:jc w:val="both"/>
      </w:pPr>
      <w:r>
        <w:t>(Α2.3)</w:t>
      </w:r>
      <w:r w:rsidRPr="004C1887">
        <w:t xml:space="preserve"> Ισοζύγιο μεταβιβάσεων όπου καταγράφονται οι εισπράξεις και πληρωμές της χώρας που προέρχονται από τις μεταβιβάσεις </w:t>
      </w:r>
      <w:r w:rsidR="006A395D">
        <w:t>άλλων χωρών</w:t>
      </w:r>
      <w:r w:rsidRPr="004C1887">
        <w:t xml:space="preserve"> και τα μεταναστευτικά εμβάσματα. </w:t>
      </w:r>
    </w:p>
    <w:p w:rsidR="00FA7EC7" w:rsidRPr="00195B2E" w:rsidRDefault="006A395D" w:rsidP="00FA7EC7">
      <w:pPr>
        <w:spacing w:line="360" w:lineRule="auto"/>
        <w:ind w:firstLine="720"/>
        <w:contextualSpacing/>
        <w:jc w:val="both"/>
      </w:pPr>
      <w:r>
        <w:t>Από την άλλη, τ</w:t>
      </w:r>
      <w:r w:rsidR="004C1887" w:rsidRPr="004C1887">
        <w:t xml:space="preserve">ο </w:t>
      </w:r>
      <w:r w:rsidR="004C1887" w:rsidRPr="004C1887">
        <w:rPr>
          <w:b/>
          <w:bCs/>
        </w:rPr>
        <w:t xml:space="preserve">Ισοζύγιο </w:t>
      </w:r>
      <w:r w:rsidR="00C07AE6">
        <w:rPr>
          <w:b/>
          <w:bCs/>
        </w:rPr>
        <w:t xml:space="preserve">Χρηματοοικονομικών </w:t>
      </w:r>
      <w:r w:rsidR="004C1887" w:rsidRPr="004C1887">
        <w:rPr>
          <w:b/>
          <w:bCs/>
        </w:rPr>
        <w:t xml:space="preserve">Συναλλαγών </w:t>
      </w:r>
      <w:r w:rsidR="004C1887" w:rsidRPr="004C1887">
        <w:t>καταγράφει μεταβολές σε περιουσιακά στοιχεία (</w:t>
      </w:r>
      <w:proofErr w:type="spellStart"/>
      <w:r w:rsidR="004C1887" w:rsidRPr="004C1887">
        <w:t>assets</w:t>
      </w:r>
      <w:proofErr w:type="spellEnd"/>
      <w:r w:rsidR="00947C40">
        <w:t>) και υποχρεώσεις (</w:t>
      </w:r>
      <w:proofErr w:type="spellStart"/>
      <w:r w:rsidR="00947C40">
        <w:t>liabilities</w:t>
      </w:r>
      <w:proofErr w:type="spellEnd"/>
      <w:r w:rsidR="00947C40">
        <w:t xml:space="preserve">) μέσα από τη </w:t>
      </w:r>
      <w:r w:rsidR="004C1887" w:rsidRPr="004C1887">
        <w:t xml:space="preserve">διεθνή κινητικότητα του κεφαλαίου. Το κεφάλαιο εισάγεται σε μια χώρα μέσω </w:t>
      </w:r>
      <w:r w:rsidR="00947C40" w:rsidRPr="004C1887">
        <w:t>της πώλησης περιουσιακών στοιχείων σε ξένους κατοίκους</w:t>
      </w:r>
      <w:r w:rsidR="00947C40">
        <w:t>,</w:t>
      </w:r>
      <w:r w:rsidR="00A36A80" w:rsidRPr="00A36A80">
        <w:t xml:space="preserve"> </w:t>
      </w:r>
      <w:r w:rsidR="00A36A80">
        <w:t>μέσω</w:t>
      </w:r>
      <w:r w:rsidR="00947C40">
        <w:t xml:space="preserve"> της </w:t>
      </w:r>
      <w:r w:rsidR="00947C40" w:rsidRPr="004C1887">
        <w:t xml:space="preserve"> επένδυσης από ξένους σε εγχώρια προϊόντα </w:t>
      </w:r>
      <w:r w:rsidR="00947C40">
        <w:t>και τέλος μέσω του δανεισμού.</w:t>
      </w:r>
      <w:r w:rsidR="004C1887" w:rsidRPr="004C1887">
        <w:t xml:space="preserve"> </w:t>
      </w:r>
    </w:p>
    <w:p w:rsidR="00C11B5D" w:rsidRDefault="004C1887" w:rsidP="00FA7EC7">
      <w:pPr>
        <w:spacing w:line="360" w:lineRule="auto"/>
        <w:ind w:firstLine="720"/>
        <w:contextualSpacing/>
        <w:jc w:val="both"/>
      </w:pPr>
      <w:r w:rsidRPr="004C1887">
        <w:t xml:space="preserve">Συνεπώς, οι εισροές κεφαλαίου σηματοδοτούν είτε τη μείωση κατοχής ξένων περιουσιακών στοιχείων από τους εγχώριους κατοίκους, είτε την αύξηση των υποχρεώσεων σε ξένους και καταγράφονται ως </w:t>
      </w:r>
      <w:r w:rsidRPr="004C1887">
        <w:rPr>
          <w:b/>
          <w:bCs/>
        </w:rPr>
        <w:t>πιστώσεις</w:t>
      </w:r>
      <w:r w:rsidRPr="004C1887">
        <w:t xml:space="preserve">. Αντίθετα, οι εκροές κεφαλαίου αυξάνουν την κατοχή ξένων περιουσιακών στοιχείων από τους εγχώριους κατοίκους ή μειώνουν τις υποχρεώσεις σε ξένους κατοίκους και καταγράφονται ως </w:t>
      </w:r>
      <w:r w:rsidRPr="004C1887">
        <w:rPr>
          <w:b/>
          <w:bCs/>
        </w:rPr>
        <w:t>χρεώσεις</w:t>
      </w:r>
      <w:r w:rsidRPr="004C1887">
        <w:t>.</w:t>
      </w:r>
      <w:r w:rsidR="00A36A80">
        <w:t xml:space="preserve"> Έτσι το ισοζύγιο κεφαλαιουχικών συναλλαγών </w:t>
      </w:r>
      <w:r w:rsidR="00A36A80" w:rsidRPr="008C63F0">
        <w:t>είναι ίσο με τη διαφορά της αξίας των χρηματοοικονομικών εισροών (πιστώσεις) μείον την αξία των χρηματοοικονομικ</w:t>
      </w:r>
      <w:r w:rsidR="00654409">
        <w:t>ών εκροών (χρεώσεις) μιας χώρας.</w:t>
      </w:r>
      <w:r w:rsidR="00C07AE6">
        <w:t xml:space="preserve"> </w:t>
      </w:r>
      <w:r w:rsidR="00C07AE6" w:rsidRPr="00C07AE6">
        <w:t>Όταν οι κάτοικοι μιας χώρας πωλούν περισσότερα περιουσιακά στοιχεία στους ξένους απ' όσα αγοράζουν απ' αυτούς, το ισοζύγιο χρηματοοικονομικών συναλλαγών είναι θετικό σχηματίζοντας πλεόνασμα.</w:t>
      </w:r>
    </w:p>
    <w:p w:rsidR="00C07AE6" w:rsidRPr="00C07AE6" w:rsidRDefault="00C07AE6" w:rsidP="00C11B5D">
      <w:pPr>
        <w:spacing w:line="360" w:lineRule="auto"/>
        <w:ind w:firstLine="720"/>
        <w:contextualSpacing/>
        <w:jc w:val="both"/>
      </w:pPr>
      <w:r w:rsidRPr="00C07AE6">
        <w:t>Το άθροισμα του ισοζυγίου τρεχουσών συναλλαγών και του ισοζυγίου χρηματοοικονομικών συναλλαγών πρέπει να είναι μηδέν σε κάθε περίοδο. Αυτό ισχύει διότι κάθε διεθνής συναλλαγή αντιπροσωπεύει μια ανταλλαγή αγαθών, υπηρεσιών ή περιουσιακών στοιχείων μεταξύ των χωρών και πάντοτε τα δύο μέρη της ανταλλαγής αντισταθμίζονται.</w:t>
      </w:r>
    </w:p>
    <w:p w:rsidR="00654409" w:rsidRDefault="00654409" w:rsidP="00654409">
      <w:pPr>
        <w:spacing w:line="360" w:lineRule="auto"/>
        <w:ind w:firstLine="720"/>
        <w:contextualSpacing/>
        <w:jc w:val="both"/>
        <w:rPr>
          <w:bCs/>
          <w:iCs/>
        </w:rPr>
      </w:pPr>
      <w:r w:rsidRPr="00654409">
        <w:rPr>
          <w:bCs/>
          <w:iCs/>
        </w:rPr>
        <w:lastRenderedPageBreak/>
        <w:t xml:space="preserve">Η ύπαρξη ανισορροπίας στο ισοζύγιο πληρωμών, είτε αυτή μεταφράζεται ως έλλειμμα είτε ως πλεόνασμα, δημιουργεί περιορισμούς στην ανάπτυξη ή στην επιδίωξη άλλων μακροοικονομικών στόχων, όπως αυτόν της πλήρους απασχόλησης. Σε αυτό το πλαίσιο αναφοράς, αναγκαία κρίνεται η εφαρμογή μέτρων οικονομικής πολιτικής. </w:t>
      </w:r>
      <w:r>
        <w:rPr>
          <w:bCs/>
          <w:iCs/>
        </w:rPr>
        <w:t>Σ</w:t>
      </w:r>
      <w:r w:rsidRPr="00654409">
        <w:rPr>
          <w:bCs/>
          <w:iCs/>
        </w:rPr>
        <w:t xml:space="preserve">ε αυτό το σημείο θα πρέπει να αναφέρουμε ότι </w:t>
      </w:r>
      <w:r>
        <w:rPr>
          <w:bCs/>
          <w:iCs/>
        </w:rPr>
        <w:t>τα πλεονάσματα ή ε</w:t>
      </w:r>
      <w:r w:rsidRPr="00654409">
        <w:rPr>
          <w:bCs/>
          <w:iCs/>
        </w:rPr>
        <w:t xml:space="preserve">λλείμματα </w:t>
      </w:r>
      <w:r>
        <w:rPr>
          <w:bCs/>
          <w:iCs/>
        </w:rPr>
        <w:t xml:space="preserve">στο ισοζύγιο </w:t>
      </w:r>
      <w:proofErr w:type="spellStart"/>
      <w:r>
        <w:rPr>
          <w:bCs/>
          <w:iCs/>
        </w:rPr>
        <w:t>πλληρωμών</w:t>
      </w:r>
      <w:proofErr w:type="spellEnd"/>
      <w:r>
        <w:rPr>
          <w:bCs/>
          <w:iCs/>
        </w:rPr>
        <w:t xml:space="preserve"> </w:t>
      </w:r>
      <w:r w:rsidRPr="00654409">
        <w:rPr>
          <w:bCs/>
          <w:iCs/>
        </w:rPr>
        <w:t xml:space="preserve">που είναι περιστασιακά </w:t>
      </w:r>
      <w:proofErr w:type="spellStart"/>
      <w:r w:rsidRPr="00654409">
        <w:rPr>
          <w:bCs/>
          <w:iCs/>
        </w:rPr>
        <w:t>ειναι</w:t>
      </w:r>
      <w:proofErr w:type="spellEnd"/>
      <w:r w:rsidRPr="00654409">
        <w:rPr>
          <w:bCs/>
          <w:iCs/>
        </w:rPr>
        <w:t xml:space="preserve"> εύκολ</w:t>
      </w:r>
      <w:r w:rsidR="00C11B5D">
        <w:rPr>
          <w:bCs/>
          <w:iCs/>
        </w:rPr>
        <w:t>ο</w:t>
      </w:r>
      <w:r w:rsidRPr="00654409">
        <w:rPr>
          <w:bCs/>
          <w:iCs/>
        </w:rPr>
        <w:t xml:space="preserve"> να αποκατασταθούν </w:t>
      </w:r>
      <w:proofErr w:type="spellStart"/>
      <w:r w:rsidRPr="00654409">
        <w:rPr>
          <w:bCs/>
          <w:iCs/>
        </w:rPr>
        <w:t>π.χ</w:t>
      </w:r>
      <w:proofErr w:type="spellEnd"/>
      <w:r w:rsidRPr="00654409">
        <w:rPr>
          <w:bCs/>
          <w:iCs/>
        </w:rPr>
        <w:t xml:space="preserve"> με εξωτερικό δανεισμό</w:t>
      </w:r>
      <w:r>
        <w:rPr>
          <w:bCs/>
          <w:iCs/>
        </w:rPr>
        <w:t>. Αντίθετα τα πλεονάσματα ή</w:t>
      </w:r>
      <w:r w:rsidRPr="00654409">
        <w:rPr>
          <w:bCs/>
          <w:iCs/>
        </w:rPr>
        <w:t xml:space="preserve"> </w:t>
      </w:r>
      <w:r>
        <w:rPr>
          <w:bCs/>
          <w:iCs/>
        </w:rPr>
        <w:t>ε</w:t>
      </w:r>
      <w:r w:rsidRPr="00654409">
        <w:rPr>
          <w:bCs/>
          <w:iCs/>
        </w:rPr>
        <w:t>λλείμματα που είναι μόνιμα προδίδουν νομ</w:t>
      </w:r>
      <w:r>
        <w:rPr>
          <w:bCs/>
          <w:iCs/>
        </w:rPr>
        <w:t>ισματική ανισορροπία που είναι μια σοβαρότερη περίπτωση</w:t>
      </w:r>
      <w:r w:rsidRPr="00654409">
        <w:rPr>
          <w:bCs/>
          <w:iCs/>
        </w:rPr>
        <w:t>.</w:t>
      </w:r>
      <w:r>
        <w:rPr>
          <w:bCs/>
          <w:iCs/>
        </w:rPr>
        <w:t xml:space="preserve"> </w:t>
      </w:r>
      <w:r w:rsidRPr="00654409">
        <w:rPr>
          <w:bCs/>
          <w:iCs/>
        </w:rPr>
        <w:t>Ο εσωτερικός πληθωρισμός ενισχύει</w:t>
      </w:r>
      <w:r>
        <w:rPr>
          <w:bCs/>
          <w:iCs/>
        </w:rPr>
        <w:t xml:space="preserve"> για παράδειγμα</w:t>
      </w:r>
      <w:r w:rsidRPr="00654409">
        <w:rPr>
          <w:bCs/>
          <w:iCs/>
        </w:rPr>
        <w:t xml:space="preserve"> τις εισαγωγές και δυσκολεύει τις εξαγωγές</w:t>
      </w:r>
      <w:r w:rsidR="00152F4E">
        <w:rPr>
          <w:bCs/>
          <w:iCs/>
        </w:rPr>
        <w:t xml:space="preserve"> τ</w:t>
      </w:r>
      <w:r w:rsidRPr="00654409">
        <w:rPr>
          <w:bCs/>
          <w:iCs/>
        </w:rPr>
        <w:t>ης χώρας.</w:t>
      </w:r>
      <w:r>
        <w:rPr>
          <w:bCs/>
          <w:iCs/>
        </w:rPr>
        <w:t xml:space="preserve"> </w:t>
      </w:r>
    </w:p>
    <w:p w:rsidR="00FA7EC7" w:rsidRPr="00FA7EC7" w:rsidRDefault="00152F4E" w:rsidP="00FA7EC7">
      <w:pPr>
        <w:spacing w:line="360" w:lineRule="auto"/>
        <w:ind w:firstLine="720"/>
        <w:contextualSpacing/>
        <w:jc w:val="both"/>
        <w:rPr>
          <w:bCs/>
          <w:iCs/>
        </w:rPr>
      </w:pPr>
      <w:r w:rsidRPr="00152F4E">
        <w:rPr>
          <w:bCs/>
          <w:iCs/>
        </w:rPr>
        <w:t>Στον παρακάτω πίνακα παρατίθενται οι τιμές του Ισοζυγίου πληρωμών για τ</w:t>
      </w:r>
      <w:r>
        <w:rPr>
          <w:bCs/>
          <w:iCs/>
        </w:rPr>
        <w:t>ην Ελλάδα την περίοδο 2002-2004</w:t>
      </w:r>
      <w:r w:rsidRPr="00152F4E">
        <w:rPr>
          <w:bCs/>
          <w:iCs/>
        </w:rPr>
        <w:t>.</w:t>
      </w:r>
      <w:r w:rsidR="00FA7EC7" w:rsidRPr="00FA7EC7">
        <w:rPr>
          <w:bCs/>
          <w:iCs/>
        </w:rPr>
        <w:t xml:space="preserve"> Από τον πίνακα προκύπτει ότι υπάρχει έλλειμμα στο Ισοζύγιο Τρεχουσών Συναλλαγών</w:t>
      </w:r>
      <w:r w:rsidR="00E21B55" w:rsidRPr="00E21B55">
        <w:rPr>
          <w:bCs/>
          <w:iCs/>
        </w:rPr>
        <w:t xml:space="preserve"> </w:t>
      </w:r>
      <w:r w:rsidR="00E21B55">
        <w:rPr>
          <w:bCs/>
          <w:iCs/>
        </w:rPr>
        <w:t>για την περίοδο μελέτης</w:t>
      </w:r>
      <w:r w:rsidR="00FA7EC7" w:rsidRPr="00FA7EC7">
        <w:rPr>
          <w:bCs/>
          <w:iCs/>
        </w:rPr>
        <w:t>, το οποίο οφείλεται κυρίως στο έλλειμμα του Εμπορικού Ισοζυγίου. Το έλλειμμα αυτό χρηματοδοτείται περίπου κατά το ήμισυ από το Ισοζύγιο Υπηρεσιών και από το πλεόνασμα στο Ισοζύγιο Χρηματοοικονομικών Συναλλαγών.</w:t>
      </w:r>
    </w:p>
    <w:p w:rsidR="00152F4E" w:rsidRPr="00FA7EC7" w:rsidRDefault="00FA7EC7" w:rsidP="00E21B55">
      <w:pPr>
        <w:spacing w:line="30" w:lineRule="atLeast"/>
        <w:jc w:val="center"/>
      </w:pPr>
      <w:r w:rsidRPr="00FA7EC7">
        <w:rPr>
          <w:b/>
        </w:rPr>
        <w:t>Πίνακας 7</w:t>
      </w:r>
      <w:r w:rsidR="0058071D">
        <w:rPr>
          <w:b/>
        </w:rPr>
        <w:t>.2</w:t>
      </w:r>
      <w:r>
        <w:t xml:space="preserve">  Ανάλυση Ισοζυγίου Πληρωμών Ελλάδα 2002-2004</w:t>
      </w:r>
    </w:p>
    <w:tbl>
      <w:tblPr>
        <w:tblW w:w="7129" w:type="dxa"/>
        <w:jc w:val="center"/>
        <w:tblInd w:w="93" w:type="dxa"/>
        <w:tblLook w:val="04A0"/>
      </w:tblPr>
      <w:tblGrid>
        <w:gridCol w:w="3407"/>
        <w:gridCol w:w="1270"/>
        <w:gridCol w:w="1226"/>
        <w:gridCol w:w="1226"/>
      </w:tblGrid>
      <w:tr w:rsidR="00152F4E" w:rsidRPr="001F6509" w:rsidTr="00A346DC">
        <w:trPr>
          <w:trHeight w:val="336"/>
          <w:jc w:val="center"/>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bookmarkStart w:id="16" w:name="OLE_LINK1"/>
            <w:r w:rsidRPr="001F6509">
              <w:rPr>
                <w:color w:val="000000"/>
              </w:rPr>
              <w:t>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2002</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2003</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2004</w:t>
            </w:r>
          </w:p>
        </w:tc>
      </w:tr>
      <w:tr w:rsidR="00152F4E" w:rsidRPr="001F6509" w:rsidTr="00A346DC">
        <w:trPr>
          <w:trHeight w:val="639"/>
          <w:jc w:val="center"/>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152F4E" w:rsidRPr="001F6509" w:rsidRDefault="00152F4E" w:rsidP="00A346DC">
            <w:pPr>
              <w:spacing w:line="30" w:lineRule="atLeast"/>
              <w:jc w:val="center"/>
              <w:rPr>
                <w:b/>
                <w:bCs/>
                <w:color w:val="000000"/>
              </w:rPr>
            </w:pPr>
            <w:r w:rsidRPr="001F6509">
              <w:rPr>
                <w:b/>
                <w:bCs/>
                <w:color w:val="000000"/>
              </w:rPr>
              <w:t>Ι. Ισοζύγιο Τρεχουσών Συναλλαγών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-8571,30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-8571,30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-6411,00</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Ια. Εμπορικό Ισοζύγιο</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-22708,70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-22643,5</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-25435,8</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i/>
                <w:iCs/>
                <w:color w:val="000000"/>
              </w:rPr>
            </w:pPr>
            <w:r w:rsidRPr="001F6509">
              <w:rPr>
                <w:i/>
                <w:iCs/>
                <w:color w:val="000000"/>
              </w:rPr>
              <w:t>Ιβ. Ισοζύγιο Αδήλων Πόρων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 </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 </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 </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Ιβ.1. Ισοζύγιο Υπηρεσιών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10755,40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11506,50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15467,00</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Ιβ.2. Ισοζύγιο Εισοδημάτων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-2073,40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-2597,40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-2457,40</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Ιβ.3. Ισοζύγιο Μεταβιβάσεων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5455,40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5088,10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6015,10</w:t>
            </w:r>
          </w:p>
        </w:tc>
      </w:tr>
      <w:tr w:rsidR="00152F4E" w:rsidRPr="001F6509" w:rsidTr="00A346DC">
        <w:trPr>
          <w:trHeight w:val="958"/>
          <w:jc w:val="center"/>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152F4E" w:rsidRPr="001F6509" w:rsidRDefault="00152F4E" w:rsidP="00A346DC">
            <w:pPr>
              <w:spacing w:line="30" w:lineRule="atLeast"/>
              <w:jc w:val="center"/>
              <w:rPr>
                <w:b/>
                <w:bCs/>
                <w:color w:val="000000"/>
              </w:rPr>
            </w:pPr>
            <w:r w:rsidRPr="001F6509">
              <w:rPr>
                <w:b/>
                <w:bCs/>
                <w:color w:val="000000"/>
              </w:rPr>
              <w:t>ΙΙ. Ισοζύγιο</w:t>
            </w:r>
            <w:r w:rsidRPr="001F6509">
              <w:rPr>
                <w:b/>
                <w:bCs/>
                <w:color w:val="000000"/>
              </w:rPr>
              <w:br/>
              <w:t>Χρηματοοικονομικών</w:t>
            </w:r>
            <w:r w:rsidRPr="001F6509">
              <w:rPr>
                <w:b/>
                <w:bCs/>
                <w:color w:val="000000"/>
              </w:rPr>
              <w:br/>
              <w:t>Συναλλαγών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10310,4</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9663,7</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7834</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proofErr w:type="spellStart"/>
            <w:r w:rsidRPr="001F6509">
              <w:rPr>
                <w:color w:val="000000"/>
              </w:rPr>
              <w:t>ΙΙ.α</w:t>
            </w:r>
            <w:proofErr w:type="spellEnd"/>
            <w:r w:rsidRPr="001F6509">
              <w:rPr>
                <w:color w:val="000000"/>
              </w:rPr>
              <w:t>. Άμεσες Επενδύσεις</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-643</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544,7</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599,6</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proofErr w:type="spellStart"/>
            <w:r w:rsidRPr="001F6509">
              <w:rPr>
                <w:color w:val="000000"/>
              </w:rPr>
              <w:t>ΙΙ.β</w:t>
            </w:r>
            <w:proofErr w:type="spellEnd"/>
            <w:r w:rsidRPr="001F6509">
              <w:rPr>
                <w:color w:val="000000"/>
              </w:rPr>
              <w:t>. Επενδύσεις χαρτοφυλακίου</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10937,8</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12334</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13727,5</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proofErr w:type="spellStart"/>
            <w:r w:rsidRPr="001F6509">
              <w:rPr>
                <w:color w:val="000000"/>
              </w:rPr>
              <w:t>ΙΙ.γ</w:t>
            </w:r>
            <w:proofErr w:type="spellEnd"/>
            <w:r w:rsidRPr="001F6509">
              <w:rPr>
                <w:color w:val="000000"/>
              </w:rPr>
              <w:t>. Λοιπές επενδύσεις</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1998,6</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-7623,9</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-9104,1</w:t>
            </w:r>
          </w:p>
        </w:tc>
      </w:tr>
      <w:tr w:rsidR="00152F4E" w:rsidRPr="001F6509" w:rsidTr="00A346DC">
        <w:trPr>
          <w:trHeight w:val="639"/>
          <w:jc w:val="center"/>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152F4E" w:rsidRPr="001F6509" w:rsidRDefault="00152F4E" w:rsidP="00A346DC">
            <w:pPr>
              <w:spacing w:line="30" w:lineRule="atLeast"/>
              <w:jc w:val="center"/>
              <w:rPr>
                <w:color w:val="000000"/>
              </w:rPr>
            </w:pPr>
            <w:proofErr w:type="spellStart"/>
            <w:r w:rsidRPr="001F6509">
              <w:rPr>
                <w:color w:val="000000"/>
              </w:rPr>
              <w:t>ΙΙ.δ</w:t>
            </w:r>
            <w:proofErr w:type="spellEnd"/>
            <w:r w:rsidRPr="001F6509">
              <w:rPr>
                <w:color w:val="000000"/>
              </w:rPr>
              <w:t>. Μεταβολή Συναλλαγματικών Διαθεσίμων</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-1983</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4409</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2611</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b/>
                <w:bCs/>
                <w:color w:val="000000"/>
              </w:rPr>
            </w:pPr>
            <w:r w:rsidRPr="001F6509">
              <w:rPr>
                <w:b/>
                <w:bCs/>
                <w:color w:val="000000"/>
              </w:rPr>
              <w:t xml:space="preserve">ΙΙΙ. </w:t>
            </w:r>
            <w:proofErr w:type="spellStart"/>
            <w:r w:rsidRPr="001F6509">
              <w:rPr>
                <w:b/>
                <w:bCs/>
                <w:color w:val="000000"/>
              </w:rPr>
              <w:t>Τακτοποιητέα</w:t>
            </w:r>
            <w:proofErr w:type="spellEnd"/>
            <w:r w:rsidRPr="001F6509">
              <w:rPr>
                <w:b/>
                <w:bCs/>
                <w:color w:val="000000"/>
              </w:rPr>
              <w:t xml:space="preserve"> Στοιχεία</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-1739</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-1017,4</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-1423</w:t>
            </w:r>
          </w:p>
        </w:tc>
      </w:tr>
      <w:tr w:rsidR="00152F4E" w:rsidRPr="001F6509" w:rsidTr="00A346DC">
        <w:trPr>
          <w:trHeight w:val="336"/>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ΙV. I+II+II</w:t>
            </w:r>
            <w:r>
              <w:rPr>
                <w:color w:val="000000"/>
              </w:rPr>
              <w:t>Ι</w:t>
            </w:r>
          </w:p>
        </w:tc>
        <w:tc>
          <w:tcPr>
            <w:tcW w:w="1270"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0</w:t>
            </w:r>
          </w:p>
        </w:tc>
        <w:tc>
          <w:tcPr>
            <w:tcW w:w="1226" w:type="dxa"/>
            <w:tcBorders>
              <w:top w:val="nil"/>
              <w:left w:val="nil"/>
              <w:bottom w:val="single" w:sz="4" w:space="0" w:color="auto"/>
              <w:right w:val="single" w:sz="4" w:space="0" w:color="auto"/>
            </w:tcBorders>
            <w:shd w:val="clear" w:color="auto" w:fill="auto"/>
            <w:noWrap/>
            <w:vAlign w:val="center"/>
            <w:hideMark/>
          </w:tcPr>
          <w:p w:rsidR="00152F4E" w:rsidRPr="001F6509" w:rsidRDefault="00152F4E" w:rsidP="00A346DC">
            <w:pPr>
              <w:spacing w:line="30" w:lineRule="atLeast"/>
              <w:jc w:val="center"/>
              <w:rPr>
                <w:color w:val="000000"/>
              </w:rPr>
            </w:pPr>
            <w:r w:rsidRPr="001F6509">
              <w:rPr>
                <w:color w:val="000000"/>
              </w:rPr>
              <w:t>0</w:t>
            </w:r>
          </w:p>
        </w:tc>
      </w:tr>
    </w:tbl>
    <w:bookmarkEnd w:id="16"/>
    <w:p w:rsidR="00152F4E" w:rsidRPr="00494385" w:rsidRDefault="00152F4E" w:rsidP="00152F4E">
      <w:pPr>
        <w:spacing w:line="30" w:lineRule="atLeast"/>
        <w:rPr>
          <w:sz w:val="20"/>
          <w:szCs w:val="20"/>
        </w:rPr>
      </w:pPr>
      <w:r w:rsidRPr="00494385">
        <w:rPr>
          <w:sz w:val="20"/>
          <w:szCs w:val="20"/>
        </w:rPr>
        <w:t xml:space="preserve">        </w:t>
      </w:r>
      <w:r w:rsidR="00494385">
        <w:rPr>
          <w:sz w:val="20"/>
          <w:szCs w:val="20"/>
        </w:rPr>
        <w:t xml:space="preserve">   </w:t>
      </w:r>
      <w:r w:rsidRPr="00494385">
        <w:rPr>
          <w:sz w:val="20"/>
          <w:szCs w:val="20"/>
        </w:rPr>
        <w:t xml:space="preserve"> </w:t>
      </w:r>
      <w:r w:rsidRPr="00494385">
        <w:rPr>
          <w:b/>
          <w:sz w:val="20"/>
          <w:szCs w:val="20"/>
        </w:rPr>
        <w:t>Πηγή:</w:t>
      </w:r>
      <w:r w:rsidRPr="00494385">
        <w:rPr>
          <w:sz w:val="20"/>
          <w:szCs w:val="20"/>
        </w:rPr>
        <w:t xml:space="preserve"> Τράπεζα της Ελλάδας</w:t>
      </w:r>
    </w:p>
    <w:p w:rsidR="00152F4E" w:rsidRPr="001F6509" w:rsidRDefault="00152F4E" w:rsidP="00152F4E">
      <w:pPr>
        <w:spacing w:line="30" w:lineRule="atLeast"/>
        <w:jc w:val="right"/>
      </w:pPr>
    </w:p>
    <w:p w:rsidR="00152F4E" w:rsidRDefault="00152F4E" w:rsidP="00654409">
      <w:pPr>
        <w:spacing w:line="360" w:lineRule="auto"/>
        <w:ind w:firstLine="720"/>
        <w:contextualSpacing/>
        <w:jc w:val="both"/>
      </w:pPr>
      <w:r w:rsidRPr="00FA7EC7">
        <w:rPr>
          <w:bCs/>
          <w:iCs/>
        </w:rPr>
        <w:t xml:space="preserve">Όπως θα δούμε στο κεφάλαιο 11 με την ένταξη της χώρας στην </w:t>
      </w:r>
      <w:r w:rsidR="00494385">
        <w:rPr>
          <w:bCs/>
          <w:iCs/>
        </w:rPr>
        <w:t>Ε</w:t>
      </w:r>
      <w:r w:rsidRPr="00FA7EC7">
        <w:rPr>
          <w:bCs/>
          <w:iCs/>
        </w:rPr>
        <w:t xml:space="preserve">υρωζώνη, η δυνατότητα της χώρας να χρησιμοποιήσει τη συναλλαγματική ισοτιμία ως μηχανισμό διόρθωσης των ανισορροπιών στις εξωτερικές συναλλαγές, δεν </w:t>
      </w:r>
      <w:r w:rsidR="002021A4">
        <w:rPr>
          <w:bCs/>
          <w:iCs/>
        </w:rPr>
        <w:t>ήταν</w:t>
      </w:r>
      <w:r w:rsidRPr="00FA7EC7">
        <w:rPr>
          <w:bCs/>
          <w:iCs/>
        </w:rPr>
        <w:t xml:space="preserve"> πλ</w:t>
      </w:r>
      <w:r w:rsidR="00494385">
        <w:rPr>
          <w:bCs/>
          <w:iCs/>
        </w:rPr>
        <w:t>έον εφικτή. Ταυτόχρονα ο αυξημέ</w:t>
      </w:r>
      <w:r w:rsidRPr="00FA7EC7">
        <w:rPr>
          <w:bCs/>
          <w:iCs/>
        </w:rPr>
        <w:t>νος ανταγωνισμός και η παγκοσμιοποίηση, σε συνδυασμό με τον υψηλό ρυθμό ανόδου της εγχώριας ζήτησης για ξένα προϊόντα</w:t>
      </w:r>
      <w:r w:rsidR="00195B2E">
        <w:rPr>
          <w:bCs/>
          <w:iCs/>
        </w:rPr>
        <w:t xml:space="preserve"> (δείτε γράφημα </w:t>
      </w:r>
      <w:r w:rsidR="00AF4096" w:rsidRPr="00AF4096">
        <w:rPr>
          <w:bCs/>
          <w:iCs/>
        </w:rPr>
        <w:t>7.3,</w:t>
      </w:r>
      <w:r w:rsidR="00195B2E">
        <w:rPr>
          <w:bCs/>
          <w:iCs/>
        </w:rPr>
        <w:t xml:space="preserve"> </w:t>
      </w:r>
      <w:proofErr w:type="spellStart"/>
      <w:r w:rsidR="00195B2E">
        <w:rPr>
          <w:bCs/>
          <w:iCs/>
        </w:rPr>
        <w:t>ιδαίτερα</w:t>
      </w:r>
      <w:proofErr w:type="spellEnd"/>
      <w:r w:rsidR="00195B2E">
        <w:rPr>
          <w:bCs/>
          <w:iCs/>
        </w:rPr>
        <w:t xml:space="preserve"> κατά τα χρόνια στο κοινό νόμισμα)</w:t>
      </w:r>
      <w:r w:rsidRPr="00FA7EC7">
        <w:rPr>
          <w:bCs/>
          <w:iCs/>
        </w:rPr>
        <w:t>, αποτέλεσαν βασικές αιτίες της διαχρονικής αύξησης του ελλείμματος στο Ισοζύγιο Τρεχουσών Συναλλαγών</w:t>
      </w:r>
      <w:r w:rsidR="002021A4">
        <w:rPr>
          <w:bCs/>
          <w:iCs/>
        </w:rPr>
        <w:t>.</w:t>
      </w:r>
      <w:r w:rsidRPr="00FA7EC7">
        <w:rPr>
          <w:bCs/>
          <w:iCs/>
        </w:rPr>
        <w:t xml:space="preserve"> </w:t>
      </w:r>
      <w:r w:rsidR="002021A4">
        <w:rPr>
          <w:bCs/>
          <w:iCs/>
        </w:rPr>
        <w:t>Α</w:t>
      </w:r>
      <w:r w:rsidRPr="00FA7EC7">
        <w:rPr>
          <w:bCs/>
          <w:iCs/>
        </w:rPr>
        <w:t>ποτέλεσμα</w:t>
      </w:r>
      <w:r w:rsidR="002021A4">
        <w:rPr>
          <w:bCs/>
          <w:iCs/>
        </w:rPr>
        <w:t xml:space="preserve"> όλων αυτών</w:t>
      </w:r>
      <w:r w:rsidRPr="00FA7EC7">
        <w:rPr>
          <w:bCs/>
          <w:iCs/>
        </w:rPr>
        <w:t xml:space="preserve"> το έλλειμμα να αυξηθεί από το 4% του ΑΕΠ που βρισκόταν στα τέλη της δεκαετίας του 90,</w:t>
      </w:r>
      <w:r w:rsidR="002021A4">
        <w:rPr>
          <w:bCs/>
          <w:iCs/>
        </w:rPr>
        <w:t xml:space="preserve"> </w:t>
      </w:r>
      <w:r w:rsidRPr="00FA7EC7">
        <w:rPr>
          <w:bCs/>
          <w:iCs/>
        </w:rPr>
        <w:t xml:space="preserve">σε 14% το 2008 </w:t>
      </w:r>
      <w:proofErr w:type="spellStart"/>
      <w:r w:rsidRPr="00FA7EC7">
        <w:rPr>
          <w:bCs/>
          <w:iCs/>
        </w:rPr>
        <w:t>πρίν</w:t>
      </w:r>
      <w:proofErr w:type="spellEnd"/>
      <w:r w:rsidRPr="00FA7EC7">
        <w:rPr>
          <w:bCs/>
          <w:iCs/>
        </w:rPr>
        <w:t xml:space="preserve"> το ξέσπασμα της Ελληνικής κρίσης.</w:t>
      </w:r>
      <w:r w:rsidR="00FA7EC7" w:rsidRPr="00FA7EC7">
        <w:rPr>
          <w:bCs/>
          <w:iCs/>
        </w:rPr>
        <w:t xml:space="preserve"> </w:t>
      </w:r>
      <w:r w:rsidR="002021A4">
        <w:t xml:space="preserve">Από το ξέσπασμα της χρηματοπιστωτικής κρίσης και την κατάρρευση της </w:t>
      </w:r>
      <w:r w:rsidR="002021A4">
        <w:rPr>
          <w:lang w:val="en-US"/>
        </w:rPr>
        <w:t>Lehman</w:t>
      </w:r>
      <w:r w:rsidR="002021A4" w:rsidRPr="002021A4">
        <w:t xml:space="preserve"> </w:t>
      </w:r>
      <w:r w:rsidR="002021A4">
        <w:rPr>
          <w:lang w:val="en-US"/>
        </w:rPr>
        <w:t>Brothers</w:t>
      </w:r>
      <w:r w:rsidR="002021A4" w:rsidRPr="002021A4">
        <w:t xml:space="preserve"> </w:t>
      </w:r>
      <w:r w:rsidRPr="001F6509">
        <w:t>η μείωση που είχε το έλλειμμα στο Εμπο</w:t>
      </w:r>
      <w:r w:rsidR="002021A4">
        <w:t>ρικό Ισοζύγιο τα επόμενα χρόνια</w:t>
      </w:r>
      <w:r w:rsidRPr="001F6509">
        <w:t>,</w:t>
      </w:r>
      <w:r w:rsidR="002021A4" w:rsidRPr="002021A4">
        <w:t xml:space="preserve"> </w:t>
      </w:r>
      <w:r w:rsidR="002021A4">
        <w:t xml:space="preserve">δεν </w:t>
      </w:r>
      <w:proofErr w:type="spellStart"/>
      <w:r w:rsidR="002021A4">
        <w:t>οφείλόταν</w:t>
      </w:r>
      <w:proofErr w:type="spellEnd"/>
      <w:r w:rsidR="00494385">
        <w:t xml:space="preserve"> κυρίως</w:t>
      </w:r>
      <w:r w:rsidR="002021A4">
        <w:t xml:space="preserve"> </w:t>
      </w:r>
      <w:r w:rsidRPr="001F6509">
        <w:t>σε κάποια βελτίωση στο τομέα παραγωγής της χώ</w:t>
      </w:r>
      <w:r w:rsidR="002021A4">
        <w:t>ρας (αύξηση της παραγωγικότητας</w:t>
      </w:r>
      <w:r w:rsidRPr="001F6509">
        <w:t>, μείωση του κόστους παραγωγής), αλλά στη μείωση στις εισαγωγές αγαθών</w:t>
      </w:r>
      <w:r w:rsidR="002021A4">
        <w:t xml:space="preserve"> όπως θα δούμε αναλυτικά στο κεφάλαιο 11</w:t>
      </w:r>
      <w:r w:rsidRPr="001F6509">
        <w:t>.</w:t>
      </w:r>
    </w:p>
    <w:p w:rsidR="00041F5E" w:rsidRDefault="00041F5E" w:rsidP="00654409">
      <w:pPr>
        <w:spacing w:line="360" w:lineRule="auto"/>
        <w:ind w:firstLine="720"/>
        <w:contextualSpacing/>
        <w:jc w:val="both"/>
      </w:pPr>
    </w:p>
    <w:p w:rsidR="00195B2E" w:rsidRDefault="00195B2E" w:rsidP="00195B2E">
      <w:pPr>
        <w:ind w:firstLine="720"/>
        <w:contextualSpacing/>
        <w:jc w:val="both"/>
        <w:rPr>
          <w:bCs/>
          <w:iCs/>
        </w:rPr>
      </w:pPr>
      <w:r w:rsidRPr="00195B2E">
        <w:rPr>
          <w:b/>
          <w:bCs/>
          <w:iCs/>
        </w:rPr>
        <w:t xml:space="preserve">Γράφημα </w:t>
      </w:r>
      <w:r w:rsidRPr="005A4B2F">
        <w:rPr>
          <w:b/>
          <w:bCs/>
          <w:iCs/>
        </w:rPr>
        <w:t>7</w:t>
      </w:r>
      <w:r w:rsidR="005A4B2F" w:rsidRPr="005A4B2F">
        <w:rPr>
          <w:b/>
          <w:bCs/>
          <w:iCs/>
        </w:rPr>
        <w:t>.3</w:t>
      </w:r>
      <w:r>
        <w:rPr>
          <w:bCs/>
          <w:iCs/>
        </w:rPr>
        <w:t xml:space="preserve">  Ελλάδα - εισαγωγές έναντι εξαγωγών</w:t>
      </w:r>
    </w:p>
    <w:p w:rsidR="00195B2E" w:rsidRDefault="00195B2E" w:rsidP="00F61CE2">
      <w:pPr>
        <w:spacing w:line="360" w:lineRule="auto"/>
        <w:contextualSpacing/>
        <w:jc w:val="both"/>
        <w:rPr>
          <w:bCs/>
          <w:iCs/>
        </w:rPr>
      </w:pPr>
      <w:r w:rsidRPr="00631AA2">
        <w:rPr>
          <w:noProof/>
        </w:rPr>
        <w:drawing>
          <wp:inline distT="0" distB="0" distL="0" distR="0">
            <wp:extent cx="5096319" cy="4004250"/>
            <wp:effectExtent l="19050" t="0" r="9081" b="0"/>
            <wp:docPr id="47122" name="Εικόνα 47122" descr="http://aristeroblog.gr/sites/default/files/diagramm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isteroblog.gr/sites/default/files/diagramma%205.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2" t="6826" r="3284" b="4348"/>
                    <a:stretch/>
                  </pic:blipFill>
                  <pic:spPr bwMode="auto">
                    <a:xfrm>
                      <a:off x="0" y="0"/>
                      <a:ext cx="5116969" cy="4020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95B2E" w:rsidRDefault="00195B2E" w:rsidP="00602717">
      <w:pPr>
        <w:spacing w:line="360" w:lineRule="auto"/>
        <w:ind w:firstLine="720"/>
        <w:contextualSpacing/>
        <w:jc w:val="both"/>
        <w:rPr>
          <w:bCs/>
          <w:iCs/>
        </w:rPr>
      </w:pPr>
    </w:p>
    <w:p w:rsidR="008972B4" w:rsidRDefault="00211AE6" w:rsidP="00602717">
      <w:pPr>
        <w:spacing w:line="360" w:lineRule="auto"/>
        <w:ind w:firstLine="720"/>
        <w:contextualSpacing/>
        <w:jc w:val="both"/>
        <w:rPr>
          <w:bCs/>
          <w:iCs/>
        </w:rPr>
      </w:pPr>
      <w:r w:rsidRPr="00211AE6">
        <w:rPr>
          <w:bCs/>
          <w:iCs/>
        </w:rPr>
        <w:t xml:space="preserve">Με απλά λόγια </w:t>
      </w:r>
      <w:r>
        <w:rPr>
          <w:bCs/>
          <w:iCs/>
        </w:rPr>
        <w:t xml:space="preserve">μια χώρα με έλλειμμα στο εμπορικό ισοζύγιο πληρωμών </w:t>
      </w:r>
      <w:r w:rsidRPr="00211AE6">
        <w:rPr>
          <w:bCs/>
          <w:iCs/>
        </w:rPr>
        <w:t>σημαίνει ότι μια χώρα εισάγει πιο πολλά απ</w:t>
      </w:r>
      <w:r>
        <w:rPr>
          <w:bCs/>
          <w:iCs/>
        </w:rPr>
        <w:t>ό</w:t>
      </w:r>
      <w:r w:rsidRPr="00211AE6">
        <w:rPr>
          <w:bCs/>
          <w:iCs/>
        </w:rPr>
        <w:t xml:space="preserve"> όσα είναι σε θέση να α</w:t>
      </w:r>
      <w:r>
        <w:rPr>
          <w:bCs/>
          <w:iCs/>
        </w:rPr>
        <w:t xml:space="preserve">γοράσει με τις εισπράξεις </w:t>
      </w:r>
      <w:proofErr w:type="spellStart"/>
      <w:r>
        <w:rPr>
          <w:bCs/>
          <w:iCs/>
        </w:rPr>
        <w:t>απο</w:t>
      </w:r>
      <w:proofErr w:type="spellEnd"/>
      <w:r>
        <w:rPr>
          <w:bCs/>
          <w:iCs/>
        </w:rPr>
        <w:t xml:space="preserve"> τι</w:t>
      </w:r>
      <w:r w:rsidRPr="00211AE6">
        <w:rPr>
          <w:bCs/>
          <w:iCs/>
        </w:rPr>
        <w:t>ς εξαγωγές α</w:t>
      </w:r>
      <w:r>
        <w:rPr>
          <w:bCs/>
          <w:iCs/>
        </w:rPr>
        <w:t>γαθών και</w:t>
      </w:r>
      <w:r w:rsidRPr="00211AE6">
        <w:rPr>
          <w:bCs/>
          <w:iCs/>
        </w:rPr>
        <w:t xml:space="preserve"> υπηρεσιών. Αν δεν τα καταφέρει να ισοσκελίσει το άνοιγμα που προέκυψε με άλλες εισροές κεφαλαίων που προέρχονται από </w:t>
      </w:r>
      <w:r>
        <w:rPr>
          <w:bCs/>
          <w:iCs/>
        </w:rPr>
        <w:t>τον λογαριασμό των μεταβιβάσεων</w:t>
      </w:r>
      <w:r w:rsidRPr="00211AE6">
        <w:rPr>
          <w:bCs/>
          <w:iCs/>
        </w:rPr>
        <w:t xml:space="preserve">, τότε η χώρα είναι υποχρεωμένη να καταφύγει στο εξωτερικό για να δημιουργήσει το αναγκαίο πλεόνασμα στο λογαριασμό κίνησης κεφαλαίων. Αυτό </w:t>
      </w:r>
      <w:proofErr w:type="spellStart"/>
      <w:r w:rsidRPr="00211AE6">
        <w:rPr>
          <w:bCs/>
          <w:iCs/>
        </w:rPr>
        <w:t>συνηθώς</w:t>
      </w:r>
      <w:proofErr w:type="spellEnd"/>
      <w:r w:rsidRPr="00211AE6">
        <w:rPr>
          <w:bCs/>
          <w:iCs/>
        </w:rPr>
        <w:t xml:space="preserve"> γίνεται μ</w:t>
      </w:r>
      <w:r>
        <w:rPr>
          <w:bCs/>
          <w:iCs/>
        </w:rPr>
        <w:t>ε αύξηση των άμεσων επενδύσεων ή</w:t>
      </w:r>
      <w:r w:rsidRPr="00211AE6">
        <w:rPr>
          <w:bCs/>
          <w:iCs/>
        </w:rPr>
        <w:t xml:space="preserve"> και</w:t>
      </w:r>
      <w:r>
        <w:rPr>
          <w:bCs/>
          <w:iCs/>
        </w:rPr>
        <w:t xml:space="preserve"> με</w:t>
      </w:r>
      <w:r w:rsidRPr="00211AE6">
        <w:rPr>
          <w:bCs/>
          <w:iCs/>
        </w:rPr>
        <w:t xml:space="preserve"> δανεισμό.  Όταν όμως</w:t>
      </w:r>
      <w:r>
        <w:rPr>
          <w:bCs/>
          <w:iCs/>
        </w:rPr>
        <w:t xml:space="preserve"> η χώρα </w:t>
      </w:r>
      <w:r w:rsidR="00494385">
        <w:rPr>
          <w:bCs/>
          <w:iCs/>
        </w:rPr>
        <w:t xml:space="preserve">συστηματικά </w:t>
      </w:r>
      <w:r>
        <w:rPr>
          <w:bCs/>
          <w:iCs/>
        </w:rPr>
        <w:t>χρηματοδοτεί τι</w:t>
      </w:r>
      <w:r w:rsidRPr="00211AE6">
        <w:rPr>
          <w:bCs/>
          <w:iCs/>
        </w:rPr>
        <w:t xml:space="preserve">ς εισαγωγές με δανεισμό σημαίνει μακροχρόνια </w:t>
      </w:r>
      <w:proofErr w:type="spellStart"/>
      <w:r w:rsidRPr="00211AE6">
        <w:rPr>
          <w:bCs/>
          <w:iCs/>
        </w:rPr>
        <w:t>οτι</w:t>
      </w:r>
      <w:proofErr w:type="spellEnd"/>
      <w:r w:rsidRPr="00211AE6">
        <w:rPr>
          <w:bCs/>
          <w:iCs/>
        </w:rPr>
        <w:t xml:space="preserve"> η χώρα ζει πάνω </w:t>
      </w:r>
      <w:proofErr w:type="spellStart"/>
      <w:r w:rsidRPr="00211AE6">
        <w:rPr>
          <w:bCs/>
          <w:iCs/>
        </w:rPr>
        <w:t>απο</w:t>
      </w:r>
      <w:proofErr w:type="spellEnd"/>
      <w:r w:rsidRPr="00211AE6">
        <w:rPr>
          <w:bCs/>
          <w:iCs/>
        </w:rPr>
        <w:t xml:space="preserve"> τ</w:t>
      </w:r>
      <w:r>
        <w:rPr>
          <w:bCs/>
          <w:iCs/>
        </w:rPr>
        <w:t xml:space="preserve">ις δυνάμεις της. Συνήθως οι οικονομολόγοι </w:t>
      </w:r>
      <w:r w:rsidR="00602717">
        <w:rPr>
          <w:bCs/>
          <w:iCs/>
        </w:rPr>
        <w:t xml:space="preserve">βλέπουν </w:t>
      </w:r>
      <w:r w:rsidR="00602717" w:rsidRPr="00654409">
        <w:rPr>
          <w:bCs/>
          <w:iCs/>
        </w:rPr>
        <w:t>τα ελ</w:t>
      </w:r>
      <w:r>
        <w:rPr>
          <w:bCs/>
          <w:iCs/>
        </w:rPr>
        <w:t>λείμματα σαν έλλειψη ανταγωνιστι</w:t>
      </w:r>
      <w:r w:rsidR="00602717" w:rsidRPr="00654409">
        <w:rPr>
          <w:bCs/>
          <w:iCs/>
        </w:rPr>
        <w:t>κότητας</w:t>
      </w:r>
      <w:r w:rsidR="00602717">
        <w:rPr>
          <w:bCs/>
          <w:iCs/>
        </w:rPr>
        <w:t xml:space="preserve">. </w:t>
      </w:r>
      <w:r w:rsidR="00654409" w:rsidRPr="00654409">
        <w:rPr>
          <w:bCs/>
          <w:iCs/>
        </w:rPr>
        <w:t>Υπάρχει βέβαια μία περίπτωση η χώρα να παρουσιάζει έλλειμμα λόγο απόκτησης κεφαλαιουχικού εξοπλισμού,</w:t>
      </w:r>
      <w:r w:rsidR="00F46D02">
        <w:rPr>
          <w:bCs/>
          <w:iCs/>
        </w:rPr>
        <w:t xml:space="preserve"> και ως </w:t>
      </w:r>
      <w:r w:rsidR="00654409" w:rsidRPr="00654409">
        <w:rPr>
          <w:bCs/>
          <w:iCs/>
        </w:rPr>
        <w:t xml:space="preserve">εκ </w:t>
      </w:r>
      <w:proofErr w:type="spellStart"/>
      <w:r w:rsidR="00654409" w:rsidRPr="00654409">
        <w:rPr>
          <w:bCs/>
          <w:iCs/>
        </w:rPr>
        <w:t>τουτου</w:t>
      </w:r>
      <w:proofErr w:type="spellEnd"/>
      <w:r w:rsidR="00654409" w:rsidRPr="00654409">
        <w:rPr>
          <w:bCs/>
          <w:iCs/>
        </w:rPr>
        <w:t xml:space="preserve"> δικαιολογείται </w:t>
      </w:r>
      <w:r w:rsidR="00F46D02">
        <w:rPr>
          <w:bCs/>
          <w:iCs/>
        </w:rPr>
        <w:t>σε ένα βαθμό</w:t>
      </w:r>
      <w:r w:rsidR="00654409" w:rsidRPr="00654409">
        <w:rPr>
          <w:bCs/>
          <w:iCs/>
        </w:rPr>
        <w:t>.</w:t>
      </w:r>
      <w:r w:rsidR="00654409">
        <w:rPr>
          <w:bCs/>
          <w:iCs/>
        </w:rPr>
        <w:t xml:space="preserve"> </w:t>
      </w:r>
    </w:p>
    <w:p w:rsidR="00654409" w:rsidRDefault="00602717" w:rsidP="00602717">
      <w:pPr>
        <w:spacing w:line="360" w:lineRule="auto"/>
        <w:ind w:firstLine="720"/>
        <w:contextualSpacing/>
        <w:jc w:val="both"/>
        <w:rPr>
          <w:bCs/>
          <w:iCs/>
        </w:rPr>
      </w:pPr>
      <w:r>
        <w:rPr>
          <w:bCs/>
          <w:iCs/>
        </w:rPr>
        <w:t>Μελετώντας τις οικονομικές συνέπειες ενός ελλείμματος στην βιβλιογραφία παρουσιάζονται απόψεις</w:t>
      </w:r>
      <w:r w:rsidR="00494385">
        <w:rPr>
          <w:bCs/>
          <w:iCs/>
        </w:rPr>
        <w:t>,</w:t>
      </w:r>
      <w:r>
        <w:rPr>
          <w:bCs/>
          <w:iCs/>
        </w:rPr>
        <w:t xml:space="preserve"> όπως </w:t>
      </w:r>
      <w:r w:rsidR="00654409" w:rsidRPr="00654409">
        <w:rPr>
          <w:bCs/>
          <w:iCs/>
        </w:rPr>
        <w:t>ότι όσο µ</w:t>
      </w:r>
      <w:proofErr w:type="spellStart"/>
      <w:r w:rsidR="00654409" w:rsidRPr="00654409">
        <w:rPr>
          <w:bCs/>
          <w:iCs/>
        </w:rPr>
        <w:t>εγαλύτερη</w:t>
      </w:r>
      <w:proofErr w:type="spellEnd"/>
      <w:r w:rsidR="00654409" w:rsidRPr="00654409">
        <w:rPr>
          <w:bCs/>
          <w:iCs/>
        </w:rPr>
        <w:t xml:space="preserve"> είναι η εξάρτηση από τους ξένους πιστωτές, τόσο µ</w:t>
      </w:r>
      <w:proofErr w:type="spellStart"/>
      <w:r w:rsidR="00654409" w:rsidRPr="00654409">
        <w:rPr>
          <w:bCs/>
          <w:iCs/>
        </w:rPr>
        <w:t>εγαλύτερη</w:t>
      </w:r>
      <w:proofErr w:type="spellEnd"/>
      <w:r w:rsidR="00654409" w:rsidRPr="00654409">
        <w:rPr>
          <w:bCs/>
          <w:iCs/>
        </w:rPr>
        <w:t xml:space="preserve"> είναι η έκθεση της χώρας στην αστάθεια των διεθνών κεφαλαιαγορών</w:t>
      </w:r>
      <w:r>
        <w:rPr>
          <w:bCs/>
          <w:iCs/>
        </w:rPr>
        <w:t xml:space="preserve">. Επιπρόσθετα </w:t>
      </w:r>
      <w:r w:rsidR="00654409" w:rsidRPr="00654409">
        <w:rPr>
          <w:bCs/>
          <w:iCs/>
        </w:rPr>
        <w:t xml:space="preserve">η απώλεια </w:t>
      </w:r>
      <w:proofErr w:type="spellStart"/>
      <w:r w:rsidR="00654409" w:rsidRPr="00654409">
        <w:rPr>
          <w:bCs/>
          <w:iCs/>
        </w:rPr>
        <w:t>εµπιστοσύνης</w:t>
      </w:r>
      <w:proofErr w:type="spellEnd"/>
      <w:r w:rsidR="00654409" w:rsidRPr="00654409">
        <w:rPr>
          <w:bCs/>
          <w:iCs/>
        </w:rPr>
        <w:t xml:space="preserve">  µ</w:t>
      </w:r>
      <w:proofErr w:type="spellStart"/>
      <w:r w:rsidR="00654409" w:rsidRPr="00654409">
        <w:rPr>
          <w:bCs/>
          <w:iCs/>
        </w:rPr>
        <w:t>πορεί</w:t>
      </w:r>
      <w:proofErr w:type="spellEnd"/>
      <w:r w:rsidR="00654409" w:rsidRPr="00654409">
        <w:rPr>
          <w:bCs/>
          <w:iCs/>
        </w:rPr>
        <w:t xml:space="preserve"> να οδηγήσει σε εξαιρετικά</w:t>
      </w:r>
      <w:r w:rsidR="00F46D02">
        <w:rPr>
          <w:bCs/>
          <w:iCs/>
        </w:rPr>
        <w:t xml:space="preserve"> </w:t>
      </w:r>
      <w:r w:rsidR="00654409" w:rsidRPr="00654409">
        <w:rPr>
          <w:bCs/>
          <w:iCs/>
        </w:rPr>
        <w:t>µ</w:t>
      </w:r>
      <w:proofErr w:type="spellStart"/>
      <w:r w:rsidR="00654409" w:rsidRPr="00654409">
        <w:rPr>
          <w:bCs/>
          <w:iCs/>
        </w:rPr>
        <w:t>εγάλες</w:t>
      </w:r>
      <w:proofErr w:type="spellEnd"/>
      <w:r w:rsidR="00654409" w:rsidRPr="00654409">
        <w:rPr>
          <w:bCs/>
          <w:iCs/>
        </w:rPr>
        <w:t xml:space="preserve"> </w:t>
      </w:r>
      <w:proofErr w:type="spellStart"/>
      <w:r w:rsidR="00654409" w:rsidRPr="00654409">
        <w:rPr>
          <w:bCs/>
          <w:iCs/>
        </w:rPr>
        <w:t>υποτιµήσεις</w:t>
      </w:r>
      <w:proofErr w:type="spellEnd"/>
      <w:r w:rsidR="00654409" w:rsidRPr="00654409">
        <w:rPr>
          <w:bCs/>
          <w:iCs/>
        </w:rPr>
        <w:t xml:space="preserve"> της </w:t>
      </w:r>
      <w:proofErr w:type="spellStart"/>
      <w:r w:rsidR="00654409" w:rsidRPr="00654409">
        <w:rPr>
          <w:bCs/>
          <w:iCs/>
        </w:rPr>
        <w:t>συναλλαγµατικής</w:t>
      </w:r>
      <w:proofErr w:type="spellEnd"/>
      <w:r w:rsidR="00654409" w:rsidRPr="00654409">
        <w:rPr>
          <w:bCs/>
          <w:iCs/>
        </w:rPr>
        <w:t xml:space="preserve"> </w:t>
      </w:r>
      <w:proofErr w:type="spellStart"/>
      <w:r w:rsidR="00654409" w:rsidRPr="00654409">
        <w:rPr>
          <w:bCs/>
          <w:iCs/>
        </w:rPr>
        <w:t>ισοτιµίας</w:t>
      </w:r>
      <w:proofErr w:type="spellEnd"/>
      <w:r w:rsidR="00654409" w:rsidRPr="00654409">
        <w:rPr>
          <w:bCs/>
          <w:iCs/>
        </w:rPr>
        <w:t xml:space="preserve">, </w:t>
      </w:r>
      <w:r>
        <w:rPr>
          <w:bCs/>
          <w:iCs/>
        </w:rPr>
        <w:t>γεγονός</w:t>
      </w:r>
      <w:r w:rsidR="00654409" w:rsidRPr="00654409">
        <w:rPr>
          <w:bCs/>
          <w:iCs/>
        </w:rPr>
        <w:t xml:space="preserve"> που συνεπάγ</w:t>
      </w:r>
      <w:r>
        <w:rPr>
          <w:bCs/>
          <w:iCs/>
        </w:rPr>
        <w:t>ε</w:t>
      </w:r>
      <w:r w:rsidR="00654409" w:rsidRPr="00654409">
        <w:rPr>
          <w:bCs/>
          <w:iCs/>
        </w:rPr>
        <w:t xml:space="preserve">ται απώλεια </w:t>
      </w:r>
      <w:proofErr w:type="spellStart"/>
      <w:r w:rsidR="00654409" w:rsidRPr="00654409">
        <w:rPr>
          <w:bCs/>
          <w:iCs/>
        </w:rPr>
        <w:t>πραγµατικού</w:t>
      </w:r>
      <w:proofErr w:type="spellEnd"/>
      <w:r w:rsidR="00654409" w:rsidRPr="00654409">
        <w:rPr>
          <w:bCs/>
          <w:iCs/>
        </w:rPr>
        <w:t xml:space="preserve"> </w:t>
      </w:r>
      <w:proofErr w:type="spellStart"/>
      <w:r w:rsidR="00654409" w:rsidRPr="00654409">
        <w:rPr>
          <w:bCs/>
          <w:iCs/>
        </w:rPr>
        <w:t>εισοδήµατος</w:t>
      </w:r>
      <w:proofErr w:type="spellEnd"/>
      <w:r w:rsidR="00654409" w:rsidRPr="00654409">
        <w:rPr>
          <w:bCs/>
          <w:iCs/>
        </w:rPr>
        <w:t xml:space="preserve"> αλλά και </w:t>
      </w:r>
      <w:proofErr w:type="spellStart"/>
      <w:r w:rsidR="00654409" w:rsidRPr="00654409">
        <w:rPr>
          <w:bCs/>
          <w:iCs/>
        </w:rPr>
        <w:t>δηµιουργία</w:t>
      </w:r>
      <w:proofErr w:type="spellEnd"/>
      <w:r w:rsidR="00654409" w:rsidRPr="00654409">
        <w:rPr>
          <w:bCs/>
          <w:iCs/>
        </w:rPr>
        <w:t xml:space="preserve"> πληθωριστικών πιέσεων</w:t>
      </w:r>
      <w:r>
        <w:rPr>
          <w:bCs/>
          <w:iCs/>
        </w:rPr>
        <w:t>. Τέλος μαζ</w:t>
      </w:r>
      <w:r w:rsidR="00211AE6">
        <w:rPr>
          <w:bCs/>
          <w:iCs/>
        </w:rPr>
        <w:t>ί με την αύξηση του</w:t>
      </w:r>
      <w:r>
        <w:rPr>
          <w:bCs/>
          <w:iCs/>
        </w:rPr>
        <w:t xml:space="preserve"> </w:t>
      </w:r>
      <w:r w:rsidR="00211AE6">
        <w:rPr>
          <w:bCs/>
          <w:iCs/>
        </w:rPr>
        <w:t>ελλείμματος αυξάνεται και το</w:t>
      </w:r>
      <w:r w:rsidR="00654409" w:rsidRPr="00654409">
        <w:rPr>
          <w:bCs/>
          <w:iCs/>
        </w:rPr>
        <w:t xml:space="preserve"> μέρος της ιδιοκτησίας των οικονομικών περιουσιακών στοιχείων μιας χώρας που θα περιέλθει στα χέρια των ξένων</w:t>
      </w:r>
      <w:r w:rsidR="00211AE6">
        <w:rPr>
          <w:bCs/>
          <w:iCs/>
        </w:rPr>
        <w:t xml:space="preserve"> με αρνητικές επιδράσεις σχετικά με την εθνική </w:t>
      </w:r>
      <w:proofErr w:type="spellStart"/>
      <w:r w:rsidR="00211AE6">
        <w:rPr>
          <w:bCs/>
          <w:iCs/>
        </w:rPr>
        <w:t>οικονοµική</w:t>
      </w:r>
      <w:proofErr w:type="spellEnd"/>
      <w:r w:rsidR="00654409" w:rsidRPr="00654409">
        <w:rPr>
          <w:bCs/>
          <w:iCs/>
        </w:rPr>
        <w:t xml:space="preserve"> κυριαρχία</w:t>
      </w:r>
      <w:r w:rsidR="00211AE6">
        <w:rPr>
          <w:bCs/>
          <w:iCs/>
        </w:rPr>
        <w:t xml:space="preserve"> της χώρας</w:t>
      </w:r>
      <w:r w:rsidR="00654409" w:rsidRPr="00654409">
        <w:rPr>
          <w:bCs/>
          <w:iCs/>
        </w:rPr>
        <w:t>.</w:t>
      </w:r>
    </w:p>
    <w:p w:rsidR="00A2556D" w:rsidRDefault="00A2556D" w:rsidP="00A2556D">
      <w:pPr>
        <w:spacing w:line="360" w:lineRule="auto"/>
        <w:ind w:firstLine="720"/>
        <w:contextualSpacing/>
        <w:jc w:val="both"/>
        <w:rPr>
          <w:bCs/>
          <w:iCs/>
        </w:rPr>
      </w:pPr>
      <w:r w:rsidRPr="00A2556D">
        <w:rPr>
          <w:bCs/>
          <w:iCs/>
        </w:rPr>
        <w:t xml:space="preserve">Τα κυριότερα αίτια </w:t>
      </w:r>
      <w:r w:rsidR="00494385" w:rsidRPr="00A2556D">
        <w:rPr>
          <w:bCs/>
          <w:iCs/>
        </w:rPr>
        <w:t>που</w:t>
      </w:r>
      <w:r w:rsidR="00494385">
        <w:rPr>
          <w:bCs/>
          <w:iCs/>
        </w:rPr>
        <w:t xml:space="preserve"> εμφανίζονται στην βιβλιογραφία</w:t>
      </w:r>
      <w:r w:rsidR="00494385" w:rsidRPr="00A2556D">
        <w:rPr>
          <w:bCs/>
          <w:iCs/>
        </w:rPr>
        <w:t xml:space="preserve"> </w:t>
      </w:r>
      <w:r w:rsidR="00494385">
        <w:rPr>
          <w:bCs/>
          <w:iCs/>
        </w:rPr>
        <w:t xml:space="preserve">και </w:t>
      </w:r>
      <w:r w:rsidRPr="00A2556D">
        <w:rPr>
          <w:bCs/>
          <w:iCs/>
        </w:rPr>
        <w:t xml:space="preserve">έχουν ως </w:t>
      </w:r>
      <w:proofErr w:type="spellStart"/>
      <w:r w:rsidRPr="00A2556D">
        <w:rPr>
          <w:bCs/>
          <w:iCs/>
        </w:rPr>
        <w:t>αποτελεσμα</w:t>
      </w:r>
      <w:proofErr w:type="spellEnd"/>
      <w:r w:rsidRPr="00A2556D">
        <w:rPr>
          <w:bCs/>
          <w:iCs/>
        </w:rPr>
        <w:t xml:space="preserve"> διαταρα</w:t>
      </w:r>
      <w:r w:rsidR="00FC609C">
        <w:rPr>
          <w:bCs/>
          <w:iCs/>
        </w:rPr>
        <w:t>χές στο ισοζύγιο πληρωμών είναι τα ακόλουθα. Πρώτον ο μη συντονισμός στην άσκηση νο</w:t>
      </w:r>
      <w:r w:rsidR="005A207C">
        <w:rPr>
          <w:bCs/>
          <w:iCs/>
        </w:rPr>
        <w:t>μ</w:t>
      </w:r>
      <w:r w:rsidR="00FC609C">
        <w:rPr>
          <w:bCs/>
          <w:iCs/>
        </w:rPr>
        <w:t xml:space="preserve">ισματικής πολιτικής μεταξύ δύο χωρών. </w:t>
      </w:r>
      <w:r w:rsidRPr="00A2556D">
        <w:rPr>
          <w:bCs/>
          <w:iCs/>
        </w:rPr>
        <w:t xml:space="preserve">Αν για παράδειγμα μια χώρα εφαρμόζει επεκτατική νομισματική πολιτική τη στιγμή που άλλες χώρες </w:t>
      </w:r>
      <w:r w:rsidR="00FC609C">
        <w:rPr>
          <w:bCs/>
          <w:iCs/>
        </w:rPr>
        <w:t xml:space="preserve">που </w:t>
      </w:r>
      <w:proofErr w:type="spellStart"/>
      <w:r w:rsidR="00FC609C">
        <w:rPr>
          <w:bCs/>
          <w:iCs/>
        </w:rPr>
        <w:t>συναλλάσεται</w:t>
      </w:r>
      <w:proofErr w:type="spellEnd"/>
      <w:r w:rsidR="00FC609C">
        <w:rPr>
          <w:bCs/>
          <w:iCs/>
        </w:rPr>
        <w:t xml:space="preserve"> ακολουθούν περιοριστική νομισματική πολιτική. Τ</w:t>
      </w:r>
      <w:r w:rsidRPr="00A2556D">
        <w:rPr>
          <w:bCs/>
          <w:iCs/>
        </w:rPr>
        <w:t>ότε</w:t>
      </w:r>
      <w:r w:rsidR="00FC609C">
        <w:rPr>
          <w:bCs/>
          <w:iCs/>
        </w:rPr>
        <w:t xml:space="preserve"> συνέπεια αυτών των πολιτικών </w:t>
      </w:r>
      <w:r w:rsidRPr="00A2556D">
        <w:rPr>
          <w:bCs/>
          <w:iCs/>
        </w:rPr>
        <w:t xml:space="preserve">θα </w:t>
      </w:r>
      <w:r w:rsidR="00FC609C">
        <w:rPr>
          <w:bCs/>
          <w:iCs/>
        </w:rPr>
        <w:t>είναι μια</w:t>
      </w:r>
      <w:r w:rsidRPr="00A2556D">
        <w:rPr>
          <w:bCs/>
          <w:iCs/>
        </w:rPr>
        <w:t xml:space="preserve"> αύξηση των εισαγωγών,</w:t>
      </w:r>
      <w:r w:rsidR="00FC609C">
        <w:rPr>
          <w:bCs/>
          <w:iCs/>
        </w:rPr>
        <w:t xml:space="preserve"> και κατ’ επέκταση μια </w:t>
      </w:r>
      <w:r w:rsidRPr="00A2556D">
        <w:rPr>
          <w:bCs/>
          <w:iCs/>
        </w:rPr>
        <w:t xml:space="preserve">αύξηση της ζήτησης για </w:t>
      </w:r>
      <w:r w:rsidR="00FC609C">
        <w:rPr>
          <w:bCs/>
          <w:iCs/>
        </w:rPr>
        <w:t>συνάλλαγμα το οποίο θα εισρεύσ</w:t>
      </w:r>
      <w:r w:rsidR="005A207C">
        <w:rPr>
          <w:bCs/>
          <w:iCs/>
        </w:rPr>
        <w:t xml:space="preserve">ει στην χώρα προκαλώντας ανισορροπία. Δεύτερον, διαταραχές της προσφοράς </w:t>
      </w:r>
      <w:r w:rsidRPr="00A2556D">
        <w:rPr>
          <w:bCs/>
          <w:iCs/>
        </w:rPr>
        <w:t xml:space="preserve">αγαθών και </w:t>
      </w:r>
      <w:r w:rsidRPr="00A2556D">
        <w:rPr>
          <w:bCs/>
          <w:iCs/>
        </w:rPr>
        <w:lastRenderedPageBreak/>
        <w:t xml:space="preserve">υπηρεσιών. </w:t>
      </w:r>
      <w:r w:rsidR="005A207C">
        <w:rPr>
          <w:bCs/>
          <w:iCs/>
        </w:rPr>
        <w:t>Διαταραχές που μπορεί να οφείλονται σε</w:t>
      </w:r>
      <w:r w:rsidRPr="00A2556D">
        <w:rPr>
          <w:bCs/>
          <w:iCs/>
        </w:rPr>
        <w:t xml:space="preserve"> καιρικ</w:t>
      </w:r>
      <w:r w:rsidR="005A207C">
        <w:rPr>
          <w:bCs/>
          <w:iCs/>
        </w:rPr>
        <w:t>ές συνθήκες</w:t>
      </w:r>
      <w:r w:rsidRPr="00A2556D">
        <w:rPr>
          <w:bCs/>
          <w:iCs/>
        </w:rPr>
        <w:t xml:space="preserve">, </w:t>
      </w:r>
      <w:r w:rsidR="005A207C">
        <w:rPr>
          <w:bCs/>
          <w:iCs/>
        </w:rPr>
        <w:t>σε</w:t>
      </w:r>
      <w:r w:rsidRPr="00A2556D">
        <w:rPr>
          <w:bCs/>
          <w:iCs/>
        </w:rPr>
        <w:t xml:space="preserve"> μεταβολές στις προτιμήσεις των καταναλωτών,</w:t>
      </w:r>
      <w:r w:rsidR="005A207C">
        <w:rPr>
          <w:bCs/>
          <w:iCs/>
        </w:rPr>
        <w:t xml:space="preserve"> στην</w:t>
      </w:r>
      <w:r w:rsidRPr="00A2556D">
        <w:rPr>
          <w:bCs/>
          <w:iCs/>
        </w:rPr>
        <w:t xml:space="preserve"> τεχνολογική εξέλιξη με την εμφάνιση νέων προϊόντων και την ταυτόχρονη εξαφάνιση παλαιών, </w:t>
      </w:r>
      <w:r w:rsidR="005A207C">
        <w:rPr>
          <w:bCs/>
          <w:iCs/>
        </w:rPr>
        <w:t>σε</w:t>
      </w:r>
      <w:r w:rsidRPr="00A2556D">
        <w:rPr>
          <w:bCs/>
          <w:iCs/>
        </w:rPr>
        <w:t xml:space="preserve"> μεταβολές στο εργατικό δυναμικό.</w:t>
      </w:r>
      <w:r w:rsidR="005A207C">
        <w:rPr>
          <w:bCs/>
          <w:iCs/>
        </w:rPr>
        <w:t xml:space="preserve"> Τρίτον, ε</w:t>
      </w:r>
      <w:r w:rsidRPr="00A2556D">
        <w:rPr>
          <w:bCs/>
          <w:iCs/>
        </w:rPr>
        <w:t>λλείμματα και πλεονάσματα στο ισοζύγιο πληρωμών είναι δυνατό να δημιουργηθούν και με την αύξηση της ζήτησης για εισαγόμενα προϊόντα ή και από περιορισμούς στις εισαγωγές αλλοδαπών προϊόντων.</w:t>
      </w:r>
      <w:r w:rsidR="005A207C">
        <w:rPr>
          <w:bCs/>
          <w:iCs/>
        </w:rPr>
        <w:t xml:space="preserve"> Δηλαδή αιτίες που σχετίζονται με τις συνθήκες της ζήτησης σε μια οικονομία. </w:t>
      </w:r>
    </w:p>
    <w:p w:rsidR="00947C40" w:rsidRPr="0054083D" w:rsidRDefault="0054083D" w:rsidP="004C1887">
      <w:pPr>
        <w:spacing w:line="360" w:lineRule="auto"/>
        <w:ind w:firstLine="720"/>
        <w:contextualSpacing/>
        <w:jc w:val="both"/>
      </w:pPr>
      <w:r>
        <w:t xml:space="preserve">Στην συνέχεια στις επόμενες ενότητες θα παρουσιάσουμε την </w:t>
      </w:r>
      <w:proofErr w:type="spellStart"/>
      <w:r>
        <w:t>κεϋνσιανή</w:t>
      </w:r>
      <w:proofErr w:type="spellEnd"/>
      <w:r>
        <w:t xml:space="preserve"> και την μονεταριστική προσέγγιση του ισοζυγίου πληρωμών, οι οποίες μελετάνε την σχέση της συναλλαγματικής ισοτιμίας και του ισοζυγίου πληρωμών. Πιο συγκεκριμένα αναλύουν την επίδραση μιας υποτίμησης στο ισοζύγιο </w:t>
      </w:r>
      <w:r w:rsidR="00A136BE">
        <w:t>τρεχουσών συναλλαγών</w:t>
      </w:r>
      <w:r>
        <w:t>.</w:t>
      </w:r>
    </w:p>
    <w:p w:rsidR="00947C40" w:rsidRPr="0054083D" w:rsidRDefault="00947C40" w:rsidP="004C1887">
      <w:pPr>
        <w:spacing w:line="360" w:lineRule="auto"/>
        <w:ind w:firstLine="720"/>
        <w:contextualSpacing/>
        <w:jc w:val="both"/>
      </w:pPr>
    </w:p>
    <w:p w:rsidR="00A56C61" w:rsidRDefault="00A56C61" w:rsidP="00A56C61">
      <w:pPr>
        <w:pStyle w:val="2"/>
        <w:spacing w:before="0" w:after="0" w:line="360" w:lineRule="auto"/>
        <w:jc w:val="both"/>
        <w:rPr>
          <w:rFonts w:ascii="Times New Roman" w:hAnsi="Times New Roman" w:cs="Times New Roman"/>
          <w:i w:val="0"/>
          <w:sz w:val="24"/>
          <w:szCs w:val="24"/>
        </w:rPr>
      </w:pPr>
      <w:bookmarkStart w:id="17" w:name="_Toc395803094"/>
      <w:bookmarkStart w:id="18" w:name="_Toc396220902"/>
      <w:r>
        <w:rPr>
          <w:rFonts w:ascii="Times New Roman" w:hAnsi="Times New Roman" w:cs="Times New Roman"/>
          <w:i w:val="0"/>
          <w:sz w:val="24"/>
          <w:szCs w:val="24"/>
        </w:rPr>
        <w:t>7.2.2</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 xml:space="preserve">Η </w:t>
      </w:r>
      <w:proofErr w:type="spellStart"/>
      <w:r>
        <w:rPr>
          <w:rFonts w:ascii="Times New Roman" w:hAnsi="Times New Roman" w:cs="Times New Roman"/>
          <w:i w:val="0"/>
          <w:sz w:val="24"/>
          <w:szCs w:val="24"/>
        </w:rPr>
        <w:t>κεϋνσιανή</w:t>
      </w:r>
      <w:proofErr w:type="spellEnd"/>
      <w:r>
        <w:rPr>
          <w:rFonts w:ascii="Times New Roman" w:hAnsi="Times New Roman" w:cs="Times New Roman"/>
          <w:i w:val="0"/>
          <w:sz w:val="24"/>
          <w:szCs w:val="24"/>
        </w:rPr>
        <w:t xml:space="preserve"> προσέγγιση</w:t>
      </w:r>
      <w:bookmarkEnd w:id="17"/>
      <w:bookmarkEnd w:id="18"/>
      <w:r>
        <w:rPr>
          <w:rFonts w:ascii="Times New Roman" w:hAnsi="Times New Roman" w:cs="Times New Roman"/>
          <w:i w:val="0"/>
          <w:sz w:val="24"/>
          <w:szCs w:val="24"/>
        </w:rPr>
        <w:t xml:space="preserve"> </w:t>
      </w:r>
    </w:p>
    <w:p w:rsidR="009A4937" w:rsidRPr="009A4937" w:rsidRDefault="00A346DC" w:rsidP="009A4937">
      <w:pPr>
        <w:spacing w:line="360" w:lineRule="auto"/>
        <w:ind w:firstLine="720"/>
        <w:contextualSpacing/>
        <w:jc w:val="both"/>
      </w:pPr>
      <w:r>
        <w:t>Σε αυτή την ενότητα και σ</w:t>
      </w:r>
      <w:r w:rsidR="009A4937" w:rsidRPr="009A4937">
        <w:t xml:space="preserve">τα πλαίσια της </w:t>
      </w:r>
      <w:proofErr w:type="spellStart"/>
      <w:r w:rsidR="009A4937" w:rsidRPr="009A4937">
        <w:t>κεϋνσιανής</w:t>
      </w:r>
      <w:proofErr w:type="spellEnd"/>
      <w:r w:rsidR="009A4937" w:rsidRPr="009A4937">
        <w:t xml:space="preserve"> προσέγγισης</w:t>
      </w:r>
      <w:r>
        <w:t>,</w:t>
      </w:r>
      <w:r w:rsidR="009A4937" w:rsidRPr="009A4937">
        <w:t xml:space="preserve"> θα παρουσιάσουμε δύο υποδείγματα</w:t>
      </w:r>
      <w:r w:rsidRPr="00A346DC">
        <w:t xml:space="preserve"> </w:t>
      </w:r>
      <w:r>
        <w:t>που</w:t>
      </w:r>
      <w:r w:rsidRPr="009A4937">
        <w:t xml:space="preserve"> αποσκοπούν στη διερεύνηση των συνθηκών που πρέπει να ικανοποιούνται ώστε η υποτίμηση του νομίσματος να οδηγεί σε βελτίωση του ισοζυγίου τρεχουσών συναλλαγών.</w:t>
      </w:r>
      <w:r w:rsidR="00AF4096" w:rsidRPr="00AF4096">
        <w:t xml:space="preserve"> </w:t>
      </w:r>
      <w:r>
        <w:t>Τ</w:t>
      </w:r>
      <w:r w:rsidR="009A4937" w:rsidRPr="009A4937">
        <w:t>ο</w:t>
      </w:r>
      <w:r>
        <w:t xml:space="preserve"> πρώτο</w:t>
      </w:r>
      <w:r w:rsidR="00494385">
        <w:t>,</w:t>
      </w:r>
      <w:r>
        <w:t xml:space="preserve"> γνωστό ως</w:t>
      </w:r>
      <w:r w:rsidR="009A4937" w:rsidRPr="009A4937">
        <w:t xml:space="preserve"> υπόδειγμα των </w:t>
      </w:r>
      <w:proofErr w:type="spellStart"/>
      <w:r w:rsidR="009A4937" w:rsidRPr="009A4937">
        <w:t>ελαστικοτήτων</w:t>
      </w:r>
      <w:proofErr w:type="spellEnd"/>
      <w:r w:rsidR="00494385">
        <w:t>,</w:t>
      </w:r>
      <w:r w:rsidR="009A4937" w:rsidRPr="009A4937">
        <w:t xml:space="preserve"> </w:t>
      </w:r>
      <w:r>
        <w:t>υποστηρίζει ότι η βελτίωση ή όχι του εμπορικού ισοζυγίου μιας χώρας από την υποτίμηση του εγχώριου νομίσμ</w:t>
      </w:r>
      <w:r w:rsidR="00494385">
        <w:t>α</w:t>
      </w:r>
      <w:r>
        <w:t xml:space="preserve">τος εξαρτάται από τις συναλλαγματικές </w:t>
      </w:r>
      <w:proofErr w:type="spellStart"/>
      <w:r>
        <w:t>ελαστικότητες</w:t>
      </w:r>
      <w:proofErr w:type="spellEnd"/>
      <w:r>
        <w:t xml:space="preserve"> των εξαγωγών και των εισαγωγών. Ενώ</w:t>
      </w:r>
      <w:r w:rsidR="009A4937" w:rsidRPr="009A4937">
        <w:t xml:space="preserve"> το υπόδειγμα της </w:t>
      </w:r>
      <w:r>
        <w:t xml:space="preserve">απορρόφησης ή </w:t>
      </w:r>
      <w:r w:rsidR="009A4937" w:rsidRPr="009A4937">
        <w:t>δαπάνης</w:t>
      </w:r>
      <w:r>
        <w:t xml:space="preserve"> </w:t>
      </w:r>
      <w:proofErr w:type="spellStart"/>
      <w:r w:rsidR="00A136BE">
        <w:t>αναδυκνύει</w:t>
      </w:r>
      <w:proofErr w:type="spellEnd"/>
      <w:r w:rsidR="00A136BE">
        <w:t xml:space="preserve"> την σημαντικότητα των εισοδηματικών επιδράσεων από μεταβολές των εξαγωγών στον τελικό αποτέλεσμ</w:t>
      </w:r>
      <w:r w:rsidR="00494385">
        <w:t>α από την υποτίμηση πά</w:t>
      </w:r>
      <w:r w:rsidR="00A136BE">
        <w:t>νω στο εμπορικό ισοζύγιο.</w:t>
      </w:r>
      <w:r w:rsidR="0054083D">
        <w:t xml:space="preserve"> </w:t>
      </w:r>
    </w:p>
    <w:p w:rsidR="009A4937" w:rsidRPr="009A4937" w:rsidRDefault="00A346DC" w:rsidP="009A4937">
      <w:pPr>
        <w:spacing w:line="360" w:lineRule="auto"/>
        <w:ind w:firstLine="720"/>
        <w:contextualSpacing/>
        <w:jc w:val="both"/>
      </w:pPr>
      <w:r>
        <w:t xml:space="preserve">Στις βασικές υποθέσεις των δύο υποδειγμάτων είναι </w:t>
      </w:r>
      <w:r w:rsidR="0054083D">
        <w:t>ότι ο</w:t>
      </w:r>
      <w:r w:rsidR="009A4937" w:rsidRPr="009A4937">
        <w:t xml:space="preserve">ι εξαγωγές των </w:t>
      </w:r>
      <w:r w:rsidR="0054083D">
        <w:t xml:space="preserve">δυο </w:t>
      </w:r>
      <w:r w:rsidR="009A4937" w:rsidRPr="009A4937">
        <w:t xml:space="preserve">χωρών </w:t>
      </w:r>
      <w:r w:rsidR="0054083D">
        <w:t>ημεδαπής και αλλοδαπής</w:t>
      </w:r>
      <w:r w:rsidR="0054083D" w:rsidRPr="009A4937">
        <w:t xml:space="preserve"> </w:t>
      </w:r>
      <w:r w:rsidR="009A4937" w:rsidRPr="009A4937">
        <w:t>αποτελούνται κυρίως από βιομηχανικά προϊόντα και οι συναρτήσεις των εξαγωγών τους είναι τελείως ελαστικές</w:t>
      </w:r>
      <w:r w:rsidR="00A136BE">
        <w:t>.</w:t>
      </w:r>
      <w:r>
        <w:t xml:space="preserve"> </w:t>
      </w:r>
      <w:r w:rsidR="00A136BE">
        <w:t>Π</w:t>
      </w:r>
      <w:r>
        <w:t xml:space="preserve">ράγμα που σημαίνει ότι </w:t>
      </w:r>
      <w:r w:rsidR="009A4937" w:rsidRPr="009A4937">
        <w:t xml:space="preserve"> οι τιμές </w:t>
      </w:r>
      <w:r w:rsidR="00A136BE">
        <w:t>της</w:t>
      </w:r>
      <w:r w:rsidR="009A4937" w:rsidRPr="009A4937">
        <w:t xml:space="preserve"> ημεδαπής και </w:t>
      </w:r>
      <w:r w:rsidR="00A136BE">
        <w:t>της</w:t>
      </w:r>
      <w:r w:rsidR="009A4937" w:rsidRPr="009A4937">
        <w:t xml:space="preserve"> αλλοδαπής δεν επηρεάζονται από μεταβολές </w:t>
      </w:r>
      <w:r w:rsidR="00A136BE">
        <w:t>της</w:t>
      </w:r>
      <w:r w:rsidR="009A4937" w:rsidRPr="009A4937">
        <w:t xml:space="preserve"> ζήτησης για εισαγωγές κάθε χώρας. </w:t>
      </w:r>
      <w:r>
        <w:t>Πρακτικά α</w:t>
      </w:r>
      <w:r w:rsidR="009A4937" w:rsidRPr="009A4937">
        <w:t xml:space="preserve">υτό σημαίνει ότι μια αύξηση </w:t>
      </w:r>
      <w:r w:rsidR="00A136BE">
        <w:t>της</w:t>
      </w:r>
      <w:r w:rsidR="009A4937" w:rsidRPr="009A4937">
        <w:t xml:space="preserve"> ονομαστικής συναλλαγματικής ισοτιμίας </w:t>
      </w:r>
      <w:r w:rsidR="0054083D">
        <w:t>οδηγεί σε</w:t>
      </w:r>
      <w:r w:rsidR="009A4937" w:rsidRPr="009A4937">
        <w:t xml:space="preserve"> αύξηση </w:t>
      </w:r>
      <w:r w:rsidR="00A136BE">
        <w:t>της</w:t>
      </w:r>
      <w:r w:rsidR="009A4937" w:rsidRPr="009A4937">
        <w:t xml:space="preserve"> πραγματικής συναλλαγματικής ισοτιμίας. </w:t>
      </w:r>
    </w:p>
    <w:p w:rsidR="0054083D" w:rsidRDefault="0054083D" w:rsidP="0054083D">
      <w:pPr>
        <w:spacing w:line="360" w:lineRule="auto"/>
        <w:contextualSpacing/>
        <w:jc w:val="both"/>
        <w:rPr>
          <w:i/>
          <w:iCs/>
        </w:rPr>
      </w:pPr>
    </w:p>
    <w:p w:rsidR="009A4937" w:rsidRPr="00A136BE" w:rsidRDefault="009A4937" w:rsidP="0054083D">
      <w:pPr>
        <w:spacing w:line="360" w:lineRule="auto"/>
        <w:contextualSpacing/>
        <w:jc w:val="both"/>
        <w:rPr>
          <w:u w:val="single"/>
        </w:rPr>
      </w:pPr>
      <w:r w:rsidRPr="00A136BE">
        <w:rPr>
          <w:i/>
          <w:iCs/>
          <w:u w:val="single"/>
        </w:rPr>
        <w:lastRenderedPageBreak/>
        <w:t xml:space="preserve">Το υπόδειγμα των </w:t>
      </w:r>
      <w:proofErr w:type="spellStart"/>
      <w:r w:rsidRPr="00A136BE">
        <w:rPr>
          <w:i/>
          <w:iCs/>
          <w:u w:val="single"/>
        </w:rPr>
        <w:t>ελαστικοτήτων</w:t>
      </w:r>
      <w:proofErr w:type="spellEnd"/>
      <w:r w:rsidRPr="00A136BE">
        <w:rPr>
          <w:i/>
          <w:iCs/>
          <w:u w:val="single"/>
        </w:rPr>
        <w:t xml:space="preserve"> </w:t>
      </w:r>
    </w:p>
    <w:p w:rsidR="009A4937" w:rsidRPr="00390C38" w:rsidRDefault="00A136BE" w:rsidP="009A4937">
      <w:pPr>
        <w:spacing w:line="360" w:lineRule="auto"/>
        <w:ind w:firstLine="720"/>
        <w:contextualSpacing/>
        <w:jc w:val="both"/>
      </w:pPr>
      <w:r>
        <w:t xml:space="preserve">Το κεντρικό μήνυμα αυτού του υποδείγματος είναι ότι υπάρχουν δύο επιδράσεις στο εμπορικό ισοζύγιο της ημεδαπής από μια υποτίμηση του εγχώριου νομίσματος σε σχέση με αυτό της αλλοδαπής. Η μια οδηγεί σε χειροτέρευση και η άλλη σε καλυτέρευση του εμπορικού ισοζυγίου. </w:t>
      </w:r>
      <w:r w:rsidR="00390C38">
        <w:t>Πριν όμως αναλύσουμε τις δύο επιδράσεις ας ορίσουμε σε φορμαλιστικούς όρους τ</w:t>
      </w:r>
      <w:r w:rsidR="009A4937" w:rsidRPr="009A4937">
        <w:t xml:space="preserve">ο εμπορικό ισοζύγιο </w:t>
      </w:r>
      <w:r w:rsidR="00390C38">
        <w:t>(</w:t>
      </w:r>
      <w:r w:rsidR="00390C38" w:rsidRPr="00390C38">
        <w:rPr>
          <w:i/>
          <w:lang w:val="en-US"/>
        </w:rPr>
        <w:t>TB</w:t>
      </w:r>
      <w:r w:rsidR="00390C38">
        <w:t xml:space="preserve">) </w:t>
      </w:r>
      <w:r w:rsidR="009A4937" w:rsidRPr="009A4937">
        <w:t>της ημεδαπής</w:t>
      </w:r>
      <w:r w:rsidR="00390C38">
        <w:t xml:space="preserve"> εκφρασμένο σε εγχώριο </w:t>
      </w:r>
      <w:proofErr w:type="spellStart"/>
      <w:r w:rsidR="00390C38">
        <w:t>νομίσμα</w:t>
      </w:r>
      <w:proofErr w:type="spellEnd"/>
      <w:r w:rsidR="00390C38">
        <w:t xml:space="preserve">. Πιο </w:t>
      </w:r>
      <w:r w:rsidR="00390C38" w:rsidRPr="00390C38">
        <w:t>συγκεκριμένα</w:t>
      </w:r>
      <w:r w:rsidR="00390C38">
        <w:t xml:space="preserve"> αυτό</w:t>
      </w:r>
      <w:r w:rsidR="009A4937" w:rsidRPr="00390C38">
        <w:t xml:space="preserve"> ισούται με την </w:t>
      </w:r>
      <w:r w:rsidR="009A4937" w:rsidRPr="00390C38">
        <w:rPr>
          <w:bCs/>
        </w:rPr>
        <w:t xml:space="preserve">αξία </w:t>
      </w:r>
      <w:r w:rsidR="009A4937" w:rsidRPr="00390C38">
        <w:t>των εξαγωγών</w:t>
      </w:r>
      <w:r w:rsidR="00390C38" w:rsidRPr="00390C38">
        <w:t xml:space="preserve"> (τιμή επί όγκο εξαγωγών)</w:t>
      </w:r>
      <w:r w:rsidR="009A4937" w:rsidRPr="00390C38">
        <w:t xml:space="preserve"> μείον την </w:t>
      </w:r>
      <w:r w:rsidR="009A4937" w:rsidRPr="00390C38">
        <w:rPr>
          <w:bCs/>
        </w:rPr>
        <w:t xml:space="preserve">αξία </w:t>
      </w:r>
      <w:r w:rsidR="009A4937" w:rsidRPr="00390C38">
        <w:t>των εισαγωγών</w:t>
      </w:r>
      <w:r w:rsidR="00390C38" w:rsidRPr="00390C38">
        <w:t xml:space="preserve"> (τιμή επί όγκο εισαγωγών εκφρασμένα σε εγχώριο νόμισμα)</w:t>
      </w:r>
      <w:r w:rsidR="009A4937" w:rsidRPr="00390C38">
        <w:t xml:space="preserve">: </w:t>
      </w:r>
    </w:p>
    <w:p w:rsidR="0054083D" w:rsidRPr="00191465" w:rsidRDefault="0054083D" w:rsidP="00191465">
      <w:pPr>
        <w:spacing w:line="360" w:lineRule="auto"/>
        <w:ind w:left="720" w:firstLine="720"/>
        <w:contextualSpacing/>
        <w:jc w:val="both"/>
      </w:pPr>
      <m:oMath>
        <m:r>
          <w:rPr>
            <w:rFonts w:ascii="Cambria Math" w:hAnsi="Cambria Math"/>
          </w:rPr>
          <m:t>ΤΒ=</m:t>
        </m:r>
        <m:r>
          <m:rPr>
            <m:sty m:val="p"/>
          </m:rPr>
          <w:rPr>
            <w:rFonts w:ascii="Cambria Math" w:hAnsi="Cambria Math"/>
            <w:lang w:val="en-US"/>
          </w:rPr>
          <m:t>P</m:t>
        </m:r>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X</m:t>
            </m:r>
          </m:e>
          <m:sub>
            <m:r>
              <w:rPr>
                <w:rFonts w:ascii="Cambria Math" w:hAnsi="Cambria Math"/>
                <w:lang w:val="en-US"/>
              </w:rPr>
              <m:t>ν</m:t>
            </m:r>
          </m:sub>
        </m:sSub>
        <m:r>
          <m:rPr>
            <m:sty m:val="p"/>
          </m:rPr>
          <w:rPr>
            <w:rFonts w:ascii="Cambria Math" w:hAnsi="Cambria Math"/>
          </w:rPr>
          <m:t>-</m:t>
        </m:r>
        <m:r>
          <m:rPr>
            <m:sty m:val="p"/>
          </m:rPr>
          <w:rPr>
            <w:rFonts w:ascii="Cambria Math" w:hAnsi="Cambria Math"/>
            <w:lang w:val="en-US"/>
          </w:rPr>
          <m:t>S</m:t>
        </m:r>
        <m:r>
          <m:rPr>
            <m:sty m:val="p"/>
          </m:rPr>
          <w:rPr>
            <w:rFonts w:ascii="Cambria Math" w:hAnsi="Cambria Math"/>
          </w:rPr>
          <m:t>∙</m:t>
        </m:r>
        <m:sSup>
          <m:sSupPr>
            <m:ctrlPr>
              <w:rPr>
                <w:rFonts w:ascii="Cambria Math" w:hAnsi="Cambria Math"/>
                <w:lang w:val="en-US"/>
              </w:rPr>
            </m:ctrlPr>
          </m:sSupPr>
          <m:e>
            <m:r>
              <m:rPr>
                <m:sty m:val="p"/>
              </m:rPr>
              <w:rPr>
                <w:rFonts w:ascii="Cambria Math" w:hAnsi="Cambria Math"/>
                <w:lang w:val="en-US"/>
              </w:rPr>
              <m:t>P</m:t>
            </m:r>
          </m:e>
          <m:sup>
            <m:r>
              <w:rPr>
                <w:rFonts w:ascii="Cambria Math" w:hAnsi="Cambria Math"/>
              </w:rPr>
              <m:t>*</m:t>
            </m:r>
          </m:sup>
        </m:sSup>
        <m:r>
          <w:rPr>
            <w:rFonts w:ascii="Cambria Math" w:hAnsi="Cambria Math"/>
          </w:rPr>
          <m:t>∙</m:t>
        </m:r>
        <m:sSub>
          <m:sSubPr>
            <m:ctrlPr>
              <w:rPr>
                <w:rFonts w:ascii="Cambria Math" w:hAnsi="Cambria Math"/>
                <w:lang w:val="en-US"/>
              </w:rPr>
            </m:ctrlPr>
          </m:sSubPr>
          <m:e>
            <m:r>
              <m:rPr>
                <m:sty m:val="p"/>
              </m:rPr>
              <w:rPr>
                <w:rFonts w:ascii="Cambria Math" w:hAnsi="Cambria Math"/>
                <w:lang w:val="en-US"/>
              </w:rPr>
              <m:t>M</m:t>
            </m:r>
          </m:e>
          <m:sub>
            <m:r>
              <w:rPr>
                <w:rFonts w:ascii="Cambria Math" w:hAnsi="Cambria Math"/>
              </w:rPr>
              <m:t>ν</m:t>
            </m:r>
          </m:sub>
        </m:sSub>
      </m:oMath>
      <w:r w:rsidR="00191465">
        <w:t xml:space="preserve">  </w:t>
      </w:r>
      <w:r w:rsidR="00191465">
        <w:tab/>
      </w:r>
      <w:r w:rsidR="00191465">
        <w:tab/>
      </w:r>
      <w:r w:rsidR="003308DD">
        <w:tab/>
      </w:r>
      <w:r w:rsidR="003308DD">
        <w:tab/>
      </w:r>
      <w:r w:rsidR="003308DD">
        <w:tab/>
      </w:r>
      <w:r w:rsidR="00191465">
        <w:t>(7</w:t>
      </w:r>
      <w:r w:rsidR="00964207">
        <w:t>.1</w:t>
      </w:r>
      <w:r w:rsidR="00191465">
        <w:t>)</w:t>
      </w:r>
    </w:p>
    <w:p w:rsidR="009A4937" w:rsidRPr="001767E5" w:rsidRDefault="00A143D1" w:rsidP="009A4937">
      <w:pPr>
        <w:spacing w:line="360" w:lineRule="auto"/>
        <w:ind w:firstLine="720"/>
        <w:contextualSpacing/>
        <w:jc w:val="both"/>
      </w:pPr>
      <w:r>
        <w:t>Σύμφωνα με την</w:t>
      </w:r>
      <w:r w:rsidR="009A4937" w:rsidRPr="009A4937">
        <w:t xml:space="preserve"> επ</w:t>
      </w:r>
      <w:r>
        <w:t>ίδραση της τιμής (</w:t>
      </w:r>
      <w:proofErr w:type="spellStart"/>
      <w:r>
        <w:t>price</w:t>
      </w:r>
      <w:proofErr w:type="spellEnd"/>
      <w:r>
        <w:t xml:space="preserve"> </w:t>
      </w:r>
      <w:proofErr w:type="spellStart"/>
      <w:r>
        <w:t>effect</w:t>
      </w:r>
      <w:proofErr w:type="spellEnd"/>
      <w:r>
        <w:t>), μια</w:t>
      </w:r>
      <w:r w:rsidR="009A4937" w:rsidRPr="009A4937">
        <w:t xml:space="preserve"> πραγματική υποτίμηση του εγχώριου νομίσματος</w:t>
      </w:r>
      <w:r>
        <w:t xml:space="preserve"> κάνει τις</w:t>
      </w:r>
      <w:r w:rsidR="009A4937" w:rsidRPr="009A4937">
        <w:t xml:space="preserve"> εξαγωγές φθηνότερες και </w:t>
      </w:r>
      <w:r>
        <w:t>τις</w:t>
      </w:r>
      <w:r w:rsidR="009A4937" w:rsidRPr="009A4937">
        <w:t xml:space="preserve"> εισαγωγές ακριβότερες</w:t>
      </w:r>
      <w:r>
        <w:t xml:space="preserve"> χειροτερεύοντας</w:t>
      </w:r>
      <w:r w:rsidR="009A4937" w:rsidRPr="009A4937">
        <w:t xml:space="preserve"> το</w:t>
      </w:r>
      <w:r>
        <w:t xml:space="preserve"> εμπορικό</w:t>
      </w:r>
      <w:r w:rsidR="009A4937" w:rsidRPr="009A4937">
        <w:t xml:space="preserve"> ισοζ</w:t>
      </w:r>
      <w:r>
        <w:t xml:space="preserve">ύγιο. Από την άλλη </w:t>
      </w:r>
      <w:r w:rsidR="00494385">
        <w:t xml:space="preserve">η </w:t>
      </w:r>
      <w:r>
        <w:t>λεγόμενη</w:t>
      </w:r>
      <w:r w:rsidR="009A4937" w:rsidRPr="009A4937">
        <w:t xml:space="preserve"> επίδραση</w:t>
      </w:r>
      <w:r w:rsidR="00494385">
        <w:t xml:space="preserve"> του όγκου (</w:t>
      </w:r>
      <w:proofErr w:type="spellStart"/>
      <w:r w:rsidR="00494385">
        <w:t>volume</w:t>
      </w:r>
      <w:proofErr w:type="spellEnd"/>
      <w:r w:rsidR="00494385">
        <w:t xml:space="preserve"> </w:t>
      </w:r>
      <w:proofErr w:type="spellStart"/>
      <w:r w:rsidR="00494385">
        <w:t>effect</w:t>
      </w:r>
      <w:proofErr w:type="spellEnd"/>
      <w:r w:rsidR="00494385">
        <w:t>)</w:t>
      </w:r>
      <w:r>
        <w:t xml:space="preserve"> υποστηρίζει ότι η αύξηση της ποσότητας των εξαγωγών και η μείωση της ποσότητας των εισαγωγών</w:t>
      </w:r>
      <w:r w:rsidR="00494385">
        <w:t>,</w:t>
      </w:r>
      <w:r>
        <w:t xml:space="preserve"> βελτιώνει τα συνολικά έσοδα των καθαρών εξαγωγών βελτιώνοντας</w:t>
      </w:r>
      <w:r w:rsidR="009A4937" w:rsidRPr="009A4937">
        <w:t xml:space="preserve"> </w:t>
      </w:r>
      <w:r w:rsidRPr="00A143D1">
        <w:t>το εμπορικό ισοζύγιο</w:t>
      </w:r>
      <w:r>
        <w:t xml:space="preserve">. </w:t>
      </w:r>
      <w:r w:rsidR="009A4937" w:rsidRPr="009A4937">
        <w:t xml:space="preserve">Το τελικό αποτέλεσμα εξαρτάται από το ποια επίδραση είναι κυρίαρχη. Οι εμπειρικές </w:t>
      </w:r>
      <w:r w:rsidR="00191465">
        <w:t>μελέτε</w:t>
      </w:r>
      <w:r w:rsidR="009A4937" w:rsidRPr="009A4937">
        <w:t>ς έχουν δείξει ότι η υποτίμηση του εγχώριου νομίσματος οδηγεί σε βελτίωση του εμπορικού ισοζυγίου μέσο-</w:t>
      </w:r>
      <w:r>
        <w:t>μακροπρόθεσμα ενώ σε χειροτέρευση βραχυχρόνια.</w:t>
      </w:r>
      <w:r w:rsidR="00191465">
        <w:t xml:space="preserve"> Πρόκειται για την λεγόμενη καμπύλη </w:t>
      </w:r>
      <w:r w:rsidR="00191465">
        <w:rPr>
          <w:lang w:val="en-US"/>
        </w:rPr>
        <w:t>J</w:t>
      </w:r>
      <w:r w:rsidR="00191465" w:rsidRPr="00191465">
        <w:t>.</w:t>
      </w:r>
      <w:r>
        <w:t xml:space="preserve"> Αυτό λόγω κυρίως της πιο γρήγορης επίδρασης των τιμών και της χρονικής υστέρησης στις μεταβολές των όγκων από καταναλωτικές προτιμήσεις αλλά και προτιμήσεις των παραγωγών. Επιπλέον πολλές φορές α</w:t>
      </w:r>
      <w:r w:rsidR="00494385">
        <w:t>υ</w:t>
      </w:r>
      <w:r>
        <w:t xml:space="preserve">τό μπορεί να οφείλεται και στο γεγονός ότι οι παραγωγοί της ημεδαπής γίνονται </w:t>
      </w:r>
      <w:proofErr w:type="spellStart"/>
      <w:r>
        <w:t>πιιο</w:t>
      </w:r>
      <w:proofErr w:type="spellEnd"/>
      <w:r>
        <w:t xml:space="preserve"> ανταγωνιστικοί μειώνοντας και αυτοί με την σειρά τους τις τιμές.  </w:t>
      </w:r>
    </w:p>
    <w:p w:rsidR="00191465" w:rsidRPr="002765A1" w:rsidRDefault="00191465" w:rsidP="00191465">
      <w:pPr>
        <w:ind w:firstLine="720"/>
        <w:contextualSpacing/>
        <w:jc w:val="both"/>
        <w:rPr>
          <w:b/>
        </w:rPr>
      </w:pPr>
    </w:p>
    <w:p w:rsidR="00C53DDD" w:rsidRPr="00191465" w:rsidRDefault="00C53DDD" w:rsidP="00AF4096">
      <w:pPr>
        <w:ind w:firstLine="720"/>
        <w:contextualSpacing/>
        <w:jc w:val="center"/>
      </w:pPr>
      <w:r w:rsidRPr="00191465">
        <w:rPr>
          <w:b/>
        </w:rPr>
        <w:t xml:space="preserve">Γράφημα </w:t>
      </w:r>
      <w:r w:rsidR="005A4B2F" w:rsidRPr="005A4B2F">
        <w:rPr>
          <w:b/>
        </w:rPr>
        <w:t>7.4</w:t>
      </w:r>
      <w:r>
        <w:t xml:space="preserve"> Η λεγόμενη καμπύλη </w:t>
      </w:r>
      <w:r>
        <w:rPr>
          <w:lang w:val="en-US"/>
        </w:rPr>
        <w:t>J</w:t>
      </w:r>
    </w:p>
    <w:p w:rsidR="00C53DDD" w:rsidRPr="005A4B2F" w:rsidRDefault="00C53DDD" w:rsidP="00AF4096">
      <w:pPr>
        <w:spacing w:line="360" w:lineRule="auto"/>
        <w:ind w:firstLine="720"/>
        <w:contextualSpacing/>
        <w:jc w:val="center"/>
      </w:pPr>
      <w:r>
        <w:rPr>
          <w:noProof/>
        </w:rPr>
        <w:drawing>
          <wp:inline distT="0" distB="0" distL="0" distR="0">
            <wp:extent cx="2814452" cy="1764469"/>
            <wp:effectExtent l="19050" t="19050" r="24130" b="26670"/>
            <wp:docPr id="47128" name="Εικόνα 4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060" cy="1766731"/>
                    </a:xfrm>
                    <a:prstGeom prst="rect">
                      <a:avLst/>
                    </a:prstGeom>
                    <a:noFill/>
                    <a:ln>
                      <a:solidFill>
                        <a:schemeClr val="tx1"/>
                      </a:solidFill>
                    </a:ln>
                  </pic:spPr>
                </pic:pic>
              </a:graphicData>
            </a:graphic>
          </wp:inline>
        </w:drawing>
      </w:r>
    </w:p>
    <w:p w:rsidR="00191465" w:rsidRPr="005A4B2F" w:rsidRDefault="00191465" w:rsidP="009A4937">
      <w:pPr>
        <w:spacing w:line="360" w:lineRule="auto"/>
        <w:ind w:firstLine="720"/>
        <w:contextualSpacing/>
        <w:jc w:val="both"/>
      </w:pPr>
    </w:p>
    <w:p w:rsidR="00191465" w:rsidRDefault="00191465" w:rsidP="009A4937">
      <w:pPr>
        <w:spacing w:line="360" w:lineRule="auto"/>
        <w:ind w:firstLine="720"/>
        <w:contextualSpacing/>
        <w:jc w:val="both"/>
      </w:pPr>
      <w:r>
        <w:t xml:space="preserve">Προκειμένου να αναδείξουμε τον ρόλο των συναλλαγματικών </w:t>
      </w:r>
      <w:proofErr w:type="spellStart"/>
      <w:r>
        <w:t>ελαστικοτήτων</w:t>
      </w:r>
      <w:proofErr w:type="spellEnd"/>
      <w:r>
        <w:t xml:space="preserve"> στην ανάλυση που ακολουθεί και για λόγους παιδαγωγικής απλούστευσης υποθέτουμε ότι οι τιμές εξαγωγών εισαγωγών ισούνται με την μονάδα. Έτσι μπορ</w:t>
      </w:r>
      <w:r w:rsidR="00494385">
        <w:t>ούμε να γρά</w:t>
      </w:r>
      <w:r>
        <w:t>ψουμε το εμπορικό ισοζύγιο ως εξής:</w:t>
      </w:r>
    </w:p>
    <w:p w:rsidR="00191465" w:rsidRPr="00191465" w:rsidRDefault="00191465" w:rsidP="00191465">
      <w:pPr>
        <w:spacing w:line="360" w:lineRule="auto"/>
        <w:ind w:left="720" w:firstLine="720"/>
        <w:contextualSpacing/>
        <w:jc w:val="both"/>
      </w:pPr>
      <m:oMath>
        <m:r>
          <w:rPr>
            <w:rFonts w:ascii="Cambria Math" w:hAnsi="Cambria Math"/>
          </w:rPr>
          <m:t>ΤΒ=</m:t>
        </m:r>
        <m:r>
          <m:rPr>
            <m:sty m:val="p"/>
          </m:rPr>
          <w:rPr>
            <w:rFonts w:ascii="Cambria Math" w:hAnsi="Cambria Math"/>
          </w:rPr>
          <m:t>Χ-</m:t>
        </m:r>
        <m:r>
          <m:rPr>
            <m:sty m:val="p"/>
          </m:rPr>
          <w:rPr>
            <w:rFonts w:ascii="Cambria Math" w:hAnsi="Cambria Math"/>
            <w:lang w:val="en-US"/>
          </w:rPr>
          <m:t>S</m:t>
        </m:r>
        <m:r>
          <m:rPr>
            <m:sty m:val="p"/>
          </m:rPr>
          <w:rPr>
            <w:rFonts w:ascii="Cambria Math" w:hAnsi="Cambria Math"/>
          </w:rPr>
          <m:t>∙Μ</m:t>
        </m:r>
      </m:oMath>
      <w:r>
        <w:t xml:space="preserve">  </w:t>
      </w:r>
      <w:r>
        <w:tab/>
      </w:r>
      <w:r>
        <w:tab/>
      </w:r>
      <w:r w:rsidR="003308DD">
        <w:tab/>
      </w:r>
      <w:r w:rsidR="003308DD">
        <w:tab/>
      </w:r>
      <w:r w:rsidR="003308DD">
        <w:tab/>
      </w:r>
      <w:r w:rsidR="003308DD">
        <w:tab/>
      </w:r>
      <w:r>
        <w:t>(7</w:t>
      </w:r>
      <w:r w:rsidR="003308DD">
        <w:t>.2</w:t>
      </w:r>
      <w:r>
        <w:t>)</w:t>
      </w:r>
    </w:p>
    <w:p w:rsidR="00191465" w:rsidRDefault="00494385" w:rsidP="00191465">
      <w:pPr>
        <w:spacing w:line="360" w:lineRule="auto"/>
        <w:contextualSpacing/>
        <w:jc w:val="both"/>
      </w:pPr>
      <w:r>
        <w:t>Παίρνοντας το ολικό διαφορικό</w:t>
      </w:r>
      <w:r w:rsidR="00191465">
        <w:t xml:space="preserve"> αυτής της εξίσωσης έχουμε:</w:t>
      </w:r>
    </w:p>
    <w:p w:rsidR="00191465" w:rsidRPr="007628AF" w:rsidRDefault="00191465" w:rsidP="009A4937">
      <w:pPr>
        <w:spacing w:line="360" w:lineRule="auto"/>
        <w:ind w:firstLine="720"/>
        <w:contextualSpacing/>
        <w:jc w:val="both"/>
      </w:pPr>
      <m:oMath>
        <m:r>
          <w:rPr>
            <w:rFonts w:ascii="Cambria Math" w:hAnsi="Cambria Math"/>
            <w:lang w:val="en-US"/>
          </w:rPr>
          <m:t>d</m:t>
        </m:r>
        <m:r>
          <w:rPr>
            <w:rFonts w:ascii="Cambria Math" w:hAnsi="Cambria Math"/>
          </w:rPr>
          <m:t>ΤΒ=d</m:t>
        </m:r>
        <m:r>
          <m:rPr>
            <m:sty m:val="p"/>
          </m:rPr>
          <w:rPr>
            <w:rFonts w:ascii="Cambria Math" w:hAnsi="Cambria Math"/>
          </w:rPr>
          <m:t>Χ-d</m:t>
        </m:r>
        <m:r>
          <m:rPr>
            <m:sty m:val="p"/>
          </m:rPr>
          <w:rPr>
            <w:rFonts w:ascii="Cambria Math" w:hAnsi="Cambria Math"/>
            <w:lang w:val="en-US"/>
          </w:rPr>
          <m:t>S</m:t>
        </m:r>
        <m:r>
          <m:rPr>
            <m:sty m:val="p"/>
          </m:rPr>
          <w:rPr>
            <w:rFonts w:ascii="Cambria Math" w:hAnsi="Cambria Math"/>
          </w:rPr>
          <m:t>∙Μ-</m:t>
        </m:r>
        <m:r>
          <m:rPr>
            <m:sty m:val="p"/>
          </m:rPr>
          <w:rPr>
            <w:rFonts w:ascii="Cambria Math" w:hAnsi="Cambria Math"/>
            <w:lang w:val="en-US"/>
          </w:rPr>
          <m:t>S</m:t>
        </m:r>
        <m:r>
          <m:rPr>
            <m:sty m:val="p"/>
          </m:rPr>
          <w:rPr>
            <w:rFonts w:ascii="Cambria Math" w:hAnsi="Cambria Math"/>
          </w:rPr>
          <m:t>∙dΜ</m:t>
        </m:r>
      </m:oMath>
      <w:r>
        <w:t xml:space="preserve">  </w:t>
      </w:r>
      <w:r w:rsidR="007628AF" w:rsidRPr="007628AF">
        <w:tab/>
      </w:r>
      <w:r w:rsidR="003308DD">
        <w:tab/>
      </w:r>
      <w:r w:rsidR="003308DD">
        <w:tab/>
      </w:r>
      <w:r w:rsidR="003308DD">
        <w:tab/>
      </w:r>
      <w:r w:rsidR="003308DD">
        <w:tab/>
      </w:r>
      <w:r w:rsidR="007628AF" w:rsidRPr="007628AF">
        <w:t xml:space="preserve"> (7</w:t>
      </w:r>
      <w:r w:rsidR="003308DD">
        <w:t>.3</w:t>
      </w:r>
      <w:r w:rsidR="007628AF" w:rsidRPr="007628AF">
        <w:t>)</w:t>
      </w:r>
    </w:p>
    <w:p w:rsidR="00191465" w:rsidRDefault="00191465" w:rsidP="00191465">
      <w:pPr>
        <w:spacing w:line="360" w:lineRule="auto"/>
        <w:contextualSpacing/>
        <w:jc w:val="both"/>
      </w:pPr>
      <w:r>
        <w:t xml:space="preserve">Στην συνέχεια διαιρώντας με το </w:t>
      </w:r>
      <w:proofErr w:type="spellStart"/>
      <w:r>
        <w:rPr>
          <w:lang w:val="en-US"/>
        </w:rPr>
        <w:t>dS</w:t>
      </w:r>
      <w:proofErr w:type="spellEnd"/>
      <w:r w:rsidRPr="00191465">
        <w:t xml:space="preserve"> </w:t>
      </w:r>
      <w:r>
        <w:t>έχουμε την μεταβολή στο ΤΒ λόγω μεταβολής της συναλλαγματικής ισοτιμίας.</w:t>
      </w:r>
    </w:p>
    <w:p w:rsidR="00191465" w:rsidRPr="007628AF" w:rsidRDefault="00EA318F" w:rsidP="00191465">
      <w:pPr>
        <w:spacing w:line="360" w:lineRule="auto"/>
        <w:ind w:firstLine="720"/>
        <w:contextualSpacing/>
        <w:jc w:val="both"/>
      </w:pPr>
      <m:oMath>
        <m:f>
          <m:fPr>
            <m:ctrlPr>
              <w:rPr>
                <w:rFonts w:ascii="Cambria Math" w:hAnsi="Cambria Math"/>
                <w:i/>
                <w:lang w:val="en-US"/>
              </w:rPr>
            </m:ctrlPr>
          </m:fPr>
          <m:num>
            <m:r>
              <w:rPr>
                <w:rFonts w:ascii="Cambria Math" w:hAnsi="Cambria Math"/>
                <w:lang w:val="en-US"/>
              </w:rPr>
              <m:t>d</m:t>
            </m:r>
            <m:r>
              <w:rPr>
                <w:rFonts w:ascii="Cambria Math" w:hAnsi="Cambria Math"/>
              </w:rPr>
              <m:t>ΤΒ</m:t>
            </m:r>
          </m:num>
          <m:den>
            <m:r>
              <w:rPr>
                <w:rFonts w:ascii="Cambria Math" w:hAnsi="Cambria Math"/>
                <w:lang w:val="en-US"/>
              </w:rPr>
              <m:t>dS</m:t>
            </m:r>
          </m:den>
        </m:f>
        <m:r>
          <w:rPr>
            <w:rFonts w:ascii="Cambria Math" w:hAnsi="Cambria Math"/>
          </w:rPr>
          <m:t>=</m:t>
        </m:r>
        <m:f>
          <m:fPr>
            <m:ctrlPr>
              <w:rPr>
                <w:rFonts w:ascii="Cambria Math" w:hAnsi="Cambria Math"/>
                <w:i/>
              </w:rPr>
            </m:ctrlPr>
          </m:fPr>
          <m:num>
            <m:r>
              <w:rPr>
                <w:rFonts w:ascii="Cambria Math" w:hAnsi="Cambria Math"/>
              </w:rPr>
              <m:t>d</m:t>
            </m:r>
            <m:r>
              <m:rPr>
                <m:sty m:val="p"/>
              </m:rPr>
              <w:rPr>
                <w:rFonts w:ascii="Cambria Math" w:hAnsi="Cambria Math"/>
              </w:rPr>
              <m:t>Χ</m:t>
            </m:r>
          </m:num>
          <m:den>
            <m:r>
              <w:rPr>
                <w:rFonts w:ascii="Cambria Math" w:hAnsi="Cambria Math"/>
              </w:rPr>
              <m:t>dS</m:t>
            </m:r>
          </m:den>
        </m:f>
        <m:r>
          <m:rPr>
            <m:sty m:val="p"/>
          </m:rPr>
          <w:rPr>
            <w:rFonts w:ascii="Cambria Math" w:hAnsi="Cambria Math"/>
          </w:rPr>
          <m:t>-</m:t>
        </m:r>
        <m:f>
          <m:fPr>
            <m:ctrlPr>
              <w:rPr>
                <w:rFonts w:ascii="Cambria Math" w:hAnsi="Cambria Math"/>
              </w:rPr>
            </m:ctrlPr>
          </m:fPr>
          <m:num>
            <m:r>
              <m:rPr>
                <m:sty m:val="p"/>
              </m:rPr>
              <w:rPr>
                <w:rFonts w:ascii="Cambria Math" w:hAnsi="Cambria Math"/>
              </w:rPr>
              <m:t>d</m:t>
            </m:r>
            <m:r>
              <m:rPr>
                <m:sty m:val="p"/>
              </m:rPr>
              <w:rPr>
                <w:rFonts w:ascii="Cambria Math" w:hAnsi="Cambria Math"/>
                <w:lang w:val="en-US"/>
              </w:rPr>
              <m:t>S</m:t>
            </m:r>
            <m:r>
              <m:rPr>
                <m:sty m:val="p"/>
              </m:rPr>
              <w:rPr>
                <w:rFonts w:ascii="Cambria Math" w:hAnsi="Cambria Math"/>
              </w:rPr>
              <m:t>∙Μ</m:t>
            </m:r>
          </m:num>
          <m:den>
            <m:r>
              <w:rPr>
                <w:rFonts w:ascii="Cambria Math" w:hAnsi="Cambria Math"/>
              </w:rPr>
              <m:t>dS</m:t>
            </m:r>
          </m:den>
        </m:f>
        <m:r>
          <m:rPr>
            <m:sty m:val="p"/>
          </m:rPr>
          <w:rPr>
            <w:rFonts w:ascii="Cambria Math" w:hAnsi="Cambria Math"/>
          </w:rPr>
          <m:t>-</m:t>
        </m:r>
        <m:f>
          <m:fPr>
            <m:ctrlPr>
              <w:rPr>
                <w:rFonts w:ascii="Cambria Math" w:hAnsi="Cambria Math"/>
                <w:lang w:val="en-US"/>
              </w:rPr>
            </m:ctrlPr>
          </m:fPr>
          <m:num>
            <m:r>
              <m:rPr>
                <m:sty m:val="p"/>
              </m:rPr>
              <w:rPr>
                <w:rFonts w:ascii="Cambria Math" w:hAnsi="Cambria Math"/>
                <w:lang w:val="en-US"/>
              </w:rPr>
              <m:t>S</m:t>
            </m:r>
            <m:r>
              <m:rPr>
                <m:sty m:val="p"/>
              </m:rPr>
              <w:rPr>
                <w:rFonts w:ascii="Cambria Math" w:hAnsi="Cambria Math"/>
              </w:rPr>
              <m:t>∙dΜ</m:t>
            </m:r>
          </m:num>
          <m:den>
            <m:r>
              <w:rPr>
                <w:rFonts w:ascii="Cambria Math" w:hAnsi="Cambria Math"/>
                <w:lang w:val="en-US"/>
              </w:rPr>
              <m:t>dS</m:t>
            </m:r>
          </m:den>
        </m:f>
      </m:oMath>
      <w:r w:rsidR="00191465">
        <w:t xml:space="preserve">  </w:t>
      </w:r>
      <w:r w:rsidR="007628AF" w:rsidRPr="007628AF">
        <w:t xml:space="preserve"> </w:t>
      </w:r>
      <w:r w:rsidR="007628AF" w:rsidRPr="007628AF">
        <w:tab/>
      </w:r>
      <w:r w:rsidR="007628AF" w:rsidRPr="007628AF">
        <w:tab/>
      </w:r>
      <w:r w:rsidR="003308DD">
        <w:tab/>
      </w:r>
      <w:r w:rsidR="003308DD">
        <w:tab/>
      </w:r>
      <w:r w:rsidR="003308DD">
        <w:tab/>
      </w:r>
      <w:r w:rsidR="003308DD">
        <w:tab/>
      </w:r>
      <w:r w:rsidR="007628AF" w:rsidRPr="007628AF">
        <w:t>(7</w:t>
      </w:r>
      <w:r w:rsidR="003308DD">
        <w:t>.4</w:t>
      </w:r>
      <w:r w:rsidR="007628AF" w:rsidRPr="007628AF">
        <w:t>)</w:t>
      </w:r>
    </w:p>
    <w:p w:rsidR="00191465" w:rsidRDefault="007628AF" w:rsidP="00191465">
      <w:pPr>
        <w:spacing w:line="360" w:lineRule="auto"/>
        <w:contextualSpacing/>
        <w:jc w:val="both"/>
      </w:pPr>
      <w:r>
        <w:t xml:space="preserve">Σε αυτό το σημείο να ορίσουμε τις συναλλαγματικές </w:t>
      </w:r>
      <w:proofErr w:type="spellStart"/>
      <w:r>
        <w:t>ελαστικότητες</w:t>
      </w:r>
      <w:proofErr w:type="spellEnd"/>
      <w:r>
        <w:t xml:space="preserve"> των εισαγωγών και των εξαγωγών ως προς την συναλλαγματική ισοτιμία ως ακολούθως:</w:t>
      </w:r>
    </w:p>
    <w:p w:rsidR="007628AF" w:rsidRPr="002765A1" w:rsidRDefault="00EA318F" w:rsidP="007628AF">
      <w:pPr>
        <w:spacing w:line="360" w:lineRule="auto"/>
        <w:contextualSpacing/>
        <w:jc w:val="both"/>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m</m:t>
            </m:r>
          </m:sub>
        </m:sSub>
        <m:r>
          <w:rPr>
            <w:rFonts w:ascii="Cambria Math" w:hAnsi="Cambria Math"/>
          </w:rPr>
          <m:t>=-</m:t>
        </m:r>
        <m:f>
          <m:fPr>
            <m:ctrlPr>
              <w:rPr>
                <w:rFonts w:ascii="Cambria Math" w:hAnsi="Cambria Math"/>
                <w:i/>
                <w:lang w:val="en-US"/>
              </w:rPr>
            </m:ctrlPr>
          </m:fPr>
          <m:num>
            <m:r>
              <w:rPr>
                <w:rFonts w:ascii="Cambria Math" w:hAnsi="Cambria Math"/>
                <w:lang w:val="en-US"/>
              </w:rPr>
              <m:t>dM</m:t>
            </m:r>
            <m:r>
              <w:rPr>
                <w:rFonts w:ascii="Cambria Math" w:hAnsi="Cambria Math"/>
              </w:rPr>
              <m:t>/</m:t>
            </m:r>
            <m:r>
              <w:rPr>
                <w:rFonts w:ascii="Cambria Math" w:hAnsi="Cambria Math"/>
                <w:lang w:val="en-US"/>
              </w:rPr>
              <m:t>M</m:t>
            </m:r>
          </m:num>
          <m:den>
            <m:r>
              <w:rPr>
                <w:rFonts w:ascii="Cambria Math" w:hAnsi="Cambria Math"/>
                <w:lang w:val="en-US"/>
              </w:rPr>
              <m:t>dS</m:t>
            </m:r>
            <m:r>
              <w:rPr>
                <w:rFonts w:ascii="Cambria Math" w:hAnsi="Cambria Math"/>
              </w:rPr>
              <m:t>/</m:t>
            </m:r>
            <m:r>
              <w:rPr>
                <w:rFonts w:ascii="Cambria Math" w:hAnsi="Cambria Math"/>
                <w:lang w:val="en-US"/>
              </w:rPr>
              <m:t>S</m:t>
            </m:r>
          </m:den>
        </m:f>
      </m:oMath>
      <w:r w:rsidR="007628AF" w:rsidRPr="007628AF">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x</m:t>
            </m:r>
          </m:sub>
        </m:sSub>
        <m:r>
          <w:rPr>
            <w:rFonts w:ascii="Cambria Math" w:hAnsi="Cambria Math"/>
          </w:rPr>
          <m:t>=</m:t>
        </m:r>
        <m:f>
          <m:fPr>
            <m:ctrlPr>
              <w:rPr>
                <w:rFonts w:ascii="Cambria Math" w:hAnsi="Cambria Math"/>
                <w:i/>
                <w:lang w:val="en-US"/>
              </w:rPr>
            </m:ctrlPr>
          </m:fPr>
          <m:num>
            <m:r>
              <w:rPr>
                <w:rFonts w:ascii="Cambria Math" w:hAnsi="Cambria Math"/>
                <w:lang w:val="en-US"/>
              </w:rPr>
              <m:t>dX</m:t>
            </m:r>
            <m:r>
              <w:rPr>
                <w:rFonts w:ascii="Cambria Math" w:hAnsi="Cambria Math"/>
              </w:rPr>
              <m:t>/</m:t>
            </m:r>
            <m:r>
              <w:rPr>
                <w:rFonts w:ascii="Cambria Math" w:hAnsi="Cambria Math"/>
                <w:lang w:val="en-US"/>
              </w:rPr>
              <m:t>X</m:t>
            </m:r>
          </m:num>
          <m:den>
            <m:r>
              <w:rPr>
                <w:rFonts w:ascii="Cambria Math" w:hAnsi="Cambria Math"/>
                <w:lang w:val="en-US"/>
              </w:rPr>
              <m:t>dS</m:t>
            </m:r>
            <m:r>
              <w:rPr>
                <w:rFonts w:ascii="Cambria Math" w:hAnsi="Cambria Math"/>
              </w:rPr>
              <m:t>/</m:t>
            </m:r>
            <m:r>
              <w:rPr>
                <w:rFonts w:ascii="Cambria Math" w:hAnsi="Cambria Math"/>
                <w:lang w:val="en-US"/>
              </w:rPr>
              <m:t>S</m:t>
            </m:r>
          </m:den>
        </m:f>
      </m:oMath>
    </w:p>
    <w:p w:rsidR="007628AF" w:rsidRDefault="007628AF" w:rsidP="007628AF">
      <w:pPr>
        <w:spacing w:line="360" w:lineRule="auto"/>
        <w:contextualSpacing/>
        <w:jc w:val="both"/>
      </w:pPr>
      <w:r>
        <w:t xml:space="preserve">Και επομένως λύνοντας ως προς </w:t>
      </w:r>
      <w:proofErr w:type="spellStart"/>
      <w:r>
        <w:rPr>
          <w:lang w:val="en-US"/>
        </w:rPr>
        <w:t>dM</w:t>
      </w:r>
      <w:proofErr w:type="spellEnd"/>
      <w:r w:rsidRPr="007628AF">
        <w:t xml:space="preserve"> </w:t>
      </w:r>
      <w:r>
        <w:t xml:space="preserve">και </w:t>
      </w:r>
      <w:proofErr w:type="spellStart"/>
      <w:r>
        <w:rPr>
          <w:lang w:val="en-US"/>
        </w:rPr>
        <w:t>dX</w:t>
      </w:r>
      <w:proofErr w:type="spellEnd"/>
      <w:r w:rsidRPr="007628AF">
        <w:t xml:space="preserve"> </w:t>
      </w:r>
      <w:r>
        <w:t>μπορούμε να γράψουμε:</w:t>
      </w:r>
    </w:p>
    <w:p w:rsidR="007628AF" w:rsidRPr="002765A1" w:rsidRDefault="007628AF" w:rsidP="007628AF">
      <w:pPr>
        <w:spacing w:line="360" w:lineRule="auto"/>
        <w:contextualSpacing/>
        <w:jc w:val="both"/>
      </w:pPr>
      <m:oMath>
        <m:r>
          <w:rPr>
            <w:rFonts w:ascii="Cambria Math" w:hAnsi="Cambria Math"/>
            <w:lang w:val="en-US"/>
          </w:rPr>
          <m:t>dM</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m</m:t>
                </m:r>
              </m:sub>
            </m:sSub>
            <m:r>
              <w:rPr>
                <w:rFonts w:ascii="Cambria Math" w:hAnsi="Cambria Math"/>
              </w:rPr>
              <m:t>∙</m:t>
            </m:r>
            <m:r>
              <w:rPr>
                <w:rFonts w:ascii="Cambria Math" w:hAnsi="Cambria Math"/>
                <w:lang w:val="en-US"/>
              </w:rPr>
              <m:t>dS</m:t>
            </m:r>
            <m:r>
              <w:rPr>
                <w:rFonts w:ascii="Cambria Math" w:hAnsi="Cambria Math"/>
              </w:rPr>
              <m:t>∙</m:t>
            </m:r>
            <m:r>
              <w:rPr>
                <w:rFonts w:ascii="Cambria Math" w:hAnsi="Cambria Math"/>
                <w:lang w:val="en-US"/>
              </w:rPr>
              <m:t>M</m:t>
            </m:r>
          </m:num>
          <m:den>
            <m:r>
              <w:rPr>
                <w:rFonts w:ascii="Cambria Math" w:hAnsi="Cambria Math"/>
                <w:lang w:val="en-US"/>
              </w:rPr>
              <m:t>S</m:t>
            </m:r>
          </m:den>
        </m:f>
      </m:oMath>
      <w:r w:rsidRPr="007628AF">
        <w:t xml:space="preserve"> </w:t>
      </w:r>
      <w:r>
        <w:t xml:space="preserve"> και  </w:t>
      </w:r>
      <m:oMath>
        <m:r>
          <w:rPr>
            <w:rFonts w:ascii="Cambria Math" w:hAnsi="Cambria Math"/>
          </w:rPr>
          <m:t>dX=</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x</m:t>
                </m:r>
              </m:sub>
            </m:sSub>
            <m:r>
              <w:rPr>
                <w:rFonts w:ascii="Cambria Math" w:hAnsi="Cambria Math"/>
              </w:rPr>
              <m:t>∙</m:t>
            </m:r>
            <m:r>
              <w:rPr>
                <w:rFonts w:ascii="Cambria Math" w:hAnsi="Cambria Math"/>
                <w:lang w:val="en-US"/>
              </w:rPr>
              <m:t>dS</m:t>
            </m:r>
            <m:r>
              <w:rPr>
                <w:rFonts w:ascii="Cambria Math" w:hAnsi="Cambria Math"/>
              </w:rPr>
              <m:t>∙</m:t>
            </m:r>
            <m:r>
              <w:rPr>
                <w:rFonts w:ascii="Cambria Math" w:hAnsi="Cambria Math"/>
                <w:lang w:val="en-US"/>
              </w:rPr>
              <m:t>X</m:t>
            </m:r>
          </m:num>
          <m:den>
            <m:r>
              <w:rPr>
                <w:rFonts w:ascii="Cambria Math" w:hAnsi="Cambria Math"/>
                <w:lang w:val="en-US"/>
              </w:rPr>
              <m:t>S</m:t>
            </m:r>
          </m:den>
        </m:f>
      </m:oMath>
    </w:p>
    <w:p w:rsidR="007628AF" w:rsidRDefault="007628AF" w:rsidP="007628AF">
      <w:pPr>
        <w:spacing w:line="360" w:lineRule="auto"/>
        <w:contextualSpacing/>
        <w:jc w:val="both"/>
      </w:pPr>
      <w:r>
        <w:t xml:space="preserve">Αντικαθιστώντας αυτές τις εξισώσεις στην </w:t>
      </w:r>
      <w:r w:rsidR="003308DD">
        <w:t>(7.4)</w:t>
      </w:r>
      <w:r w:rsidR="00494385">
        <w:t xml:space="preserve"> έ</w:t>
      </w:r>
      <w:r>
        <w:t>χουμε:</w:t>
      </w:r>
    </w:p>
    <w:p w:rsidR="007628AF" w:rsidRPr="00385A8D" w:rsidRDefault="00EA318F" w:rsidP="007628AF">
      <w:pPr>
        <w:spacing w:line="360" w:lineRule="auto"/>
        <w:contextualSpacing/>
        <w:jc w:val="both"/>
        <w:rPr>
          <w:lang w:val="en-US"/>
        </w:rPr>
      </w:pPr>
      <m:oMathPara>
        <m:oMath>
          <m:f>
            <m:fPr>
              <m:ctrlPr>
                <w:rPr>
                  <w:rFonts w:ascii="Cambria Math" w:hAnsi="Cambria Math"/>
                  <w:i/>
                  <w:lang w:val="en-US"/>
                </w:rPr>
              </m:ctrlPr>
            </m:fPr>
            <m:num>
              <m:r>
                <w:rPr>
                  <w:rFonts w:ascii="Cambria Math" w:hAnsi="Cambria Math"/>
                  <w:lang w:val="en-US"/>
                </w:rPr>
                <m:t>d</m:t>
              </m:r>
              <m:r>
                <w:rPr>
                  <w:rFonts w:ascii="Cambria Math" w:hAnsi="Cambria Math"/>
                </w:rPr>
                <m:t>ΤΒ</m:t>
              </m:r>
            </m:num>
            <m:den>
              <m:r>
                <w:rPr>
                  <w:rFonts w:ascii="Cambria Math" w:hAnsi="Cambria Math"/>
                  <w:lang w:val="en-US"/>
                </w:rPr>
                <m:t>dS</m:t>
              </m:r>
            </m:den>
          </m:f>
          <m:r>
            <w:rPr>
              <w:rFonts w:ascii="Cambria Math" w:hAnsi="Cambria Math"/>
            </w:rPr>
            <m:t>=</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x</m:t>
                  </m:r>
                </m:sub>
              </m:sSub>
              <m:r>
                <m:rPr>
                  <m:sty m:val="p"/>
                </m:rPr>
                <w:rPr>
                  <w:rFonts w:ascii="Cambria Math" w:hAnsi="Cambria Math"/>
                </w:rPr>
                <m:t>Χ</m:t>
              </m:r>
            </m:num>
            <m:den>
              <m:r>
                <w:rPr>
                  <w:rFonts w:ascii="Cambria Math" w:hAnsi="Cambria Math"/>
                </w:rPr>
                <m:t>S</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w:rPr>
                  <w:rFonts w:ascii="Cambria Math" w:hAnsi="Cambria Math"/>
                </w:rPr>
                <m:t>m</m:t>
              </m:r>
            </m:sub>
          </m:sSub>
          <m:r>
            <w:rPr>
              <w:rFonts w:ascii="Cambria Math" w:hAnsi="Cambria Math"/>
            </w:rPr>
            <m:t>∙M-M</m:t>
          </m:r>
        </m:oMath>
      </m:oMathPara>
    </w:p>
    <w:p w:rsidR="00385A8D" w:rsidRDefault="00385A8D" w:rsidP="007628AF">
      <w:pPr>
        <w:spacing w:line="360" w:lineRule="auto"/>
        <w:contextualSpacing/>
        <w:jc w:val="both"/>
      </w:pPr>
      <w:r>
        <w:t>Και διαιρώντας με το Μ έχουμε :</w:t>
      </w:r>
    </w:p>
    <w:p w:rsidR="00385A8D" w:rsidRPr="00385A8D" w:rsidRDefault="00EA318F" w:rsidP="00385A8D">
      <w:pPr>
        <w:spacing w:line="360" w:lineRule="auto"/>
        <w:contextualSpacing/>
        <w:jc w:val="both"/>
      </w:pPr>
      <m:oMathPara>
        <m:oMath>
          <m:f>
            <m:fPr>
              <m:ctrlPr>
                <w:rPr>
                  <w:rFonts w:ascii="Cambria Math" w:hAnsi="Cambria Math"/>
                  <w:i/>
                  <w:lang w:val="en-US"/>
                </w:rPr>
              </m:ctrlPr>
            </m:fPr>
            <m:num>
              <m:r>
                <w:rPr>
                  <w:rFonts w:ascii="Cambria Math" w:hAnsi="Cambria Math"/>
                  <w:lang w:val="en-US"/>
                </w:rPr>
                <m:t>d</m:t>
              </m:r>
              <m:r>
                <w:rPr>
                  <w:rFonts w:ascii="Cambria Math" w:hAnsi="Cambria Math"/>
                </w:rPr>
                <m:t>ΤΒ</m:t>
              </m:r>
            </m:num>
            <m:den>
              <m:r>
                <w:rPr>
                  <w:rFonts w:ascii="Cambria Math" w:hAnsi="Cambria Math"/>
                  <w:lang w:val="en-US"/>
                </w:rPr>
                <m:t>dS</m:t>
              </m:r>
            </m:den>
          </m:f>
          <m:f>
            <m:fPr>
              <m:ctrlPr>
                <w:rPr>
                  <w:rFonts w:ascii="Cambria Math" w:hAnsi="Cambria Math"/>
                  <w:i/>
                </w:rPr>
              </m:ctrlPr>
            </m:fPr>
            <m:num>
              <m:r>
                <w:rPr>
                  <w:rFonts w:ascii="Cambria Math" w:hAnsi="Cambria Math"/>
                </w:rPr>
                <m:t>1</m:t>
              </m:r>
            </m:num>
            <m:den>
              <m:r>
                <w:rPr>
                  <w:rFonts w:ascii="Cambria Math" w:hAnsi="Cambria Math"/>
                </w:rPr>
                <m:t>Μ</m:t>
              </m:r>
            </m:den>
          </m:f>
          <m:r>
            <w:rPr>
              <w:rFonts w:ascii="Cambria Math" w:hAnsi="Cambria Math"/>
            </w:rPr>
            <m:t>=</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x</m:t>
                  </m:r>
                </m:sub>
              </m:sSub>
              <m:r>
                <m:rPr>
                  <m:sty m:val="p"/>
                </m:rPr>
                <w:rPr>
                  <w:rFonts w:ascii="Cambria Math" w:hAnsi="Cambria Math"/>
                </w:rPr>
                <m:t>Χ</m:t>
              </m:r>
            </m:num>
            <m:den>
              <m:r>
                <w:rPr>
                  <w:rFonts w:ascii="Cambria Math" w:hAnsi="Cambria Math"/>
                </w:rPr>
                <m:t>S∙Μ</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w:rPr>
                  <w:rFonts w:ascii="Cambria Math" w:hAnsi="Cambria Math"/>
                </w:rPr>
                <m:t>m</m:t>
              </m:r>
            </m:sub>
          </m:sSub>
          <m:r>
            <w:rPr>
              <w:rFonts w:ascii="Cambria Math" w:hAnsi="Cambria Math"/>
            </w:rPr>
            <m:t>-1</m:t>
          </m:r>
        </m:oMath>
      </m:oMathPara>
    </w:p>
    <w:p w:rsidR="00385A8D" w:rsidRPr="00385A8D" w:rsidRDefault="00385A8D" w:rsidP="00385A8D">
      <w:pPr>
        <w:spacing w:line="360" w:lineRule="auto"/>
        <w:contextualSpacing/>
        <w:jc w:val="both"/>
      </w:pPr>
      <w:r>
        <w:t>Υποθέτοντας ισορροπία στο αρχικό εμπορικό ισοζύγιο,</w:t>
      </w:r>
      <m:oMath>
        <m:r>
          <w:rPr>
            <w:rFonts w:ascii="Cambria Math" w:hAnsi="Cambria Math"/>
          </w:rPr>
          <m:t xml:space="preserve"> </m:t>
        </m:r>
        <m:f>
          <m:fPr>
            <m:ctrlPr>
              <w:rPr>
                <w:rFonts w:ascii="Cambria Math" w:hAnsi="Cambria Math"/>
                <w:i/>
                <w:lang w:val="en-US"/>
              </w:rPr>
            </m:ctrlPr>
          </m:fPr>
          <m:num>
            <m:r>
              <w:rPr>
                <w:rFonts w:ascii="Cambria Math" w:hAnsi="Cambria Math"/>
                <w:lang w:val="en-US"/>
              </w:rPr>
              <m:t>Χ</m:t>
            </m:r>
          </m:num>
          <m:den>
            <m:r>
              <w:rPr>
                <w:rFonts w:ascii="Cambria Math" w:hAnsi="Cambria Math"/>
                <w:lang w:val="en-US"/>
              </w:rPr>
              <m:t>S</m:t>
            </m:r>
            <m:r>
              <w:rPr>
                <w:rFonts w:ascii="Cambria Math" w:hAnsi="Cambria Math"/>
              </w:rPr>
              <m:t>∙</m:t>
            </m:r>
            <m:r>
              <w:rPr>
                <w:rFonts w:ascii="Cambria Math" w:hAnsi="Cambria Math"/>
                <w:lang w:val="en-US"/>
              </w:rPr>
              <m:t>Μ</m:t>
            </m:r>
          </m:den>
        </m:f>
        <m:r>
          <w:rPr>
            <w:rFonts w:ascii="Cambria Math" w:hAnsi="Cambria Math"/>
          </w:rPr>
          <m:t>=1</m:t>
        </m:r>
      </m:oMath>
      <w:r>
        <w:t xml:space="preserve"> κα</w:t>
      </w:r>
      <w:r w:rsidR="003308DD">
        <w:t>ι κάνοντας πράξεις καταλήγουμε:</w:t>
      </w:r>
      <w:r>
        <w:rPr>
          <w:rFonts w:ascii="Cambria Math" w:hAnsi="Cambria Math"/>
        </w:rPr>
        <w:br/>
      </w:r>
      <m:oMathPara>
        <m:oMath>
          <m:f>
            <m:fPr>
              <m:ctrlPr>
                <w:rPr>
                  <w:rFonts w:ascii="Cambria Math" w:hAnsi="Cambria Math"/>
                  <w:i/>
                  <w:lang w:val="en-US"/>
                </w:rPr>
              </m:ctrlPr>
            </m:fPr>
            <m:num>
              <m:r>
                <w:rPr>
                  <w:rFonts w:ascii="Cambria Math" w:hAnsi="Cambria Math"/>
                  <w:lang w:val="en-US"/>
                </w:rPr>
                <m:t>d</m:t>
              </m:r>
              <m:r>
                <w:rPr>
                  <w:rFonts w:ascii="Cambria Math" w:hAnsi="Cambria Math"/>
                </w:rPr>
                <m:t>ΤΒ</m:t>
              </m:r>
            </m:num>
            <m:den>
              <m:r>
                <w:rPr>
                  <w:rFonts w:ascii="Cambria Math" w:hAnsi="Cambria Math"/>
                  <w:lang w:val="en-US"/>
                </w:rPr>
                <m:t>dS</m:t>
              </m:r>
            </m:den>
          </m:f>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w:rPr>
                  <w:rFonts w:ascii="Cambria Math" w:hAnsi="Cambria Math"/>
                </w:rPr>
                <m:t>m</m:t>
              </m:r>
            </m:sub>
          </m:sSub>
          <m:r>
            <w:rPr>
              <w:rFonts w:ascii="Cambria Math" w:hAnsi="Cambria Math"/>
            </w:rPr>
            <m:t>-1)</m:t>
          </m:r>
        </m:oMath>
      </m:oMathPara>
    </w:p>
    <w:p w:rsidR="00385A8D" w:rsidRPr="00B3113B" w:rsidRDefault="00B3113B" w:rsidP="00385A8D">
      <w:pPr>
        <w:spacing w:line="360" w:lineRule="auto"/>
        <w:contextualSpacing/>
        <w:jc w:val="both"/>
      </w:pPr>
      <w:r>
        <w:t>Δηλαδή το εάν μια υποτίμηση του εγχώριου νομίσματος θα βελτιώσει το εμπορικό ισοζύγιο εξαρτάται από το εάν το ά</w:t>
      </w:r>
      <w:r w:rsidR="00494385">
        <w:t>θ</w:t>
      </w:r>
      <w:r>
        <w:t xml:space="preserve">ροισμα των συναλλαγματικών </w:t>
      </w:r>
      <w:proofErr w:type="spellStart"/>
      <w:r>
        <w:t>ελαστικοτήτων</w:t>
      </w:r>
      <w:proofErr w:type="spellEnd"/>
      <w:r>
        <w:t xml:space="preserve"> είναι μεγαλύτερο της μονάδας. Αυτή η συνθήκη είναι γνωστή ως συνθήκη </w:t>
      </w:r>
      <w:r>
        <w:rPr>
          <w:lang w:val="en-US"/>
        </w:rPr>
        <w:t>Marshall</w:t>
      </w:r>
      <w:r w:rsidRPr="00B3113B">
        <w:t>-</w:t>
      </w:r>
      <w:r>
        <w:rPr>
          <w:lang w:val="en-US"/>
        </w:rPr>
        <w:t>Lerner</w:t>
      </w:r>
      <w:r w:rsidRPr="00B3113B">
        <w:t>.</w:t>
      </w:r>
    </w:p>
    <w:p w:rsidR="00B3113B" w:rsidRDefault="00B3113B" w:rsidP="00B3113B">
      <w:pPr>
        <w:spacing w:line="360" w:lineRule="auto"/>
        <w:contextualSpacing/>
        <w:jc w:val="both"/>
        <w:rPr>
          <w:i/>
          <w:iCs/>
          <w:u w:val="single"/>
        </w:rPr>
      </w:pPr>
    </w:p>
    <w:p w:rsidR="00B3113B" w:rsidRPr="00A136BE" w:rsidRDefault="00B3113B" w:rsidP="00B3113B">
      <w:pPr>
        <w:spacing w:line="360" w:lineRule="auto"/>
        <w:contextualSpacing/>
        <w:jc w:val="both"/>
        <w:rPr>
          <w:u w:val="single"/>
        </w:rPr>
      </w:pPr>
      <w:r>
        <w:rPr>
          <w:i/>
          <w:iCs/>
          <w:u w:val="single"/>
        </w:rPr>
        <w:t>Το υπόδειγμα απορρόφησης ή δαπάνης</w:t>
      </w:r>
      <w:r w:rsidRPr="00A136BE">
        <w:rPr>
          <w:i/>
          <w:iCs/>
          <w:u w:val="single"/>
        </w:rPr>
        <w:t xml:space="preserve"> </w:t>
      </w:r>
    </w:p>
    <w:p w:rsidR="00002761" w:rsidRDefault="00002761" w:rsidP="003308DD">
      <w:pPr>
        <w:spacing w:line="360" w:lineRule="auto"/>
        <w:ind w:firstLine="720"/>
        <w:contextualSpacing/>
        <w:jc w:val="both"/>
      </w:pPr>
      <w:r w:rsidRPr="00002761">
        <w:lastRenderedPageBreak/>
        <w:t>Σύμφωνα με το υπόδειγμα της απορρόφησης, οι ανισορροπίες στο</w:t>
      </w:r>
      <w:r>
        <w:t xml:space="preserve"> Εμπορικό</w:t>
      </w:r>
      <w:r w:rsidRPr="00002761">
        <w:t xml:space="preserve"> Ισοζύγιο Συναλλαγών αντικατοπτρίζουν τη διαφορά μεταξύ εγχώριας παραγωγής και εγχώριας δαπάνης</w:t>
      </w:r>
      <w:r>
        <w:t xml:space="preserve"> (</w:t>
      </w:r>
      <w:proofErr w:type="spellStart"/>
      <w:r>
        <w:rPr>
          <w:lang w:val="en-US"/>
        </w:rPr>
        <w:t>Pilbeam</w:t>
      </w:r>
      <w:proofErr w:type="spellEnd"/>
      <w:r w:rsidRPr="00002761">
        <w:t>, 2006)</w:t>
      </w:r>
      <w:r>
        <w:t>.</w:t>
      </w:r>
      <w:r w:rsidR="003308DD">
        <w:t xml:space="preserve"> Μπορούμε να ξεκινήσουμε </w:t>
      </w:r>
      <w:r>
        <w:t xml:space="preserve">από την ταυτότητα του εθνικού εισοδήματος </w:t>
      </w:r>
      <w:r w:rsidR="003308DD">
        <w:t>και να ορίσ</w:t>
      </w:r>
      <w:r>
        <w:t>ουμε την εγχώρια δαπάνη ως Α. Δηλαδή:</w:t>
      </w:r>
    </w:p>
    <w:p w:rsidR="00002761" w:rsidRDefault="00002761" w:rsidP="007628AF">
      <w:pPr>
        <w:spacing w:line="360" w:lineRule="auto"/>
        <w:contextualSpacing/>
        <w:jc w:val="both"/>
      </w:pPr>
      <m:oMath>
        <m:r>
          <w:rPr>
            <w:rFonts w:ascii="Cambria Math" w:hAnsi="Cambria Math"/>
          </w:rPr>
          <m:t>Y=</m:t>
        </m:r>
        <m:r>
          <w:rPr>
            <w:rFonts w:ascii="Cambria Math" w:hAnsi="Cambria Math"/>
            <w:lang w:val="en-US"/>
          </w:rPr>
          <m:t>C</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G</m:t>
        </m:r>
        <m:r>
          <w:rPr>
            <w:rFonts w:ascii="Cambria Math" w:hAnsi="Cambria Math"/>
          </w:rPr>
          <m:t>+</m:t>
        </m:r>
        <m:r>
          <m:rPr>
            <m:sty m:val="p"/>
          </m:rPr>
          <w:rPr>
            <w:rFonts w:ascii="Cambria Math" w:hAnsi="Cambria Math"/>
          </w:rPr>
          <m:t>Χ-Μ</m:t>
        </m:r>
      </m:oMath>
      <w:r w:rsidRPr="00002761">
        <w:t xml:space="preserve"> </w:t>
      </w:r>
      <w:r>
        <w:t xml:space="preserve">και </w:t>
      </w:r>
      <m:oMath>
        <m:r>
          <w:rPr>
            <w:rFonts w:ascii="Cambria Math" w:hAnsi="Cambria Math"/>
          </w:rPr>
          <m:t>Α=</m:t>
        </m:r>
        <m:r>
          <w:rPr>
            <w:rFonts w:ascii="Cambria Math" w:hAnsi="Cambria Math"/>
            <w:lang w:val="en-US"/>
          </w:rPr>
          <m:t>C</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G</m:t>
        </m:r>
      </m:oMath>
      <w:r>
        <w:t xml:space="preserve"> </w:t>
      </w:r>
    </w:p>
    <w:p w:rsidR="00002761" w:rsidRDefault="00002761" w:rsidP="007628AF">
      <w:pPr>
        <w:spacing w:line="360" w:lineRule="auto"/>
        <w:contextualSpacing/>
        <w:jc w:val="both"/>
      </w:pPr>
      <w:r>
        <w:t>Επομένως</w:t>
      </w:r>
      <w:r w:rsidR="003308DD">
        <w:t>:</w:t>
      </w:r>
      <w:r>
        <w:t xml:space="preserve">  </w:t>
      </w:r>
      <m:oMath>
        <m:r>
          <w:rPr>
            <w:rFonts w:ascii="Cambria Math" w:hAnsi="Cambria Math"/>
          </w:rPr>
          <m:t>ΤΒ=</m:t>
        </m:r>
        <m:r>
          <m:rPr>
            <m:sty m:val="p"/>
          </m:rPr>
          <w:rPr>
            <w:rFonts w:ascii="Cambria Math" w:hAnsi="Cambria Math"/>
          </w:rPr>
          <m:t>Υ-Α</m:t>
        </m:r>
      </m:oMath>
      <w:r w:rsidR="00D85DC7">
        <w:t xml:space="preserve"> </w:t>
      </w:r>
      <w:r w:rsidR="00D85DC7">
        <w:tab/>
      </w:r>
      <w:r w:rsidR="00D85DC7">
        <w:tab/>
      </w:r>
      <w:r w:rsidR="00D85DC7">
        <w:tab/>
      </w:r>
      <w:r w:rsidR="00D85DC7">
        <w:tab/>
        <w:t xml:space="preserve"> </w:t>
      </w:r>
      <w:r w:rsidR="003308DD">
        <w:tab/>
      </w:r>
      <w:r w:rsidR="003308DD">
        <w:tab/>
      </w:r>
      <w:r w:rsidR="003308DD">
        <w:tab/>
      </w:r>
      <w:r w:rsidR="00D85DC7">
        <w:t>(7</w:t>
      </w:r>
      <w:r w:rsidR="003308DD">
        <w:t>.5</w:t>
      </w:r>
      <w:r w:rsidR="00D85DC7">
        <w:t>)</w:t>
      </w:r>
    </w:p>
    <w:p w:rsidR="00002761" w:rsidRPr="00D85DC7" w:rsidRDefault="00002761" w:rsidP="007628AF">
      <w:pPr>
        <w:spacing w:line="360" w:lineRule="auto"/>
        <w:contextualSpacing/>
        <w:jc w:val="both"/>
      </w:pPr>
      <w:r>
        <w:t>Η εγχώρια συνολική δαπάνη μπορεί να καθοριστεί ως μια συνάρτηση του εθνικού εισοδήματος</w:t>
      </w:r>
      <w:r w:rsidRPr="00002761">
        <w:t xml:space="preserve">: </w:t>
      </w:r>
      <m:oMath>
        <m:r>
          <w:rPr>
            <w:rFonts w:ascii="Cambria Math" w:hAnsi="Cambria Math"/>
          </w:rPr>
          <m:t>Α=α</m:t>
        </m:r>
        <m:r>
          <m:rPr>
            <m:sty m:val="p"/>
          </m:rPr>
          <w:rPr>
            <w:rFonts w:ascii="Cambria Math" w:hAnsi="Cambria Math"/>
          </w:rPr>
          <m:t>Υ+</m:t>
        </m:r>
        <m:sSub>
          <m:sSubPr>
            <m:ctrlPr>
              <w:rPr>
                <w:rFonts w:ascii="Cambria Math" w:hAnsi="Cambria Math"/>
              </w:rPr>
            </m:ctrlPr>
          </m:sSubPr>
          <m:e>
            <m:r>
              <m:rPr>
                <m:sty m:val="p"/>
              </m:rPr>
              <w:rPr>
                <w:rFonts w:ascii="Cambria Math" w:hAnsi="Cambria Math"/>
              </w:rPr>
              <m:t>Α</m:t>
            </m:r>
          </m:e>
          <m:sub>
            <m:r>
              <w:rPr>
                <w:rFonts w:ascii="Cambria Math" w:hAnsi="Cambria Math"/>
                <w:lang w:val="en-US"/>
              </w:rPr>
              <m:t>d</m:t>
            </m:r>
          </m:sub>
        </m:sSub>
      </m:oMath>
    </w:p>
    <w:p w:rsidR="00002761" w:rsidRPr="00002761" w:rsidRDefault="00002761" w:rsidP="007628AF">
      <w:pPr>
        <w:spacing w:line="360" w:lineRule="auto"/>
        <w:contextualSpacing/>
        <w:jc w:val="both"/>
      </w:pPr>
      <w:r>
        <w:t>Ό</w:t>
      </w:r>
      <w:r w:rsidRPr="00002761">
        <w:t xml:space="preserve">που </w:t>
      </w:r>
      <w:r w:rsidRPr="00002761">
        <w:rPr>
          <w:i/>
          <w:iCs/>
        </w:rPr>
        <w:t xml:space="preserve">α </w:t>
      </w:r>
      <w:r w:rsidRPr="00002761">
        <w:t xml:space="preserve">είναι η οριακή ροπή </w:t>
      </w:r>
      <w:r>
        <w:t xml:space="preserve">για δαπάνη ως προς το εισόδημα, και </w:t>
      </w:r>
      <w:proofErr w:type="spellStart"/>
      <w:r w:rsidRPr="00002761">
        <w:rPr>
          <w:i/>
          <w:iCs/>
        </w:rPr>
        <w:t>A</w:t>
      </w:r>
      <w:r w:rsidRPr="00002761">
        <w:rPr>
          <w:i/>
          <w:iCs/>
          <w:vertAlign w:val="subscript"/>
        </w:rPr>
        <w:t>d</w:t>
      </w:r>
      <w:proofErr w:type="spellEnd"/>
      <w:r w:rsidRPr="00002761">
        <w:rPr>
          <w:i/>
          <w:iCs/>
          <w:vertAlign w:val="subscript"/>
        </w:rPr>
        <w:t xml:space="preserve"> </w:t>
      </w:r>
      <w:r>
        <w:t xml:space="preserve"> η </w:t>
      </w:r>
      <w:r w:rsidRPr="00002761">
        <w:rPr>
          <w:i/>
          <w:iCs/>
        </w:rPr>
        <w:t>άμεση δαπάνη</w:t>
      </w:r>
      <w:r>
        <w:rPr>
          <w:i/>
          <w:iCs/>
        </w:rPr>
        <w:t xml:space="preserve">. </w:t>
      </w:r>
      <w:r w:rsidRPr="00D85DC7">
        <w:rPr>
          <w:iCs/>
        </w:rPr>
        <w:t>Δηλαδή</w:t>
      </w:r>
      <w:r w:rsidRPr="00002761">
        <w:t xml:space="preserve"> περιλαμβάνει όλους εκείνους τους παράγοντες που επηρεάζουν άμεσα τη </w:t>
      </w:r>
      <w:r w:rsidRPr="00D85DC7">
        <w:t xml:space="preserve">δαπάνη </w:t>
      </w:r>
      <w:r w:rsidRPr="00D85DC7">
        <w:rPr>
          <w:bCs/>
        </w:rPr>
        <w:t xml:space="preserve">εκτός </w:t>
      </w:r>
      <w:r w:rsidRPr="00D85DC7">
        <w:t>του εισοδήματος. Συνεπώς</w:t>
      </w:r>
      <w:r w:rsidRPr="00002761">
        <w:t>, η σχέση 7</w:t>
      </w:r>
      <w:r w:rsidR="003308DD">
        <w:t>.5</w:t>
      </w:r>
      <w:r w:rsidRPr="00002761">
        <w:t xml:space="preserve"> </w:t>
      </w:r>
      <w:r w:rsidR="003308DD">
        <w:t>μπορεί να γραφτεί</w:t>
      </w:r>
      <w:r w:rsidRPr="00002761">
        <w:t>:</w:t>
      </w:r>
    </w:p>
    <w:p w:rsidR="00002761" w:rsidRPr="00D85DC7" w:rsidRDefault="00D85DC7" w:rsidP="007628AF">
      <w:pPr>
        <w:spacing w:line="360" w:lineRule="auto"/>
        <w:contextualSpacing/>
        <w:jc w:val="both"/>
      </w:pPr>
      <m:oMathPara>
        <m:oMath>
          <m:r>
            <w:rPr>
              <w:rFonts w:ascii="Cambria Math" w:hAnsi="Cambria Math"/>
            </w:rPr>
            <m:t>ΤΒ=</m:t>
          </m:r>
          <m:d>
            <m:dPr>
              <m:ctrlPr>
                <w:rPr>
                  <w:rFonts w:ascii="Cambria Math" w:hAnsi="Cambria Math"/>
                  <w:i/>
                </w:rPr>
              </m:ctrlPr>
            </m:dPr>
            <m:e>
              <m:r>
                <w:rPr>
                  <w:rFonts w:ascii="Cambria Math" w:hAnsi="Cambria Math"/>
                </w:rPr>
                <m:t>1-α</m:t>
              </m:r>
            </m:e>
          </m:d>
          <m:r>
            <m:rPr>
              <m:sty m:val="p"/>
            </m:rPr>
            <w:rPr>
              <w:rFonts w:ascii="Cambria Math" w:hAnsi="Cambria Math"/>
            </w:rPr>
            <m:t>∙Υ-</m:t>
          </m:r>
          <m:sSub>
            <m:sSubPr>
              <m:ctrlPr>
                <w:rPr>
                  <w:rFonts w:ascii="Cambria Math" w:hAnsi="Cambria Math"/>
                </w:rPr>
              </m:ctrlPr>
            </m:sSubPr>
            <m:e>
              <m:r>
                <m:rPr>
                  <m:sty m:val="p"/>
                </m:rPr>
                <w:rPr>
                  <w:rFonts w:ascii="Cambria Math" w:hAnsi="Cambria Math"/>
                </w:rPr>
                <m:t>Α</m:t>
              </m:r>
            </m:e>
            <m:sub>
              <m:r>
                <w:rPr>
                  <w:rFonts w:ascii="Cambria Math" w:hAnsi="Cambria Math"/>
                  <w:lang w:val="en-US"/>
                </w:rPr>
                <m:t>d</m:t>
              </m:r>
            </m:sub>
          </m:sSub>
        </m:oMath>
      </m:oMathPara>
    </w:p>
    <w:p w:rsidR="00D85DC7" w:rsidRDefault="00D85DC7" w:rsidP="007628AF">
      <w:pPr>
        <w:spacing w:line="360" w:lineRule="auto"/>
        <w:contextualSpacing/>
        <w:jc w:val="both"/>
      </w:pPr>
      <w:r>
        <w:t>Παίρνοντας στην συνέχεια το ολικό διαφορικό αυτής της εξίσωσης και δια</w:t>
      </w:r>
      <w:r w:rsidR="00494385">
        <w:t>ι</w:t>
      </w:r>
      <w:r>
        <w:t xml:space="preserve">ρώντας με το </w:t>
      </w:r>
      <w:proofErr w:type="spellStart"/>
      <w:r>
        <w:rPr>
          <w:lang w:val="en-US"/>
        </w:rPr>
        <w:t>dS</w:t>
      </w:r>
      <w:proofErr w:type="spellEnd"/>
      <w:r w:rsidRPr="00D85DC7">
        <w:t xml:space="preserve"> </w:t>
      </w:r>
      <w:r>
        <w:t>καταλήγουμε στην θεμελιώδη σχέση του υποδείγματος:</w:t>
      </w:r>
    </w:p>
    <w:p w:rsidR="00D85DC7" w:rsidRPr="00D85DC7" w:rsidRDefault="00EA318F" w:rsidP="00D85DC7">
      <w:pPr>
        <w:spacing w:line="360" w:lineRule="auto"/>
        <w:contextualSpacing/>
        <w:jc w:val="both"/>
      </w:pPr>
      <m:oMathPara>
        <m:oMath>
          <m:f>
            <m:fPr>
              <m:ctrlPr>
                <w:rPr>
                  <w:rFonts w:ascii="Cambria Math" w:hAnsi="Cambria Math"/>
                  <w:i/>
                </w:rPr>
              </m:ctrlPr>
            </m:fPr>
            <m:num>
              <m:r>
                <w:rPr>
                  <w:rFonts w:ascii="Cambria Math" w:hAnsi="Cambria Math"/>
                  <w:lang w:val="en-US"/>
                </w:rPr>
                <m:t>d</m:t>
              </m:r>
              <m:r>
                <w:rPr>
                  <w:rFonts w:ascii="Cambria Math" w:hAnsi="Cambria Math"/>
                </w:rPr>
                <m:t>ΤΒ</m:t>
              </m:r>
            </m:num>
            <m:den>
              <m:r>
                <w:rPr>
                  <w:rFonts w:ascii="Cambria Math" w:hAnsi="Cambria Math"/>
                </w:rPr>
                <m:t>dS</m:t>
              </m:r>
            </m:den>
          </m:f>
          <m:r>
            <w:rPr>
              <w:rFonts w:ascii="Cambria Math" w:hAnsi="Cambria Math"/>
            </w:rPr>
            <m:t>=</m:t>
          </m:r>
          <m:d>
            <m:dPr>
              <m:ctrlPr>
                <w:rPr>
                  <w:rFonts w:ascii="Cambria Math" w:hAnsi="Cambria Math"/>
                  <w:i/>
                </w:rPr>
              </m:ctrlPr>
            </m:dPr>
            <m:e>
              <m:r>
                <w:rPr>
                  <w:rFonts w:ascii="Cambria Math" w:hAnsi="Cambria Math"/>
                </w:rPr>
                <m:t>1-α</m:t>
              </m:r>
            </m:e>
          </m:d>
          <m:r>
            <m:rPr>
              <m:sty m:val="p"/>
            </m:rPr>
            <w:rPr>
              <w:rFonts w:ascii="Cambria Math" w:hAnsi="Cambria Math"/>
            </w:rPr>
            <m:t>∙</m:t>
          </m:r>
          <m:f>
            <m:fPr>
              <m:ctrlPr>
                <w:rPr>
                  <w:rFonts w:ascii="Cambria Math" w:hAnsi="Cambria Math"/>
                </w:rPr>
              </m:ctrlPr>
            </m:fPr>
            <m:num>
              <m:r>
                <m:rPr>
                  <m:sty m:val="p"/>
                </m:rPr>
                <w:rPr>
                  <w:rFonts w:ascii="Cambria Math" w:hAnsi="Cambria Math"/>
                </w:rPr>
                <m:t>dΥ</m:t>
              </m:r>
            </m:num>
            <m:den>
              <m:r>
                <w:rPr>
                  <w:rFonts w:ascii="Cambria Math" w:hAnsi="Cambria Math"/>
                </w:rPr>
                <m:t>dS</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dΑ</m:t>
                  </m:r>
                </m:e>
                <m:sub>
                  <m:r>
                    <w:rPr>
                      <w:rFonts w:ascii="Cambria Math" w:hAnsi="Cambria Math"/>
                      <w:lang w:val="en-US"/>
                    </w:rPr>
                    <m:t>d</m:t>
                  </m:r>
                </m:sub>
              </m:sSub>
            </m:num>
            <m:den>
              <m:r>
                <w:rPr>
                  <w:rFonts w:ascii="Cambria Math" w:hAnsi="Cambria Math"/>
                </w:rPr>
                <m:t>dS</m:t>
              </m:r>
            </m:den>
          </m:f>
        </m:oMath>
      </m:oMathPara>
    </w:p>
    <w:p w:rsidR="00D85DC7" w:rsidRDefault="00D85DC7" w:rsidP="007628AF">
      <w:pPr>
        <w:spacing w:line="360" w:lineRule="auto"/>
        <w:contextualSpacing/>
        <w:jc w:val="both"/>
      </w:pPr>
      <w:r>
        <w:t>Η συνθήκη λοιπόν για την βελτίωση του εμπορικού ισοζυγίου από την υποτίμηση του εγχώριου νομίσματος είναι η ακόλουθη:</w:t>
      </w:r>
    </w:p>
    <w:p w:rsidR="00D85DC7" w:rsidRDefault="00EA318F" w:rsidP="00686383">
      <w:pPr>
        <w:spacing w:line="360" w:lineRule="auto"/>
        <w:ind w:left="720" w:firstLine="720"/>
        <w:contextualSpacing/>
        <w:jc w:val="both"/>
      </w:pPr>
      <m:oMath>
        <m:f>
          <m:fPr>
            <m:ctrlPr>
              <w:rPr>
                <w:rFonts w:ascii="Cambria Math" w:hAnsi="Cambria Math"/>
                <w:i/>
              </w:rPr>
            </m:ctrlPr>
          </m:fPr>
          <m:num>
            <m:r>
              <w:rPr>
                <w:rFonts w:ascii="Cambria Math" w:hAnsi="Cambria Math"/>
                <w:lang w:val="en-US"/>
              </w:rPr>
              <m:t>d</m:t>
            </m:r>
            <m:r>
              <w:rPr>
                <w:rFonts w:ascii="Cambria Math" w:hAnsi="Cambria Math"/>
              </w:rPr>
              <m:t>ΤΒ</m:t>
            </m:r>
          </m:num>
          <m:den>
            <m:r>
              <w:rPr>
                <w:rFonts w:ascii="Cambria Math" w:hAnsi="Cambria Math"/>
              </w:rPr>
              <m:t>dS</m:t>
            </m:r>
          </m:den>
        </m:f>
        <m:r>
          <w:rPr>
            <w:rFonts w:ascii="Cambria Math" w:hAnsi="Cambria Math"/>
          </w:rPr>
          <m:t>&gt;0</m:t>
        </m:r>
      </m:oMath>
      <w:r w:rsidR="00D85DC7">
        <w:t xml:space="preserve"> δηλαδή  </w:t>
      </w:r>
      <m:oMath>
        <m:d>
          <m:dPr>
            <m:ctrlPr>
              <w:rPr>
                <w:rFonts w:ascii="Cambria Math" w:hAnsi="Cambria Math"/>
                <w:i/>
              </w:rPr>
            </m:ctrlPr>
          </m:dPr>
          <m:e>
            <m:r>
              <w:rPr>
                <w:rFonts w:ascii="Cambria Math" w:hAnsi="Cambria Math"/>
              </w:rPr>
              <m:t>1-α</m:t>
            </m:r>
          </m:e>
        </m:d>
        <m:r>
          <m:rPr>
            <m:sty m:val="p"/>
          </m:rPr>
          <w:rPr>
            <w:rFonts w:ascii="Cambria Math" w:hAnsi="Cambria Math"/>
          </w:rPr>
          <m:t>∙</m:t>
        </m:r>
        <m:f>
          <m:fPr>
            <m:ctrlPr>
              <w:rPr>
                <w:rFonts w:ascii="Cambria Math" w:hAnsi="Cambria Math"/>
              </w:rPr>
            </m:ctrlPr>
          </m:fPr>
          <m:num>
            <m:r>
              <m:rPr>
                <m:sty m:val="p"/>
              </m:rPr>
              <w:rPr>
                <w:rFonts w:ascii="Cambria Math" w:hAnsi="Cambria Math"/>
              </w:rPr>
              <m:t>dΥ</m:t>
            </m:r>
          </m:num>
          <m:den>
            <m:r>
              <w:rPr>
                <w:rFonts w:ascii="Cambria Math" w:hAnsi="Cambria Math"/>
              </w:rPr>
              <m:t>dS</m:t>
            </m:r>
          </m:den>
        </m:f>
        <m:r>
          <m:rPr>
            <m:sty m:val="p"/>
          </m:rPr>
          <w:rPr>
            <w:rFonts w:ascii="Cambria Math" w:hAnsi="Cambria Math"/>
          </w:rPr>
          <m:t>&gt;</m:t>
        </m:r>
        <m:f>
          <m:fPr>
            <m:ctrlPr>
              <w:rPr>
                <w:rFonts w:ascii="Cambria Math" w:hAnsi="Cambria Math"/>
              </w:rPr>
            </m:ctrlPr>
          </m:fPr>
          <m:num>
            <m:sSub>
              <m:sSubPr>
                <m:ctrlPr>
                  <w:rPr>
                    <w:rFonts w:ascii="Cambria Math" w:hAnsi="Cambria Math"/>
                  </w:rPr>
                </m:ctrlPr>
              </m:sSubPr>
              <m:e>
                <m:r>
                  <m:rPr>
                    <m:sty m:val="p"/>
                  </m:rPr>
                  <w:rPr>
                    <w:rFonts w:ascii="Cambria Math" w:hAnsi="Cambria Math"/>
                  </w:rPr>
                  <m:t>dΑ</m:t>
                </m:r>
              </m:e>
              <m:sub>
                <m:r>
                  <w:rPr>
                    <w:rFonts w:ascii="Cambria Math" w:hAnsi="Cambria Math"/>
                    <w:lang w:val="en-US"/>
                  </w:rPr>
                  <m:t>d</m:t>
                </m:r>
              </m:sub>
            </m:sSub>
          </m:num>
          <m:den>
            <m:r>
              <w:rPr>
                <w:rFonts w:ascii="Cambria Math" w:hAnsi="Cambria Math"/>
              </w:rPr>
              <m:t>dS</m:t>
            </m:r>
          </m:den>
        </m:f>
      </m:oMath>
    </w:p>
    <w:p w:rsidR="00D85DC7" w:rsidRPr="00D85DC7" w:rsidRDefault="00D85DC7" w:rsidP="00D85DC7">
      <w:pPr>
        <w:spacing w:line="360" w:lineRule="auto"/>
        <w:contextualSpacing/>
        <w:jc w:val="both"/>
      </w:pPr>
      <w:r>
        <w:t>Που πρακτικά σημαίνει ότι μετά από μια υποτίμηση, με δεδομένο το α&lt;1, η μεταβολή στο εισόδημα που δεν δαπανάται θα πρέπει να είναι μεγαλύτερη από την μεταβολή στην άμεση δαπάνη. Μερικά άλλα σημαντικά συμπεράσματα είναι ο σημαντικός ρόλος της οριακής ροπής προς απορρόφηση</w:t>
      </w:r>
      <w:r w:rsidR="00686383">
        <w:t xml:space="preserve"> που στην περίπτωση όπου το α&gt;1, η αύξηση του εισοδήματος θα οδηγήσει σε ακόμα μεγαλύτερη απορρόφηση και άρα χειροτέρευση του εμπορικού ισοζυγίου. Επίσης αν μια οικονομία λειτουργεί σε </w:t>
      </w:r>
      <w:proofErr w:type="spellStart"/>
      <w:r w:rsidR="00686383">
        <w:t>επίπδο</w:t>
      </w:r>
      <w:proofErr w:type="spellEnd"/>
      <w:r w:rsidR="00686383">
        <w:t xml:space="preserve"> πλήρους </w:t>
      </w:r>
      <w:proofErr w:type="spellStart"/>
      <w:r w:rsidR="00686383">
        <w:t>απσχόλησης</w:t>
      </w:r>
      <w:proofErr w:type="spellEnd"/>
      <w:r w:rsidR="00686383">
        <w:t xml:space="preserve"> δηλαδή </w:t>
      </w:r>
      <w:proofErr w:type="spellStart"/>
      <w:r w:rsidR="00686383">
        <w:rPr>
          <w:lang w:val="en-US"/>
        </w:rPr>
        <w:t>dY</w:t>
      </w:r>
      <w:proofErr w:type="spellEnd"/>
      <w:r w:rsidR="00686383" w:rsidRPr="00686383">
        <w:t xml:space="preserve">=0 </w:t>
      </w:r>
      <w:r w:rsidR="00686383">
        <w:t>τότε η αποτελεσματικότητα της υποτίμησης στο εμπορικό ισοζύγιο εξαρτάται από την επίδραση της συναλλαγματικής αλλαγής πάνω στην άμεση δαπάνη.</w:t>
      </w:r>
      <w:r w:rsidR="00494385">
        <w:t xml:space="preserve"> </w:t>
      </w:r>
      <w:r w:rsidR="00686383">
        <w:t xml:space="preserve">Αν είναι θετική θα χειροτερεύει το εμπορικό ισοζύγιο. Τέλος το σημαντικότερο ίσως συμπέρασμα αυτού του υποδείγματος είναι ότι το αποτέλεσμα της υποτίμησης θα πρέπει να </w:t>
      </w:r>
      <w:proofErr w:type="spellStart"/>
      <w:r w:rsidR="00686383">
        <w:t>συνδεύεται</w:t>
      </w:r>
      <w:proofErr w:type="spellEnd"/>
      <w:r w:rsidR="00686383">
        <w:t xml:space="preserve"> από μέτρα τόνωσης του εισοδήματος και μείωσης των δαπανών, για να έχει ευεργετικές επιδράσεις στο </w:t>
      </w:r>
      <w:r w:rsidR="00686383">
        <w:lastRenderedPageBreak/>
        <w:t xml:space="preserve">εμπορικό ισοζύγιο. Άρα η υποτίμηση από μόνη της δεν αποτελεί πάντα λύση στην βελτίωση του εμπορικού ισοζυγίου. </w:t>
      </w:r>
      <w:r>
        <w:t xml:space="preserve">  </w:t>
      </w:r>
    </w:p>
    <w:p w:rsidR="00D85DC7" w:rsidRPr="00D85DC7" w:rsidRDefault="00D85DC7" w:rsidP="007628AF">
      <w:pPr>
        <w:spacing w:line="360" w:lineRule="auto"/>
        <w:contextualSpacing/>
        <w:jc w:val="both"/>
      </w:pPr>
    </w:p>
    <w:p w:rsidR="007628AF" w:rsidRPr="007628AF" w:rsidRDefault="007628AF" w:rsidP="00191465">
      <w:pPr>
        <w:spacing w:line="360" w:lineRule="auto"/>
        <w:contextualSpacing/>
        <w:jc w:val="both"/>
      </w:pPr>
    </w:p>
    <w:p w:rsidR="00A56C61" w:rsidRDefault="00A56C61" w:rsidP="00A56C61">
      <w:pPr>
        <w:pStyle w:val="2"/>
        <w:spacing w:before="0" w:after="0" w:line="360" w:lineRule="auto"/>
        <w:jc w:val="both"/>
        <w:rPr>
          <w:rFonts w:ascii="Times New Roman" w:hAnsi="Times New Roman" w:cs="Times New Roman"/>
          <w:i w:val="0"/>
          <w:sz w:val="24"/>
          <w:szCs w:val="24"/>
        </w:rPr>
      </w:pPr>
      <w:bookmarkStart w:id="19" w:name="_Toc395803095"/>
      <w:bookmarkStart w:id="20" w:name="_Toc396220903"/>
      <w:r>
        <w:rPr>
          <w:rFonts w:ascii="Times New Roman" w:hAnsi="Times New Roman" w:cs="Times New Roman"/>
          <w:i w:val="0"/>
          <w:sz w:val="24"/>
          <w:szCs w:val="24"/>
        </w:rPr>
        <w:t>7.2.3</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 xml:space="preserve">Η </w:t>
      </w:r>
      <w:r w:rsidR="000E1DD4">
        <w:rPr>
          <w:rFonts w:ascii="Times New Roman" w:hAnsi="Times New Roman" w:cs="Times New Roman"/>
          <w:i w:val="0"/>
          <w:sz w:val="24"/>
          <w:szCs w:val="24"/>
        </w:rPr>
        <w:t>μονεταριστική</w:t>
      </w:r>
      <w:r>
        <w:rPr>
          <w:rFonts w:ascii="Times New Roman" w:hAnsi="Times New Roman" w:cs="Times New Roman"/>
          <w:i w:val="0"/>
          <w:sz w:val="24"/>
          <w:szCs w:val="24"/>
        </w:rPr>
        <w:t xml:space="preserve"> προσέγγιση</w:t>
      </w:r>
      <w:bookmarkEnd w:id="19"/>
      <w:bookmarkEnd w:id="20"/>
      <w:r>
        <w:rPr>
          <w:rFonts w:ascii="Times New Roman" w:hAnsi="Times New Roman" w:cs="Times New Roman"/>
          <w:i w:val="0"/>
          <w:sz w:val="24"/>
          <w:szCs w:val="24"/>
        </w:rPr>
        <w:t xml:space="preserve"> </w:t>
      </w:r>
    </w:p>
    <w:p w:rsidR="001767E5" w:rsidRPr="001767E5" w:rsidRDefault="000F0CE4" w:rsidP="00BC4CFB">
      <w:pPr>
        <w:spacing w:line="360" w:lineRule="auto"/>
        <w:ind w:firstLine="720"/>
        <w:contextualSpacing/>
        <w:jc w:val="both"/>
      </w:pPr>
      <w:r>
        <w:t>Οι α</w:t>
      </w:r>
      <w:r w:rsidR="00510059" w:rsidRPr="001767E5">
        <w:t>νισορροπίες στην αγορά χρήματος</w:t>
      </w:r>
      <w:r w:rsidR="00510059">
        <w:t xml:space="preserve"> έχουν σαν αποτέλεσμα την δημιουργία ανισορροπιών</w:t>
      </w:r>
      <w:r w:rsidR="001767E5" w:rsidRPr="001767E5">
        <w:t xml:space="preserve"> στο Ισοζύγιο Πληρωμών (πλεονάσματα ή ελλείμματα) </w:t>
      </w:r>
      <w:r w:rsidR="00510059">
        <w:t>σύμφωνα με την μονεταριστική προσέγγιση</w:t>
      </w:r>
      <w:r w:rsidR="001767E5" w:rsidRPr="001767E5">
        <w:t>. Ένα πλεονασματικό Ισοζύγιο Πληρωμών οφείλεται σε υπερβάλλουσα ζήτηση χρήματος σε σχέση με την προσφορά χρήματος</w:t>
      </w:r>
      <w:r w:rsidR="001767E5">
        <w:t>. Ενώ ένα</w:t>
      </w:r>
      <w:r w:rsidR="001767E5" w:rsidRPr="001767E5">
        <w:t xml:space="preserve"> ελλειμματικό Ισοζύγιο Πληρωμών οφείλεται στην υπερβάλλουσα προσφορά χρήματος</w:t>
      </w:r>
      <w:r w:rsidR="001767E5">
        <w:t xml:space="preserve"> σε σχέση με τη ζήτηση χρήματος</w:t>
      </w:r>
      <w:r w:rsidR="001767E5" w:rsidRPr="001767E5">
        <w:t xml:space="preserve">. </w:t>
      </w:r>
      <w:r w:rsidR="001767E5">
        <w:t>Οι τρεις βασικές υποθέσεις του απλού μονεταριστικού υποδείγματος μπορ</w:t>
      </w:r>
      <w:r w:rsidR="00BC4CFB">
        <w:t>ούν να συνοψιστούν ως ακολούθως</w:t>
      </w:r>
      <w:r w:rsidR="00510059">
        <w:t>.</w:t>
      </w:r>
      <w:r w:rsidR="00BC4CFB">
        <w:t xml:space="preserve"> </w:t>
      </w:r>
      <w:r w:rsidR="00510059">
        <w:t>Πρώτον, η</w:t>
      </w:r>
      <w:r w:rsidR="00BC4CFB">
        <w:t xml:space="preserve"> οικονομία λειτουργεί σε επίπεδα πλήρους απασχόλησης δηλαδή αυτό μεταφράζεται γραφικά σε μια κάθετη καμπύλη </w:t>
      </w:r>
      <w:proofErr w:type="spellStart"/>
      <w:r w:rsidR="00BC4CFB" w:rsidRPr="00BC4CFB">
        <w:t>συναθροιστική</w:t>
      </w:r>
      <w:r w:rsidR="00BC4CFB">
        <w:t>ς</w:t>
      </w:r>
      <w:proofErr w:type="spellEnd"/>
      <w:r w:rsidR="00BC4CFB">
        <w:t xml:space="preserve"> προσφοράς (</w:t>
      </w:r>
      <w:r w:rsidR="00BC4CFB">
        <w:rPr>
          <w:lang w:val="en-US"/>
        </w:rPr>
        <w:t>Aggregate</w:t>
      </w:r>
      <w:r w:rsidR="00BC4CFB" w:rsidRPr="00BC4CFB">
        <w:t xml:space="preserve"> </w:t>
      </w:r>
      <w:r w:rsidR="00BC4CFB">
        <w:rPr>
          <w:lang w:val="en-US"/>
        </w:rPr>
        <w:t>Supply</w:t>
      </w:r>
      <w:r w:rsidR="00BC4CFB" w:rsidRPr="00BC4CFB">
        <w:t xml:space="preserve">, </w:t>
      </w:r>
      <w:r w:rsidR="00BC4CFB">
        <w:rPr>
          <w:lang w:val="en-US"/>
        </w:rPr>
        <w:t>AS</w:t>
      </w:r>
      <w:r w:rsidR="00BC4CFB">
        <w:t>)</w:t>
      </w:r>
      <w:r w:rsidR="00BC4CFB" w:rsidRPr="00BC4CFB">
        <w:t>.</w:t>
      </w:r>
      <w:r w:rsidR="00BC4CFB">
        <w:t xml:space="preserve"> </w:t>
      </w:r>
      <w:r w:rsidR="00510059">
        <w:t>Δεύτερον</w:t>
      </w:r>
      <w:r w:rsidR="00BC4CFB">
        <w:t xml:space="preserve"> </w:t>
      </w:r>
      <w:r w:rsidR="00510059">
        <w:t>ι</w:t>
      </w:r>
      <w:r w:rsidR="00BC4CFB">
        <w:t xml:space="preserve">σχύει η </w:t>
      </w:r>
      <w:r w:rsidR="00510059">
        <w:t>ισοδυναμία αγοραστικής δύναμης</w:t>
      </w:r>
      <w:r w:rsidR="00BC4CFB">
        <w:t xml:space="preserve"> στο διηνεκές</w:t>
      </w:r>
      <w:r w:rsidR="00572DCA">
        <w:t>, δηλαδή οι τιμές δύο ίδιων αγαθών σε δυο διαφορετικές χώρες εκφρασμένες σε ένα νόμισμα πρέπει να είναι ίδιες με βάση την απουσία κόστ</w:t>
      </w:r>
      <w:r>
        <w:t>ο</w:t>
      </w:r>
      <w:r w:rsidR="00572DCA">
        <w:t>υς μεταφοράς</w:t>
      </w:r>
      <w:r w:rsidR="00BC4CFB">
        <w:t xml:space="preserve">. </w:t>
      </w:r>
      <w:r w:rsidR="00510059">
        <w:t>Ενώ τρίτον, η</w:t>
      </w:r>
      <w:r w:rsidR="001767E5">
        <w:t xml:space="preserve"> ζήτηση χρήματος είναι μια </w:t>
      </w:r>
      <w:r w:rsidR="001767E5" w:rsidRPr="001767E5">
        <w:t>σταθερή συνάρτηση του ονομαστικού εισοδήματος</w:t>
      </w:r>
      <w:r w:rsidR="00BC4CFB">
        <w:t xml:space="preserve"> και εκφράζεται από τον ακόλουθο τύπο.</w:t>
      </w:r>
    </w:p>
    <w:p w:rsidR="001767E5" w:rsidRPr="001767E5" w:rsidRDefault="00EA318F" w:rsidP="001767E5">
      <w:pPr>
        <w:pStyle w:val="ae"/>
        <w:spacing w:line="360" w:lineRule="auto"/>
        <w:ind w:left="1080"/>
        <w:contextualSpacing/>
        <w:jc w:val="both"/>
        <w:rPr>
          <w:bCs/>
        </w:rPr>
      </w:pPr>
      <m:oMathPara>
        <m:oMath>
          <m:sSubSup>
            <m:sSubSupPr>
              <m:ctrlPr>
                <w:rPr>
                  <w:rFonts w:ascii="Cambria Math" w:hAnsi="Cambria Math"/>
                  <w:bCs/>
                </w:rPr>
              </m:ctrlPr>
            </m:sSubSupPr>
            <m:e>
              <m:r>
                <m:rPr>
                  <m:sty m:val="p"/>
                </m:rPr>
                <w:rPr>
                  <w:rFonts w:ascii="Cambria Math" w:hAnsi="Cambria Math"/>
                </w:rPr>
                <m:t>Μ</m:t>
              </m:r>
            </m:e>
            <m:sub>
              <m:r>
                <m:rPr>
                  <m:sty m:val="p"/>
                </m:rPr>
                <w:rPr>
                  <w:rFonts w:ascii="Cambria Math" w:hAnsi="Cambria Math"/>
                  <w:lang w:val="en-US"/>
                </w:rPr>
                <m:t>t</m:t>
              </m:r>
            </m:sub>
            <m:sup>
              <m:r>
                <w:rPr>
                  <w:rFonts w:ascii="Cambria Math" w:hAnsi="Cambria Math"/>
                </w:rPr>
                <m:t>d</m:t>
              </m:r>
            </m:sup>
          </m:sSubSup>
          <m:r>
            <w:rPr>
              <w:rFonts w:ascii="Cambria Math" w:hAnsi="Cambria Math"/>
            </w:rPr>
            <m:t>=k</m:t>
          </m:r>
          <m:sSub>
            <m:sSubPr>
              <m:ctrlPr>
                <w:rPr>
                  <w:rFonts w:ascii="Cambria Math" w:hAnsi="Cambria Math"/>
                  <w:bCs/>
                  <w:i/>
                </w:rPr>
              </m:ctrlPr>
            </m:sSubPr>
            <m:e>
              <m:r>
                <w:rPr>
                  <w:rFonts w:ascii="Cambria Math" w:hAnsi="Cambria Math"/>
                </w:rPr>
                <m:t>P</m:t>
              </m:r>
            </m:e>
            <m:sub>
              <m:r>
                <w:rPr>
                  <w:rFonts w:ascii="Cambria Math" w:hAnsi="Cambria Math"/>
                </w:rPr>
                <m:t>t</m:t>
              </m:r>
            </m:sub>
          </m:sSub>
          <m:sSub>
            <m:sSubPr>
              <m:ctrlPr>
                <w:rPr>
                  <w:rFonts w:ascii="Cambria Math" w:hAnsi="Cambria Math"/>
                  <w:bCs/>
                  <w:i/>
                </w:rPr>
              </m:ctrlPr>
            </m:sSubPr>
            <m:e>
              <m:r>
                <w:rPr>
                  <w:rFonts w:ascii="Cambria Math" w:hAnsi="Cambria Math"/>
                </w:rPr>
                <m:t>Y</m:t>
              </m:r>
            </m:e>
            <m:sub>
              <m:r>
                <w:rPr>
                  <w:rFonts w:ascii="Cambria Math" w:hAnsi="Cambria Math"/>
                </w:rPr>
                <m:t>t</m:t>
              </m:r>
            </m:sub>
          </m:sSub>
        </m:oMath>
      </m:oMathPara>
    </w:p>
    <w:p w:rsidR="00BC4CFB" w:rsidRDefault="001767E5" w:rsidP="001767E5">
      <w:pPr>
        <w:spacing w:line="360" w:lineRule="auto"/>
        <w:contextualSpacing/>
        <w:jc w:val="both"/>
      </w:pPr>
      <w:r>
        <w:t>Ό</w:t>
      </w:r>
      <w:r w:rsidRPr="001767E5">
        <w:t>που Ρ</w:t>
      </w:r>
      <w:r>
        <w:t xml:space="preserve"> είναι το εγχώριο επίπεδο τιμών, </w:t>
      </w:r>
      <w:r w:rsidRPr="001767E5">
        <w:t>Υ είναι</w:t>
      </w:r>
      <w:r>
        <w:t xml:space="preserve"> το πραγματικό εγχώριο εισόδημα και το </w:t>
      </w:r>
      <w:r w:rsidRPr="001767E5">
        <w:rPr>
          <w:i/>
          <w:iCs/>
        </w:rPr>
        <w:t xml:space="preserve">k </w:t>
      </w:r>
      <w:r w:rsidR="00BC4CFB">
        <w:rPr>
          <w:iCs/>
        </w:rPr>
        <w:t xml:space="preserve">σταθερά που </w:t>
      </w:r>
      <w:r w:rsidRPr="001767E5">
        <w:t xml:space="preserve">μετράει την </w:t>
      </w:r>
      <w:r w:rsidRPr="001767E5">
        <w:rPr>
          <w:i/>
          <w:iCs/>
        </w:rPr>
        <w:t xml:space="preserve">ευαισθησία </w:t>
      </w:r>
      <w:r w:rsidRPr="001767E5">
        <w:t>της ζήτησης χρήματος σε μια μεταβολή του</w:t>
      </w:r>
      <w:r>
        <w:t xml:space="preserve"> ονομαστικού</w:t>
      </w:r>
      <w:r w:rsidRPr="001767E5">
        <w:t xml:space="preserve"> εισοδήματος</w:t>
      </w:r>
      <w:r w:rsidR="00572DCA">
        <w:t xml:space="preserve"> (0&lt;</w:t>
      </w:r>
      <w:r w:rsidR="00572DCA" w:rsidRPr="00572DCA">
        <w:rPr>
          <w:i/>
          <w:lang w:val="en-US"/>
        </w:rPr>
        <w:t>k</w:t>
      </w:r>
      <w:r w:rsidR="00572DCA">
        <w:t>&lt;1)</w:t>
      </w:r>
      <w:r w:rsidRPr="001767E5">
        <w:t>. Η ζήτηση χρήματος είναι θετική συνάρτηση τόσο του Ρ, όσο και του Υ</w:t>
      </w:r>
      <w:r w:rsidR="00BC4CFB">
        <w:t xml:space="preserve"> και αποτελεί την κινητήριο δύναμη της </w:t>
      </w:r>
      <w:proofErr w:type="spellStart"/>
      <w:r w:rsidR="00BC4CFB">
        <w:t>συναθροιστικής</w:t>
      </w:r>
      <w:proofErr w:type="spellEnd"/>
      <w:r w:rsidR="00BC4CFB">
        <w:t xml:space="preserve"> </w:t>
      </w:r>
      <w:r w:rsidRPr="001767E5">
        <w:t>ζήτησης</w:t>
      </w:r>
      <w:r w:rsidR="00BC4CFB">
        <w:t xml:space="preserve"> (</w:t>
      </w:r>
      <w:r w:rsidR="00BC4CFB">
        <w:rPr>
          <w:lang w:val="en-US"/>
        </w:rPr>
        <w:t>Aggregate</w:t>
      </w:r>
      <w:r w:rsidR="00BC4CFB" w:rsidRPr="00BC4CFB">
        <w:t xml:space="preserve"> </w:t>
      </w:r>
      <w:r w:rsidR="00BC4CFB">
        <w:rPr>
          <w:lang w:val="en-US"/>
        </w:rPr>
        <w:t>demand</w:t>
      </w:r>
      <w:r w:rsidR="00BC4CFB" w:rsidRPr="00BC4CFB">
        <w:t xml:space="preserve">, </w:t>
      </w:r>
      <w:r w:rsidR="00BC4CFB">
        <w:rPr>
          <w:lang w:val="en-US"/>
        </w:rPr>
        <w:t>AD</w:t>
      </w:r>
      <w:r w:rsidR="00BC4CFB">
        <w:t>).</w:t>
      </w:r>
      <w:r w:rsidRPr="001767E5">
        <w:t xml:space="preserve"> </w:t>
      </w:r>
    </w:p>
    <w:p w:rsidR="00BC4CFB" w:rsidRPr="00403398" w:rsidRDefault="000F0CE4" w:rsidP="000F0CE4">
      <w:pPr>
        <w:spacing w:line="360" w:lineRule="auto"/>
        <w:ind w:firstLine="720"/>
        <w:contextualSpacing/>
        <w:jc w:val="both"/>
      </w:pPr>
      <w:r>
        <w:t>Από την άλλη ας υποθέσουμε ότι, η</w:t>
      </w:r>
      <w:r w:rsidR="00BC4CFB">
        <w:t xml:space="preserve"> </w:t>
      </w:r>
      <w:r w:rsidR="00BC4CFB" w:rsidRPr="00BC4CFB">
        <w:t xml:space="preserve">εγχώρια προσφορά χρήματος αποτελείται από </w:t>
      </w:r>
      <w:r w:rsidR="00BC4CFB">
        <w:t>τα</w:t>
      </w:r>
      <w:r w:rsidR="00BC4CFB" w:rsidRPr="00BC4CFB">
        <w:t xml:space="preserve"> </w:t>
      </w:r>
      <w:r w:rsidR="00BC4CFB">
        <w:t>ε</w:t>
      </w:r>
      <w:r w:rsidR="00BC4CFB" w:rsidRPr="00BC4CFB">
        <w:t xml:space="preserve">γχώρια ομόλογα που </w:t>
      </w:r>
      <w:proofErr w:type="spellStart"/>
      <w:r w:rsidR="00BC4CFB">
        <w:t>διακρατά</w:t>
      </w:r>
      <w:proofErr w:type="spellEnd"/>
      <w:r w:rsidR="00BC4CFB">
        <w:t xml:space="preserve"> η κεντρική τράπεζα (D) και τα σ</w:t>
      </w:r>
      <w:r w:rsidR="00BC4CFB" w:rsidRPr="00BC4CFB">
        <w:t>υναλλαγματικά διαθέσ</w:t>
      </w:r>
      <w:r w:rsidR="00403398">
        <w:t>ιμα της κεντρικής τράπεζας (R)</w:t>
      </w:r>
      <w:r w:rsidR="00403398" w:rsidRPr="00403398">
        <w:t xml:space="preserve"> </w:t>
      </w:r>
      <w:r w:rsidR="00403398">
        <w:t>όπως δείχνει η ακόλουθη εξίσωση.</w:t>
      </w:r>
    </w:p>
    <w:p w:rsidR="00403398" w:rsidRPr="001767E5" w:rsidRDefault="00EA318F" w:rsidP="00403398">
      <w:pPr>
        <w:pStyle w:val="ae"/>
        <w:spacing w:line="360" w:lineRule="auto"/>
        <w:ind w:left="1080"/>
        <w:contextualSpacing/>
        <w:jc w:val="both"/>
        <w:rPr>
          <w:bCs/>
        </w:rPr>
      </w:pPr>
      <m:oMathPara>
        <m:oMath>
          <m:sSubSup>
            <m:sSubSupPr>
              <m:ctrlPr>
                <w:rPr>
                  <w:rFonts w:ascii="Cambria Math" w:hAnsi="Cambria Math"/>
                  <w:bCs/>
                </w:rPr>
              </m:ctrlPr>
            </m:sSubSupPr>
            <m:e>
              <m:r>
                <m:rPr>
                  <m:sty m:val="p"/>
                </m:rPr>
                <w:rPr>
                  <w:rFonts w:ascii="Cambria Math" w:hAnsi="Cambria Math"/>
                </w:rPr>
                <m:t>Μ</m:t>
              </m:r>
            </m:e>
            <m:sub>
              <m:r>
                <m:rPr>
                  <m:sty m:val="p"/>
                </m:rPr>
                <w:rPr>
                  <w:rFonts w:ascii="Cambria Math" w:hAnsi="Cambria Math"/>
                  <w:lang w:val="en-US"/>
                </w:rPr>
                <m:t>t</m:t>
              </m:r>
            </m:sub>
            <m:sup>
              <m:r>
                <w:rPr>
                  <w:rFonts w:ascii="Cambria Math" w:hAnsi="Cambria Math"/>
                  <w:lang w:val="en-US"/>
                </w:rPr>
                <m:t>s</m:t>
              </m:r>
            </m:sup>
          </m:sSubSup>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t</m:t>
              </m:r>
            </m:sub>
          </m:sSub>
          <m:sSub>
            <m:sSubPr>
              <m:ctrlPr>
                <w:rPr>
                  <w:rFonts w:ascii="Cambria Math" w:hAnsi="Cambria Math"/>
                  <w:bCs/>
                  <w:i/>
                </w:rPr>
              </m:ctrlPr>
            </m:sSubPr>
            <m:e>
              <m:r>
                <w:rPr>
                  <w:rFonts w:ascii="Cambria Math" w:hAnsi="Cambria Math"/>
                </w:rPr>
                <m:t>+R</m:t>
              </m:r>
            </m:e>
            <m:sub>
              <m:r>
                <w:rPr>
                  <w:rFonts w:ascii="Cambria Math" w:hAnsi="Cambria Math"/>
                </w:rPr>
                <m:t>t</m:t>
              </m:r>
            </m:sub>
          </m:sSub>
        </m:oMath>
      </m:oMathPara>
    </w:p>
    <w:p w:rsidR="00075201" w:rsidRDefault="00403398" w:rsidP="00075201">
      <w:pPr>
        <w:spacing w:line="360" w:lineRule="auto"/>
        <w:ind w:firstLine="720"/>
        <w:contextualSpacing/>
        <w:jc w:val="both"/>
      </w:pPr>
      <w:r>
        <w:t>Έτσι μια μεταβολή</w:t>
      </w:r>
      <w:r w:rsidR="00BC4CFB" w:rsidRPr="00BC4CFB">
        <w:t xml:space="preserve"> στην εγχώρια προσφορά χρήματος μπορεί να επέλθει είτε από μια </w:t>
      </w:r>
      <w:r>
        <w:t xml:space="preserve">μεταβολή στα ομόλογα που </w:t>
      </w:r>
      <w:proofErr w:type="spellStart"/>
      <w:r>
        <w:t>διακρατά</w:t>
      </w:r>
      <w:proofErr w:type="spellEnd"/>
      <w:r>
        <w:t xml:space="preserve"> η κεντρική τράπεζα</w:t>
      </w:r>
      <w:r w:rsidR="00BC4CFB" w:rsidRPr="00BC4CFB">
        <w:t xml:space="preserve"> </w:t>
      </w:r>
      <w:r w:rsidR="007039F6">
        <w:t>μέσω της</w:t>
      </w:r>
      <w:r>
        <w:t xml:space="preserve"> </w:t>
      </w:r>
      <w:r>
        <w:lastRenderedPageBreak/>
        <w:t>λεγόμενη</w:t>
      </w:r>
      <w:r w:rsidR="007039F6">
        <w:t>ς</w:t>
      </w:r>
      <w:r>
        <w:t xml:space="preserve"> </w:t>
      </w:r>
      <w:r w:rsidR="007039F6">
        <w:t>πολιτική ανοιχτής αγοράς, που είδαμε στο κεφάλαιο 5</w:t>
      </w:r>
      <w:r w:rsidR="00BC4CFB" w:rsidRPr="00BC4CFB">
        <w:t xml:space="preserve">, είτε από μια </w:t>
      </w:r>
      <w:r>
        <w:t xml:space="preserve">μεταβολή στα </w:t>
      </w:r>
      <w:r w:rsidR="007039F6">
        <w:t xml:space="preserve">συναλλαγματικά </w:t>
      </w:r>
      <w:r>
        <w:t>διαθέσιμα</w:t>
      </w:r>
      <w:r w:rsidR="00BC4CFB" w:rsidRPr="00BC4CFB">
        <w:t xml:space="preserve"> </w:t>
      </w:r>
      <w:r w:rsidR="00BC4CFB" w:rsidRPr="00BC4CFB">
        <w:rPr>
          <w:i/>
          <w:iCs/>
        </w:rPr>
        <w:t>R</w:t>
      </w:r>
      <w:r w:rsidR="007039F6">
        <w:t xml:space="preserve">, </w:t>
      </w:r>
      <w:r>
        <w:t xml:space="preserve">η λεγόμενη </w:t>
      </w:r>
      <w:r w:rsidR="00BC4CFB" w:rsidRPr="00BC4CFB">
        <w:t>συναλλαγματικ</w:t>
      </w:r>
      <w:r w:rsidR="007039F6">
        <w:t>ή πολιτική</w:t>
      </w:r>
      <w:r w:rsidR="00BC4CFB" w:rsidRPr="00BC4CFB">
        <w:t>.</w:t>
      </w:r>
      <w:r w:rsidR="007039F6" w:rsidRPr="007039F6">
        <w:t xml:space="preserve"> </w:t>
      </w:r>
    </w:p>
    <w:p w:rsidR="00C53DDD" w:rsidRDefault="00F41692" w:rsidP="00075201">
      <w:pPr>
        <w:spacing w:line="360" w:lineRule="auto"/>
        <w:ind w:firstLine="720"/>
        <w:contextualSpacing/>
        <w:jc w:val="both"/>
      </w:pPr>
      <w:r>
        <w:t xml:space="preserve">Προχωρώντας στο μονεταριστικό υπόδειγμα αναπαριστούμε γραφικά τις τρεις επιμέρους αγορές. Την αγορά αγαθών και υπηρεσιών </w:t>
      </w:r>
      <w:r w:rsidR="00EA4614">
        <w:t>στο επάνω μέρος του γραφικού</w:t>
      </w:r>
      <w:r>
        <w:t>.</w:t>
      </w:r>
      <w:r w:rsidR="00EA4614">
        <w:t xml:space="preserve"> </w:t>
      </w:r>
      <w:r>
        <w:t>Την αγορά χρήματος</w:t>
      </w:r>
      <w:r w:rsidR="00EA4614">
        <w:t xml:space="preserve"> στα δεξιά κάτω</w:t>
      </w:r>
      <w:r w:rsidR="00075201">
        <w:t xml:space="preserve"> και την ισοδυναμία αγοραστικής δύναμης στα αριστερά κάτω</w:t>
      </w:r>
      <w:r w:rsidR="00EA4614">
        <w:t>.</w:t>
      </w:r>
      <w:r>
        <w:t xml:space="preserve"> </w:t>
      </w:r>
    </w:p>
    <w:p w:rsidR="00075201" w:rsidRPr="003308DD" w:rsidRDefault="00075201" w:rsidP="00075201">
      <w:pPr>
        <w:spacing w:line="360" w:lineRule="auto"/>
        <w:ind w:firstLine="720"/>
        <w:contextualSpacing/>
        <w:jc w:val="both"/>
      </w:pPr>
    </w:p>
    <w:p w:rsidR="00075201" w:rsidRPr="001767E5" w:rsidRDefault="00AF4096" w:rsidP="00AA6C7A">
      <w:pPr>
        <w:contextualSpacing/>
        <w:jc w:val="center"/>
      </w:pPr>
      <w:r>
        <w:rPr>
          <w:b/>
        </w:rPr>
        <w:t>Γράφημα 7.</w:t>
      </w:r>
      <w:r w:rsidRPr="00AF4096">
        <w:rPr>
          <w:b/>
        </w:rPr>
        <w:t>5</w:t>
      </w:r>
      <w:r w:rsidR="00075201">
        <w:rPr>
          <w:b/>
        </w:rPr>
        <w:t xml:space="preserve"> </w:t>
      </w:r>
      <w:r w:rsidR="00AA6C7A" w:rsidRPr="00AA6C7A">
        <w:rPr>
          <w:sz w:val="22"/>
          <w:szCs w:val="22"/>
        </w:rPr>
        <w:t>Μια</w:t>
      </w:r>
      <w:r w:rsidR="00075201" w:rsidRPr="00AA6C7A">
        <w:rPr>
          <w:sz w:val="22"/>
          <w:szCs w:val="22"/>
        </w:rPr>
        <w:t xml:space="preserve"> υποτίμηση</w:t>
      </w:r>
      <w:r w:rsidR="00AA6C7A" w:rsidRPr="00AA6C7A">
        <w:rPr>
          <w:sz w:val="22"/>
          <w:szCs w:val="22"/>
        </w:rPr>
        <w:t xml:space="preserve"> στην μονεταριστική προσ</w:t>
      </w:r>
      <w:r>
        <w:rPr>
          <w:sz w:val="22"/>
          <w:szCs w:val="22"/>
        </w:rPr>
        <w:t>έγγιση</w:t>
      </w:r>
      <w:r w:rsidRPr="00AF4096">
        <w:rPr>
          <w:sz w:val="22"/>
          <w:szCs w:val="22"/>
        </w:rPr>
        <w:t xml:space="preserve"> </w:t>
      </w:r>
      <w:r w:rsidR="00AA6C7A" w:rsidRPr="00AA6C7A">
        <w:rPr>
          <w:sz w:val="22"/>
          <w:szCs w:val="22"/>
        </w:rPr>
        <w:t>του ισοζυγίου πληρωμών</w:t>
      </w:r>
    </w:p>
    <w:p w:rsidR="00075201" w:rsidRDefault="00AA6C7A" w:rsidP="00AA6C7A">
      <w:pPr>
        <w:spacing w:line="360" w:lineRule="auto"/>
        <w:ind w:firstLine="720"/>
        <w:contextualSpacing/>
        <w:jc w:val="center"/>
      </w:pPr>
      <w:r>
        <w:rPr>
          <w:noProof/>
        </w:rPr>
        <w:drawing>
          <wp:inline distT="0" distB="0" distL="0" distR="0">
            <wp:extent cx="4486275" cy="2676525"/>
            <wp:effectExtent l="0" t="0" r="9525" b="9525"/>
            <wp:docPr id="130"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7_MonetAppr.jpg"/>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275" cy="2676525"/>
                    </a:xfrm>
                    <a:prstGeom prst="rect">
                      <a:avLst/>
                    </a:prstGeom>
                  </pic:spPr>
                </pic:pic>
              </a:graphicData>
            </a:graphic>
          </wp:inline>
        </w:drawing>
      </w:r>
    </w:p>
    <w:p w:rsidR="00AA6C7A" w:rsidRDefault="00AA6C7A" w:rsidP="00075201">
      <w:pPr>
        <w:spacing w:line="360" w:lineRule="auto"/>
        <w:ind w:firstLine="720"/>
        <w:contextualSpacing/>
        <w:jc w:val="both"/>
      </w:pPr>
    </w:p>
    <w:p w:rsidR="00075201" w:rsidRPr="00075201" w:rsidRDefault="00075201" w:rsidP="00075201">
      <w:pPr>
        <w:spacing w:line="360" w:lineRule="auto"/>
        <w:ind w:firstLine="720"/>
        <w:contextualSpacing/>
        <w:jc w:val="both"/>
      </w:pPr>
      <w:r w:rsidRPr="00403398">
        <w:t xml:space="preserve">Το </w:t>
      </w:r>
      <w:r w:rsidRPr="00075201">
        <w:t xml:space="preserve">υπόδειγμα βρίσκεται σε ισορροπία όταν η </w:t>
      </w:r>
      <w:proofErr w:type="spellStart"/>
      <w:r w:rsidRPr="00075201">
        <w:t>συναθροιστική</w:t>
      </w:r>
      <w:proofErr w:type="spellEnd"/>
      <w:r w:rsidRPr="00075201">
        <w:t xml:space="preserve"> ζήτηση (</w:t>
      </w:r>
      <w:r w:rsidRPr="00075201">
        <w:rPr>
          <w:lang w:val="en-US"/>
        </w:rPr>
        <w:t>AD</w:t>
      </w:r>
      <w:r w:rsidRPr="00075201">
        <w:t xml:space="preserve">) ισούται με τη </w:t>
      </w:r>
      <w:proofErr w:type="spellStart"/>
      <w:r w:rsidRPr="00075201">
        <w:t>συναθροιστική</w:t>
      </w:r>
      <w:proofErr w:type="spellEnd"/>
      <w:r w:rsidRPr="00075201">
        <w:t xml:space="preserve"> προσφορά (</w:t>
      </w:r>
      <w:r w:rsidRPr="00075201">
        <w:rPr>
          <w:lang w:val="en-US"/>
        </w:rPr>
        <w:t>AS</w:t>
      </w:r>
      <w:r w:rsidRPr="00075201">
        <w:t>) (</w:t>
      </w:r>
      <w:r w:rsidRPr="00075201">
        <w:rPr>
          <w:lang w:val="en-US"/>
        </w:rPr>
        <w:t>P</w:t>
      </w:r>
      <w:r w:rsidRPr="00075201">
        <w:t xml:space="preserve">1,Υ1), </w:t>
      </w:r>
      <w:r w:rsidRPr="00075201">
        <w:rPr>
          <w:bCs/>
        </w:rPr>
        <w:t xml:space="preserve">και </w:t>
      </w:r>
      <w:r w:rsidRPr="00075201">
        <w:t>όταν η ζήτηση χρήματος ισούται με την προσφορά χρήματος Μ</w:t>
      </w:r>
      <w:r w:rsidRPr="00075201">
        <w:rPr>
          <w:lang w:val="en-US"/>
        </w:rPr>
        <w:t>s</w:t>
      </w:r>
      <w:r w:rsidRPr="00075201">
        <w:t xml:space="preserve"> (</w:t>
      </w:r>
      <w:r w:rsidRPr="00075201">
        <w:rPr>
          <w:lang w:val="en-US"/>
        </w:rPr>
        <w:t>M</w:t>
      </w:r>
      <w:r w:rsidRPr="00075201">
        <w:t>1,</w:t>
      </w:r>
      <w:r w:rsidRPr="00075201">
        <w:rPr>
          <w:lang w:val="en-US"/>
        </w:rPr>
        <w:t>R</w:t>
      </w:r>
      <w:r w:rsidRPr="00075201">
        <w:t xml:space="preserve">1). Να σημειώσουμε ότι στο σημείο D1, όλη η εγχώρια προσφορά χρήματος αποτελείται από τις εγχώριες πιστώσεις (D1, R=0), ενώ στο σημείο M1, η εγχώρια προσφορά χρήματος αποτελείται από τις εγχώριες πιστώσεις (D1) </w:t>
      </w:r>
      <w:r w:rsidRPr="00075201">
        <w:rPr>
          <w:bCs/>
        </w:rPr>
        <w:t xml:space="preserve">και </w:t>
      </w:r>
      <w:r w:rsidRPr="00075201">
        <w:t>τα συναλλαγματικά διαθέσιμα (R1). Η ισορροπία όμως στην αγορά χρήματος υποδηλώνει ισορροπία και στο Ισοζύγιο Πληρωμών. Σύμφωνα στην συνέχεια με την ισοδυναμία αγοραστικής δύναμης</w:t>
      </w:r>
      <w:r w:rsidR="00AA6C7A">
        <w:t>,</w:t>
      </w:r>
      <w:r w:rsidRPr="00075201">
        <w:t xml:space="preserve"> και το επίπεδο τιμών </w:t>
      </w:r>
      <w:r w:rsidRPr="00075201">
        <w:rPr>
          <w:lang w:val="en-US"/>
        </w:rPr>
        <w:t>P</w:t>
      </w:r>
      <w:r w:rsidRPr="00075201">
        <w:t xml:space="preserve">1, καθορίζεται η συναλλαγματική ισοτιμία σε </w:t>
      </w:r>
      <w:r w:rsidRPr="00075201">
        <w:rPr>
          <w:lang w:val="en-US"/>
        </w:rPr>
        <w:t>S</w:t>
      </w:r>
      <w:r w:rsidRPr="00075201">
        <w:t>1.</w:t>
      </w:r>
    </w:p>
    <w:p w:rsidR="00F41692" w:rsidRPr="00F41692" w:rsidRDefault="00181328" w:rsidP="00AA6C7A">
      <w:pPr>
        <w:spacing w:line="360" w:lineRule="auto"/>
        <w:ind w:firstLine="720"/>
        <w:contextualSpacing/>
        <w:jc w:val="both"/>
      </w:pPr>
      <w:r>
        <w:t xml:space="preserve">Έχοντας περιγράψει τα θεμελιώδη στοιχεία του υποδείγματος μελετάμε την </w:t>
      </w:r>
      <w:r w:rsidR="00F41692" w:rsidRPr="00F41692">
        <w:t>επίδραση μιας υποτίμησης του εγχώριου νομίσματος</w:t>
      </w:r>
      <w:r>
        <w:t xml:space="preserve"> στην οικονομία</w:t>
      </w:r>
      <w:r w:rsidRPr="00181328">
        <w:t xml:space="preserve"> </w:t>
      </w:r>
      <w:r w:rsidR="00AA6C7A">
        <w:t>γραφικά</w:t>
      </w:r>
      <w:r>
        <w:t>.</w:t>
      </w:r>
      <w:r w:rsidR="00F41692" w:rsidRPr="00F41692">
        <w:t xml:space="preserve"> Εάν έχουμε υποτίμηση, τότε η συν</w:t>
      </w:r>
      <w:r w:rsidR="00AA6C7A">
        <w:t xml:space="preserve">αλλαγματική ισοτιμία αυξάνεται </w:t>
      </w:r>
      <w:r w:rsidR="00F41692" w:rsidRPr="00F41692">
        <w:t xml:space="preserve">από </w:t>
      </w:r>
      <w:r>
        <w:rPr>
          <w:lang w:val="en-US"/>
        </w:rPr>
        <w:t>S</w:t>
      </w:r>
      <w:r>
        <w:t xml:space="preserve">1 σε </w:t>
      </w:r>
      <w:r>
        <w:rPr>
          <w:lang w:val="en-US"/>
        </w:rPr>
        <w:t>S</w:t>
      </w:r>
      <w:r w:rsidR="00AA6C7A">
        <w:t>2,</w:t>
      </w:r>
      <w:r w:rsidR="00F41692" w:rsidRPr="00F41692">
        <w:t xml:space="preserve"> και τα εγχώρια προϊόντα γίνονται πιο ανταγωνιστικά σε σχέση με τα ξένα. </w:t>
      </w:r>
      <w:r w:rsidR="007039F6">
        <w:t xml:space="preserve">Αυτό έχει ως </w:t>
      </w:r>
      <w:r w:rsidR="007039F6">
        <w:lastRenderedPageBreak/>
        <w:t xml:space="preserve">αποτέλεσμα </w:t>
      </w:r>
      <w:r w:rsidR="00075201">
        <w:t>να α</w:t>
      </w:r>
      <w:r w:rsidR="00F41692" w:rsidRPr="00F41692">
        <w:t>υξάνεται</w:t>
      </w:r>
      <w:r w:rsidR="00075201">
        <w:t xml:space="preserve"> </w:t>
      </w:r>
      <w:r w:rsidR="00F41692" w:rsidRPr="00F41692">
        <w:t>και η ζήτηση για το εγχώριο νόμισμα, μετατοπίζ</w:t>
      </w:r>
      <w:r w:rsidR="00075201">
        <w:t xml:space="preserve">οντας </w:t>
      </w:r>
      <w:r w:rsidR="00F41692" w:rsidRPr="00F41692">
        <w:t xml:space="preserve">προς τα πάνω </w:t>
      </w:r>
      <w:r w:rsidR="00075201">
        <w:t>τ</w:t>
      </w:r>
      <w:r w:rsidR="00AA6C7A">
        <w:t>η ζήτηση χρήματος από M</w:t>
      </w:r>
      <w:r w:rsidR="00AA6C7A" w:rsidRPr="000F0CE4">
        <w:rPr>
          <w:vertAlign w:val="subscript"/>
        </w:rPr>
        <w:t>d1</w:t>
      </w:r>
      <w:r w:rsidR="00AA6C7A">
        <w:t xml:space="preserve"> σε M</w:t>
      </w:r>
      <w:r w:rsidR="00AA6C7A" w:rsidRPr="000F0CE4">
        <w:rPr>
          <w:vertAlign w:val="subscript"/>
        </w:rPr>
        <w:t>d2</w:t>
      </w:r>
      <w:r w:rsidR="00CD0F9F">
        <w:t xml:space="preserve"> (γράφημα 7.5).</w:t>
      </w:r>
      <w:r w:rsidR="00F41692" w:rsidRPr="00F41692">
        <w:t xml:space="preserve"> </w:t>
      </w:r>
      <w:r>
        <w:t xml:space="preserve">Όμως τώρα αυτό προκαλεί μια ανισορροπία στην αγορά χρήματος με δεδομένη την προσφορά χρήματος </w:t>
      </w:r>
      <w:r w:rsidR="00F41692" w:rsidRPr="00F41692">
        <w:t>(M1)</w:t>
      </w:r>
      <w:r w:rsidR="00075201">
        <w:t>.</w:t>
      </w:r>
      <w:r>
        <w:t xml:space="preserve"> Η</w:t>
      </w:r>
      <w:r w:rsidRPr="00F41692">
        <w:t xml:space="preserve"> </w:t>
      </w:r>
      <w:r>
        <w:t>κ</w:t>
      </w:r>
      <w:r w:rsidRPr="00F41692">
        <w:t xml:space="preserve">εντρική </w:t>
      </w:r>
      <w:r>
        <w:t>τ</w:t>
      </w:r>
      <w:r w:rsidRPr="00F41692">
        <w:t>ράπεζα</w:t>
      </w:r>
      <w:r>
        <w:t xml:space="preserve"> της χώρας</w:t>
      </w:r>
      <w:r w:rsidRPr="00F41692">
        <w:t xml:space="preserve"> </w:t>
      </w:r>
      <w:r w:rsidR="00075201">
        <w:t>προκειμένου να αποφύγει</w:t>
      </w:r>
      <w:r w:rsidR="00F41692" w:rsidRPr="00F41692">
        <w:t xml:space="preserve"> </w:t>
      </w:r>
      <w:r>
        <w:t>την</w:t>
      </w:r>
      <w:r w:rsidR="00075201">
        <w:t xml:space="preserve"> τάση</w:t>
      </w:r>
      <w:r w:rsidR="00F41692" w:rsidRPr="00F41692">
        <w:t xml:space="preserve"> ανατίμηση</w:t>
      </w:r>
      <w:r w:rsidR="00075201">
        <w:t>ς του εγχώριου νομίσματος</w:t>
      </w:r>
      <w:r w:rsidR="00F41692" w:rsidRPr="00F41692">
        <w:t>, αγοράζει ξένο συνάλλαγμα (</w:t>
      </w:r>
      <w:r w:rsidR="00AA6C7A">
        <w:t xml:space="preserve">δηλαδή έχουμε </w:t>
      </w:r>
      <w:r w:rsidR="00F41692" w:rsidRPr="00F41692">
        <w:t>αύξηση του R</w:t>
      </w:r>
      <w:r>
        <w:t xml:space="preserve"> από </w:t>
      </w:r>
      <w:r>
        <w:rPr>
          <w:lang w:val="en-US"/>
        </w:rPr>
        <w:t>R</w:t>
      </w:r>
      <w:r w:rsidRPr="00181328">
        <w:t xml:space="preserve">1 </w:t>
      </w:r>
      <w:r>
        <w:t>σε</w:t>
      </w:r>
      <w:r w:rsidRPr="00181328">
        <w:t xml:space="preserve"> </w:t>
      </w:r>
      <w:r>
        <w:rPr>
          <w:lang w:val="en-US"/>
        </w:rPr>
        <w:t>R</w:t>
      </w:r>
      <w:r w:rsidRPr="00181328">
        <w:t>2</w:t>
      </w:r>
      <w:r w:rsidR="00F41692" w:rsidRPr="00F41692">
        <w:t>) και συνεπώς</w:t>
      </w:r>
      <w:r w:rsidR="00075201">
        <w:t xml:space="preserve"> αυξάνεται η προσφορά χρήματος από Μ1 σε Μ2</w:t>
      </w:r>
      <w:r w:rsidR="00F41692" w:rsidRPr="00F41692">
        <w:t xml:space="preserve">. </w:t>
      </w:r>
      <w:r w:rsidR="00D40104">
        <w:t xml:space="preserve">Αποτέλεσμα αυτής της τελευταίας ενέργειας </w:t>
      </w:r>
      <w:r w:rsidR="00F41692" w:rsidRPr="00F41692">
        <w:t xml:space="preserve">η μετατόπιση της </w:t>
      </w:r>
      <w:proofErr w:type="spellStart"/>
      <w:r w:rsidR="00F41692" w:rsidRPr="00F41692">
        <w:t>συναθροιστικής</w:t>
      </w:r>
      <w:proofErr w:type="spellEnd"/>
      <w:r w:rsidR="00F41692" w:rsidRPr="00F41692">
        <w:t xml:space="preserve"> καμπύλης </w:t>
      </w:r>
      <w:r w:rsidR="00075201">
        <w:t xml:space="preserve">ζήτησης προς τα πάνω και δεξιά </w:t>
      </w:r>
      <w:r w:rsidR="00F41692" w:rsidRPr="00F41692">
        <w:t xml:space="preserve">από </w:t>
      </w:r>
      <w:r w:rsidR="00075201">
        <w:t xml:space="preserve">AD1 σε AD2, γεγονός που τελικά, </w:t>
      </w:r>
      <w:r w:rsidR="00D40104">
        <w:t>δεδομένου του επιπέδου παραγωγής πλήρους απασχόλησης</w:t>
      </w:r>
      <w:r w:rsidR="00075201">
        <w:t>, οδηγεί</w:t>
      </w:r>
      <w:r w:rsidR="00D40104">
        <w:t xml:space="preserve"> </w:t>
      </w:r>
      <w:r w:rsidR="00075201">
        <w:t>σ</w:t>
      </w:r>
      <w:r w:rsidR="00D40104">
        <w:t>την άνοδο των τιμών από Ρ1 σε Ρ2</w:t>
      </w:r>
      <w:r w:rsidR="00AA6C7A">
        <w:t xml:space="preserve">. </w:t>
      </w:r>
      <w:r w:rsidR="00D40104">
        <w:t>Όταν πλέον</w:t>
      </w:r>
      <w:r w:rsidR="00F41692" w:rsidRPr="00F41692">
        <w:t xml:space="preserve"> το </w:t>
      </w:r>
      <w:r w:rsidR="00F41692" w:rsidRPr="00AF4096">
        <w:t xml:space="preserve">εγχώριο επίπεδο τιμών αυξηθεί στο P2 και η προσφορά χρήματος αυξηθεί στο Μ2, τα </w:t>
      </w:r>
      <w:r w:rsidR="00F41692" w:rsidRPr="00AF4096">
        <w:rPr>
          <w:bCs/>
        </w:rPr>
        <w:t xml:space="preserve">πραγματικά </w:t>
      </w:r>
      <w:r w:rsidR="00F41692" w:rsidRPr="00AF4096">
        <w:t>διαθέσιμα</w:t>
      </w:r>
      <w:r w:rsidR="00F41692" w:rsidRPr="00F41692">
        <w:t xml:space="preserve"> επιστρέφουν στην </w:t>
      </w:r>
      <w:r w:rsidR="00D40104">
        <w:t>αρχική</w:t>
      </w:r>
      <w:r w:rsidR="00F41692" w:rsidRPr="00F41692">
        <w:t xml:space="preserve"> κατάσταση ισορροπίας τους: </w:t>
      </w:r>
    </w:p>
    <w:p w:rsidR="00D40104" w:rsidRPr="00F41692" w:rsidRDefault="00EA318F" w:rsidP="00F41692">
      <w:pPr>
        <w:spacing w:line="360" w:lineRule="auto"/>
        <w:ind w:firstLine="720"/>
        <w:contextualSpacing/>
        <w:jc w:val="both"/>
      </w:pPr>
      <m:oMathPara>
        <m:oMath>
          <m:f>
            <m:fPr>
              <m:ctrlPr>
                <w:rPr>
                  <w:rFonts w:ascii="Cambria Math" w:hAnsi="Cambria Math"/>
                  <w:i/>
                </w:rPr>
              </m:ctrlPr>
            </m:fPr>
            <m:num>
              <m:r>
                <w:rPr>
                  <w:rFonts w:ascii="Cambria Math" w:hAnsi="Cambria Math"/>
                </w:rPr>
                <m:t>M1</m:t>
              </m:r>
            </m:num>
            <m:den>
              <m:r>
                <w:rPr>
                  <w:rFonts w:ascii="Cambria Math" w:hAnsi="Cambria Math"/>
                  <w:lang w:val="en-US"/>
                </w:rPr>
                <m:t>P1</m:t>
              </m:r>
            </m:den>
          </m:f>
          <m:r>
            <w:rPr>
              <w:rFonts w:ascii="Cambria Math" w:hAnsi="Cambria Math"/>
            </w:rPr>
            <m:t>=</m:t>
          </m:r>
          <m:f>
            <m:fPr>
              <m:ctrlPr>
                <w:rPr>
                  <w:rFonts w:ascii="Cambria Math" w:hAnsi="Cambria Math"/>
                  <w:i/>
                </w:rPr>
              </m:ctrlPr>
            </m:fPr>
            <m:num>
              <m:r>
                <w:rPr>
                  <w:rFonts w:ascii="Cambria Math" w:hAnsi="Cambria Math"/>
                </w:rPr>
                <m:t>M2</m:t>
              </m:r>
            </m:num>
            <m:den>
              <m:r>
                <w:rPr>
                  <w:rFonts w:ascii="Cambria Math" w:hAnsi="Cambria Math"/>
                </w:rPr>
                <m:t>P2</m:t>
              </m:r>
            </m:den>
          </m:f>
        </m:oMath>
      </m:oMathPara>
    </w:p>
    <w:p w:rsidR="00C53DDD" w:rsidRDefault="00F41692" w:rsidP="00D40104">
      <w:pPr>
        <w:spacing w:line="360" w:lineRule="auto"/>
        <w:contextualSpacing/>
        <w:jc w:val="both"/>
      </w:pPr>
      <w:r w:rsidRPr="00F41692">
        <w:t>Το Ισοζύγιο Πληρωμών είναι</w:t>
      </w:r>
      <w:r w:rsidR="00D40104">
        <w:t xml:space="preserve"> πλέον σε κατάσταση ισορροπίας δηλαδή η </w:t>
      </w:r>
      <w:r w:rsidRPr="00F41692">
        <w:t>ζήτηση χρ</w:t>
      </w:r>
      <w:r w:rsidR="00D40104">
        <w:t>ήματος ίση με προσφορά χρήματος</w:t>
      </w:r>
      <w:r w:rsidRPr="00F41692">
        <w:t xml:space="preserve"> και συνεπώς το ανταγωνιστικό πλεονέκτημα της υποτίμησης εξανεμίζεται.</w:t>
      </w:r>
      <w:r w:rsidR="00CD0F9F">
        <w:t xml:space="preserve"> Και έτσι βρισκόμαστε πάλι πάνω στην γραμμή των 45</w:t>
      </w:r>
      <w:r w:rsidR="00CD0F9F" w:rsidRPr="00CD0F9F">
        <w:rPr>
          <w:vertAlign w:val="superscript"/>
        </w:rPr>
        <w:t>ο</w:t>
      </w:r>
      <w:r w:rsidRPr="00F41692">
        <w:t xml:space="preserve"> </w:t>
      </w:r>
      <w:r w:rsidR="00CD0F9F">
        <w:t xml:space="preserve">στην ΙΑΔ στο κάτω αριστερά γράφημα. </w:t>
      </w:r>
      <w:r w:rsidR="00D40104">
        <w:t>Το γενικό συμπέρασμα του υποδείγματος είναι ότι τ</w:t>
      </w:r>
      <w:r w:rsidRPr="00F41692">
        <w:t>ο π</w:t>
      </w:r>
      <w:r w:rsidR="00D40104">
        <w:t xml:space="preserve">λεόνασμα στο Ισοζύγιο Πληρωμών </w:t>
      </w:r>
      <w:r w:rsidRPr="00F41692">
        <w:t>ως αποτέλεσμα της υπο</w:t>
      </w:r>
      <w:r w:rsidR="00D40104">
        <w:t>τίμησης του εγχώριου νομίσματος</w:t>
      </w:r>
      <w:r w:rsidRPr="00F41692">
        <w:t xml:space="preserve"> είναι μόνο ένα π</w:t>
      </w:r>
      <w:r w:rsidR="00D40104">
        <w:t>ρόσκαιρο</w:t>
      </w:r>
      <w:r w:rsidRPr="00F41692">
        <w:t xml:space="preserve"> φαινόμενο.</w:t>
      </w:r>
    </w:p>
    <w:p w:rsidR="00F41692" w:rsidRDefault="00F41692" w:rsidP="009A4937">
      <w:pPr>
        <w:spacing w:line="360" w:lineRule="auto"/>
        <w:ind w:firstLine="720"/>
        <w:contextualSpacing/>
        <w:jc w:val="both"/>
      </w:pPr>
    </w:p>
    <w:p w:rsidR="00ED7070" w:rsidRDefault="00ED7070" w:rsidP="009F6F3B">
      <w:pPr>
        <w:pStyle w:val="2"/>
        <w:spacing w:before="0" w:after="0" w:line="360" w:lineRule="auto"/>
        <w:jc w:val="both"/>
        <w:rPr>
          <w:rFonts w:ascii="Times New Roman" w:hAnsi="Times New Roman" w:cs="Times New Roman"/>
          <w:i w:val="0"/>
        </w:rPr>
      </w:pPr>
      <w:bookmarkStart w:id="21" w:name="_Toc395803096"/>
      <w:bookmarkStart w:id="22" w:name="_Toc396220904"/>
      <w:r>
        <w:rPr>
          <w:rFonts w:ascii="Times New Roman" w:hAnsi="Times New Roman" w:cs="Times New Roman"/>
          <w:i w:val="0"/>
        </w:rPr>
        <w:t xml:space="preserve">7.3 </w:t>
      </w:r>
      <w:r w:rsidR="00812DF6">
        <w:rPr>
          <w:rFonts w:ascii="Times New Roman" w:hAnsi="Times New Roman" w:cs="Times New Roman"/>
          <w:i w:val="0"/>
        </w:rPr>
        <w:t>Ι</w:t>
      </w:r>
      <w:r>
        <w:rPr>
          <w:rFonts w:ascii="Times New Roman" w:hAnsi="Times New Roman" w:cs="Times New Roman"/>
          <w:i w:val="0"/>
        </w:rPr>
        <w:t>σοδυναμία επιτοκίων</w:t>
      </w:r>
      <w:bookmarkEnd w:id="21"/>
      <w:bookmarkEnd w:id="22"/>
      <w:r>
        <w:rPr>
          <w:rFonts w:ascii="Times New Roman" w:hAnsi="Times New Roman" w:cs="Times New Roman"/>
          <w:i w:val="0"/>
        </w:rPr>
        <w:t xml:space="preserve"> </w:t>
      </w:r>
    </w:p>
    <w:p w:rsidR="00ED7070" w:rsidRDefault="00ED7070" w:rsidP="00ED7070">
      <w:pPr>
        <w:pStyle w:val="2"/>
        <w:spacing w:before="0" w:after="0" w:line="360" w:lineRule="auto"/>
        <w:jc w:val="both"/>
        <w:rPr>
          <w:rFonts w:ascii="Times New Roman" w:hAnsi="Times New Roman" w:cs="Times New Roman"/>
          <w:i w:val="0"/>
          <w:sz w:val="24"/>
          <w:szCs w:val="24"/>
        </w:rPr>
      </w:pPr>
      <w:bookmarkStart w:id="23" w:name="_Toc395803097"/>
      <w:bookmarkStart w:id="24" w:name="_Toc396220905"/>
      <w:r>
        <w:rPr>
          <w:rFonts w:ascii="Times New Roman" w:hAnsi="Times New Roman" w:cs="Times New Roman"/>
          <w:i w:val="0"/>
          <w:sz w:val="24"/>
          <w:szCs w:val="24"/>
        </w:rPr>
        <w:t>7.3</w:t>
      </w:r>
      <w:r w:rsidRPr="00580915">
        <w:rPr>
          <w:rFonts w:ascii="Times New Roman" w:hAnsi="Times New Roman" w:cs="Times New Roman"/>
          <w:i w:val="0"/>
          <w:sz w:val="24"/>
          <w:szCs w:val="24"/>
        </w:rPr>
        <w:t xml:space="preserve">.1 </w:t>
      </w:r>
      <w:r w:rsidR="00812DF6">
        <w:rPr>
          <w:rFonts w:ascii="Times New Roman" w:hAnsi="Times New Roman" w:cs="Times New Roman"/>
          <w:i w:val="0"/>
          <w:sz w:val="24"/>
          <w:szCs w:val="24"/>
        </w:rPr>
        <w:t>Α</w:t>
      </w:r>
      <w:r w:rsidRPr="009F6F3B">
        <w:rPr>
          <w:rFonts w:ascii="Times New Roman" w:hAnsi="Times New Roman" w:cs="Times New Roman"/>
          <w:i w:val="0"/>
          <w:sz w:val="24"/>
          <w:szCs w:val="24"/>
        </w:rPr>
        <w:t>κάλυπτη ισοδυναμία επιτοκίων</w:t>
      </w:r>
      <w:bookmarkEnd w:id="23"/>
      <w:bookmarkEnd w:id="24"/>
    </w:p>
    <w:p w:rsidR="00D242DD" w:rsidRPr="00550635" w:rsidRDefault="00D242DD" w:rsidP="004B7BB6">
      <w:pPr>
        <w:spacing w:line="360" w:lineRule="auto"/>
        <w:ind w:firstLine="720"/>
        <w:contextualSpacing/>
        <w:jc w:val="both"/>
        <w:rPr>
          <w:rFonts w:eastAsia="Calibri"/>
          <w:lang w:eastAsia="en-US"/>
        </w:rPr>
      </w:pPr>
      <w:r w:rsidRPr="00550635">
        <w:rPr>
          <w:rFonts w:eastAsia="Calibri"/>
          <w:lang w:eastAsia="en-US"/>
        </w:rPr>
        <w:t>Το ακ</w:t>
      </w:r>
      <w:r w:rsidR="00AF4096">
        <w:rPr>
          <w:rFonts w:eastAsia="Calibri"/>
          <w:lang w:eastAsia="en-US"/>
        </w:rPr>
        <w:t>άλυπτο αρμπιτράζ επιτοκίων (ΑΑΕ</w:t>
      </w:r>
      <w:r w:rsidR="00AF4096" w:rsidRPr="00AF4096">
        <w:rPr>
          <w:rFonts w:eastAsia="Calibri"/>
          <w:lang w:eastAsia="en-US"/>
        </w:rPr>
        <w:t xml:space="preserve">) </w:t>
      </w:r>
      <w:r w:rsidR="004B7BB6" w:rsidRPr="00550635">
        <w:rPr>
          <w:rFonts w:eastAsia="Calibri"/>
          <w:lang w:eastAsia="en-US"/>
        </w:rPr>
        <w:t>ή ακάλυπτη ισοδυναμία επιτοκίων</w:t>
      </w:r>
      <w:r w:rsidR="00AF4096" w:rsidRPr="00AF4096">
        <w:rPr>
          <w:rFonts w:eastAsia="Calibri"/>
          <w:lang w:eastAsia="en-US"/>
        </w:rPr>
        <w:t xml:space="preserve"> (</w:t>
      </w:r>
      <w:proofErr w:type="spellStart"/>
      <w:r w:rsidR="00AF4096" w:rsidRPr="00550635">
        <w:rPr>
          <w:rFonts w:eastAsia="Calibri"/>
          <w:lang w:eastAsia="en-US"/>
        </w:rPr>
        <w:t>uncovered</w:t>
      </w:r>
      <w:proofErr w:type="spellEnd"/>
      <w:r w:rsidR="00AF4096" w:rsidRPr="00550635">
        <w:rPr>
          <w:rFonts w:eastAsia="Calibri"/>
          <w:lang w:eastAsia="en-US"/>
        </w:rPr>
        <w:t xml:space="preserve"> </w:t>
      </w:r>
      <w:proofErr w:type="spellStart"/>
      <w:r w:rsidR="00AF4096" w:rsidRPr="00550635">
        <w:rPr>
          <w:rFonts w:eastAsia="Calibri"/>
          <w:lang w:eastAsia="en-US"/>
        </w:rPr>
        <w:t>interest</w:t>
      </w:r>
      <w:proofErr w:type="spellEnd"/>
      <w:r w:rsidR="00AF4096" w:rsidRPr="00550635">
        <w:rPr>
          <w:rFonts w:eastAsia="Calibri"/>
          <w:lang w:eastAsia="en-US"/>
        </w:rPr>
        <w:t xml:space="preserve"> </w:t>
      </w:r>
      <w:proofErr w:type="spellStart"/>
      <w:r w:rsidR="00AF4096" w:rsidRPr="00550635">
        <w:rPr>
          <w:rFonts w:eastAsia="Calibri"/>
          <w:lang w:eastAsia="en-US"/>
        </w:rPr>
        <w:t>parity</w:t>
      </w:r>
      <w:proofErr w:type="spellEnd"/>
      <w:r w:rsidR="00AF4096" w:rsidRPr="00550635">
        <w:rPr>
          <w:rFonts w:eastAsia="Calibri"/>
          <w:lang w:eastAsia="en-US"/>
        </w:rPr>
        <w:t xml:space="preserve"> – UIP)</w:t>
      </w:r>
      <w:r w:rsidR="00AF4096" w:rsidRPr="00AF4096">
        <w:rPr>
          <w:rFonts w:eastAsia="Calibri"/>
          <w:lang w:eastAsia="en-US"/>
        </w:rPr>
        <w:t>,</w:t>
      </w:r>
      <w:r w:rsidR="00AF4096" w:rsidRPr="00550635">
        <w:rPr>
          <w:rFonts w:eastAsia="Calibri"/>
          <w:lang w:eastAsia="en-US"/>
        </w:rPr>
        <w:t xml:space="preserve"> </w:t>
      </w:r>
      <w:r w:rsidRPr="00550635">
        <w:rPr>
          <w:rFonts w:eastAsia="Calibri"/>
          <w:lang w:eastAsia="en-US"/>
        </w:rPr>
        <w:t xml:space="preserve">είναι μια </w:t>
      </w:r>
      <w:r w:rsidR="00441B65" w:rsidRPr="00550635">
        <w:rPr>
          <w:rFonts w:eastAsia="Calibri"/>
          <w:lang w:eastAsia="en-US"/>
        </w:rPr>
        <w:t>στρατηγική</w:t>
      </w:r>
      <w:r w:rsidRPr="00550635">
        <w:rPr>
          <w:rFonts w:eastAsia="Calibri"/>
          <w:lang w:eastAsia="en-US"/>
        </w:rPr>
        <w:t xml:space="preserve"> η οποία αποσκοπεί στην </w:t>
      </w:r>
      <w:r w:rsidR="00535B72">
        <w:rPr>
          <w:rFonts w:eastAsia="Calibri"/>
          <w:lang w:eastAsia="en-US"/>
        </w:rPr>
        <w:t>επίτευξη</w:t>
      </w:r>
      <w:r w:rsidRPr="00550635">
        <w:rPr>
          <w:rFonts w:eastAsia="Calibri"/>
          <w:lang w:eastAsia="en-US"/>
        </w:rPr>
        <w:t xml:space="preserve"> κερδών εκμεταλλευόμενη την ανισότητα ανάμεσα στην </w:t>
      </w:r>
      <w:proofErr w:type="spellStart"/>
      <w:r w:rsidRPr="00550635">
        <w:rPr>
          <w:rFonts w:eastAsia="Calibri"/>
          <w:lang w:eastAsia="en-US"/>
        </w:rPr>
        <w:t>επιτοκιακή</w:t>
      </w:r>
      <w:proofErr w:type="spellEnd"/>
      <w:r w:rsidRPr="00550635">
        <w:rPr>
          <w:rFonts w:eastAsia="Calibri"/>
          <w:lang w:eastAsia="en-US"/>
        </w:rPr>
        <w:t xml:space="preserve"> διαφορά δύο νομισμάτων και την αναμενόμενη μεταβολή στη συναλλαγματική τους ισοτιμία. </w:t>
      </w:r>
      <w:r w:rsidR="007B6B39" w:rsidRPr="00550635">
        <w:rPr>
          <w:rFonts w:eastAsia="Calibri"/>
          <w:lang w:eastAsia="en-US"/>
        </w:rPr>
        <w:t>Βασίζεται πάνω στην αρχή της ελεύθερης κίνησης κεφαλαίου και αν η ισοδυναμία αγοραστικής δύναμης που θα δούμε παρακάτω ονομάζεται αρχή της μιας τιμής εδώ αυτή η σχέση ονομάζεται η αρχή της ίδια</w:t>
      </w:r>
      <w:r w:rsidR="00441B65" w:rsidRPr="00550635">
        <w:rPr>
          <w:rFonts w:eastAsia="Calibri"/>
          <w:lang w:eastAsia="en-US"/>
        </w:rPr>
        <w:t>ς</w:t>
      </w:r>
      <w:r w:rsidR="007B6B39" w:rsidRPr="00550635">
        <w:rPr>
          <w:rFonts w:eastAsia="Calibri"/>
          <w:lang w:eastAsia="en-US"/>
        </w:rPr>
        <w:t xml:space="preserve"> απόδοσης ή του ενός επιτοκίου. Στην πρώτη περίπτωση συγκρίνουμε τις τιμές αγαθών εδώ συγκρίνουμε τις τιμές του χρήματος αντίστοιχα.</w:t>
      </w:r>
    </w:p>
    <w:p w:rsidR="009D6FBC" w:rsidRPr="00550635" w:rsidRDefault="007B6B39" w:rsidP="004B7BB6">
      <w:pPr>
        <w:spacing w:line="360" w:lineRule="auto"/>
        <w:ind w:firstLine="720"/>
        <w:contextualSpacing/>
        <w:jc w:val="both"/>
      </w:pPr>
      <w:r w:rsidRPr="00550635">
        <w:rPr>
          <w:rFonts w:eastAsia="Calibri"/>
          <w:lang w:eastAsia="en-US"/>
        </w:rPr>
        <w:lastRenderedPageBreak/>
        <w:t>Η παρουσίαση ενός παραδείγματος θα αναδείξει πιο εύκολα την σχέση την οποία θέλουμε να παρουσιάσουμε στην ενότητα αυτή. Έτσι α</w:t>
      </w:r>
      <w:r w:rsidR="00D242DD" w:rsidRPr="00550635">
        <w:rPr>
          <w:rFonts w:eastAsia="Calibri"/>
          <w:lang w:eastAsia="en-US"/>
        </w:rPr>
        <w:t>ς υποθέσουμε ότι ένας Αμερικανός επενδυτής επιθυμεί να τοποθετήσει ένα ποσό Α (π.χ. $</w:t>
      </w:r>
      <w:r w:rsidR="009D6FBC" w:rsidRPr="00550635">
        <w:rPr>
          <w:rFonts w:eastAsia="Calibri"/>
          <w:lang w:eastAsia="en-US"/>
        </w:rPr>
        <w:t>1</w:t>
      </w:r>
      <w:r w:rsidRPr="00550635">
        <w:rPr>
          <w:rFonts w:eastAsia="Calibri"/>
          <w:lang w:eastAsia="en-US"/>
        </w:rPr>
        <w:t xml:space="preserve"> για λόγους παιδαγωγικούς</w:t>
      </w:r>
      <w:r w:rsidR="00D242DD" w:rsidRPr="00550635">
        <w:rPr>
          <w:rFonts w:eastAsia="Calibri"/>
          <w:lang w:eastAsia="en-US"/>
        </w:rPr>
        <w:t xml:space="preserve">) σε ομόλογα του Γερμανικού ή του Αμερικάνικου δημοσίου για ένα έτος και τα οποία έχουν ακριβώς τα ίδια χαρακτηριστικά κινδύνου και φορολογίας. </w:t>
      </w:r>
      <w:r w:rsidR="009D6FBC" w:rsidRPr="00550635">
        <w:t xml:space="preserve">Εάν </w:t>
      </w:r>
      <w:r w:rsidR="00535B72" w:rsidRPr="00550635">
        <w:rPr>
          <w:position w:val="-12"/>
          <w:lang w:val="en-GB"/>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9.4pt" o:ole="" fillcolor="window">
            <v:imagedata r:id="rId16" o:title=""/>
          </v:shape>
          <o:OLEObject Type="Embed" ProgID="Equation.3" ShapeID="_x0000_i1025" DrawAspect="Content" ObjectID="_1475064838" r:id="rId17"/>
        </w:object>
      </w:r>
      <w:r w:rsidR="009D6FBC" w:rsidRPr="00550635">
        <w:t xml:space="preserve"> ορίζουμε την τρέχουσα (</w:t>
      </w:r>
      <w:r w:rsidR="009D6FBC" w:rsidRPr="00550635">
        <w:rPr>
          <w:lang w:val="en-US"/>
        </w:rPr>
        <w:t>spot</w:t>
      </w:r>
      <w:r w:rsidR="009D6FBC" w:rsidRPr="00550635">
        <w:t>) τιμή ενός ξένου νομίσματος σε όρους του εγχώριου νομίσματος (ως εγχώριο νόμισμα λαμβάνουμε το $- από τη πλευρά του Αμ</w:t>
      </w:r>
      <w:r w:rsidR="00E21B55">
        <w:t>ερικανού επενδυτή ή αλλιώς</w:t>
      </w:r>
      <w:r w:rsidR="009D6FBC" w:rsidRPr="00550635">
        <w:t xml:space="preserve"> ισοτιμία </w:t>
      </w:r>
      <w:r w:rsidR="009D6FBC" w:rsidRPr="00550635">
        <w:rPr>
          <w:rFonts w:eastAsia="Calibri"/>
          <w:lang w:eastAsia="en-US"/>
        </w:rPr>
        <w:t>$/€</w:t>
      </w:r>
      <w:r w:rsidR="00535B72">
        <w:t>) και</w:t>
      </w:r>
      <w:r w:rsidR="009D6FBC" w:rsidRPr="00550635">
        <w:t xml:space="preserve"> </w:t>
      </w:r>
      <w:r w:rsidR="009D6FBC" w:rsidRPr="00550635">
        <w:rPr>
          <w:position w:val="-12"/>
          <w:lang w:val="en-GB"/>
        </w:rPr>
        <w:object w:dxaOrig="220" w:dyaOrig="360">
          <v:shape id="_x0000_i1026" type="#_x0000_t75" style="width:11.9pt;height:19.4pt" o:ole="" fillcolor="window">
            <v:imagedata r:id="rId18" o:title=""/>
          </v:shape>
          <o:OLEObject Type="Embed" ProgID="Equation.3" ShapeID="_x0000_i1026" DrawAspect="Content" ObjectID="_1475064839" r:id="rId19"/>
        </w:object>
      </w:r>
      <w:r w:rsidR="00535B72">
        <w:t>,</w:t>
      </w:r>
      <w:r w:rsidR="009D6FBC" w:rsidRPr="00550635">
        <w:t xml:space="preserve"> </w:t>
      </w:r>
      <w:r w:rsidR="009D6FBC" w:rsidRPr="00550635">
        <w:rPr>
          <w:position w:val="-14"/>
          <w:lang w:val="en-GB"/>
        </w:rPr>
        <w:object w:dxaOrig="240" w:dyaOrig="380">
          <v:shape id="_x0000_i1027" type="#_x0000_t75" style="width:15.05pt;height:19.4pt" o:ole="" fillcolor="window">
            <v:imagedata r:id="rId20" o:title=""/>
          </v:shape>
          <o:OLEObject Type="Embed" ProgID="Equation.3" ShapeID="_x0000_i1027" DrawAspect="Content" ObjectID="_1475064840" r:id="rId21"/>
        </w:object>
      </w:r>
      <w:r w:rsidR="009D6FBC" w:rsidRPr="00550635">
        <w:t xml:space="preserve"> είναι το </w:t>
      </w:r>
      <w:r w:rsidR="00441B65" w:rsidRPr="00550635">
        <w:t xml:space="preserve">ετήσιο </w:t>
      </w:r>
      <w:r w:rsidR="009D6FBC" w:rsidRPr="00550635">
        <w:t>επιτόκιο της εγχώριας και της αλλοδαπής οικονομίας αντίστοιχα. Εάν ο επενδυτής επενδύσει σε εγχώρια χρεόγραφα μετά από ένα χρόνο θα λάβει:</w:t>
      </w:r>
    </w:p>
    <w:p w:rsidR="009D6FBC" w:rsidRPr="00550635" w:rsidRDefault="009D6FBC" w:rsidP="004B7BB6">
      <w:pPr>
        <w:spacing w:line="360" w:lineRule="auto"/>
        <w:ind w:firstLine="720"/>
        <w:contextualSpacing/>
        <w:jc w:val="both"/>
      </w:pPr>
      <w:r w:rsidRPr="00550635">
        <w:rPr>
          <w:position w:val="-12"/>
          <w:lang w:val="en-GB"/>
        </w:rPr>
        <w:object w:dxaOrig="2640" w:dyaOrig="360">
          <v:shape id="_x0000_i1028" type="#_x0000_t75" style="width:132.1pt;height:19.4pt" o:ole="" fillcolor="window">
            <v:imagedata r:id="rId22" o:title=""/>
          </v:shape>
          <o:OLEObject Type="Embed" ProgID="Equation.3" ShapeID="_x0000_i1028" DrawAspect="Content" ObjectID="_1475064841" r:id="rId23"/>
        </w:object>
      </w:r>
      <w:r w:rsidRPr="00550635">
        <w:tab/>
        <w:t xml:space="preserve"> </w:t>
      </w:r>
      <w:r w:rsidR="003308DD">
        <w:tab/>
      </w:r>
      <w:r w:rsidR="003308DD">
        <w:tab/>
      </w:r>
      <w:r w:rsidR="003308DD">
        <w:tab/>
      </w:r>
      <w:r w:rsidR="003308DD">
        <w:tab/>
      </w:r>
      <w:r w:rsidR="003308DD">
        <w:tab/>
        <w:t xml:space="preserve">    </w:t>
      </w:r>
      <w:r w:rsidRPr="00550635">
        <w:t>(7.</w:t>
      </w:r>
      <w:r w:rsidR="003308DD">
        <w:t>6</w:t>
      </w:r>
      <w:r w:rsidRPr="00550635">
        <w:t>)</w:t>
      </w:r>
    </w:p>
    <w:p w:rsidR="009D6FBC" w:rsidRPr="00550635" w:rsidRDefault="009D6FBC" w:rsidP="009D6FBC">
      <w:pPr>
        <w:spacing w:line="360" w:lineRule="auto"/>
        <w:contextualSpacing/>
        <w:jc w:val="both"/>
      </w:pPr>
      <w:r w:rsidRPr="00550635">
        <w:t>Ενώ αν αποφασίσει να επενδύσει σε γερμανικά ομόλογα πρώτα θα μετατρέψει τ</w:t>
      </w:r>
      <w:r w:rsidRPr="00550635">
        <w:rPr>
          <w:lang w:val="en-US"/>
        </w:rPr>
        <w:t>o</w:t>
      </w:r>
      <w:r w:rsidRPr="00550635">
        <w:t xml:space="preserve"> </w:t>
      </w:r>
      <w:proofErr w:type="spellStart"/>
      <w:r w:rsidRPr="00550635">
        <w:t>δολάρι</w:t>
      </w:r>
      <w:proofErr w:type="spellEnd"/>
      <w:r w:rsidRPr="00550635">
        <w:rPr>
          <w:lang w:val="en-US"/>
        </w:rPr>
        <w:t>o</w:t>
      </w:r>
      <w:r w:rsidRPr="00550635">
        <w:t xml:space="preserve"> σε (1/</w:t>
      </w:r>
      <w:r w:rsidRPr="00550635">
        <w:rPr>
          <w:lang w:val="en-US"/>
        </w:rPr>
        <w:t>S</w:t>
      </w:r>
      <w:r w:rsidRPr="00550635">
        <w:rPr>
          <w:vertAlign w:val="subscript"/>
          <w:lang w:val="en-US"/>
        </w:rPr>
        <w:t>t</w:t>
      </w:r>
      <w:r w:rsidRPr="00550635">
        <w:t>)  ευρώ, στη συνέχεια θα τα επενδύσει σε γερμα</w:t>
      </w:r>
      <w:r w:rsidR="003E1558">
        <w:t>νικά ομόλογα και στο τέλος του πρώτο</w:t>
      </w:r>
      <w:r w:rsidRPr="00550635">
        <w:t>υ έτους θα μετατρέψει τα ευρώ σε δολάρια</w:t>
      </w:r>
      <w:r w:rsidR="007B6B39" w:rsidRPr="00550635">
        <w:t xml:space="preserve"> στην αναμενόμενη συναλλαγματική ισοτιμία</w:t>
      </w:r>
      <w:r w:rsidR="00441B65" w:rsidRPr="00550635">
        <w:t xml:space="preserve"> </w:t>
      </w:r>
      <w:proofErr w:type="spellStart"/>
      <w:r w:rsidR="00441B65" w:rsidRPr="00550635">
        <w:rPr>
          <w:lang w:val="en-US"/>
        </w:rPr>
        <w:t>E</w:t>
      </w:r>
      <w:r w:rsidR="00441B65" w:rsidRPr="00550635">
        <w:rPr>
          <w:vertAlign w:val="subscript"/>
          <w:lang w:val="en-US"/>
        </w:rPr>
        <w:t>t</w:t>
      </w:r>
      <w:r w:rsidR="00441B65" w:rsidRPr="00550635">
        <w:rPr>
          <w:lang w:val="en-US"/>
        </w:rPr>
        <w:t>S</w:t>
      </w:r>
      <w:r w:rsidR="00441B65" w:rsidRPr="00550635">
        <w:rPr>
          <w:vertAlign w:val="subscript"/>
          <w:lang w:val="en-US"/>
        </w:rPr>
        <w:t>t</w:t>
      </w:r>
      <w:proofErr w:type="spellEnd"/>
      <w:r w:rsidR="00441B65" w:rsidRPr="00550635">
        <w:rPr>
          <w:vertAlign w:val="subscript"/>
        </w:rPr>
        <w:t>+1</w:t>
      </w:r>
      <w:r w:rsidRPr="00550635">
        <w:t>. Δηλαδή, η αξία της επένδυσής του</w:t>
      </w:r>
      <w:r w:rsidR="007B6B39" w:rsidRPr="00550635">
        <w:t xml:space="preserve"> σε $</w:t>
      </w:r>
      <w:r w:rsidR="003E1558">
        <w:t xml:space="preserve"> στο τέλος του πρώτ</w:t>
      </w:r>
      <w:r w:rsidRPr="00550635">
        <w:t xml:space="preserve">ου έτους θα ισούται με: </w:t>
      </w:r>
    </w:p>
    <w:p w:rsidR="009D6FBC" w:rsidRPr="00F65192" w:rsidRDefault="007B6B39" w:rsidP="004B7BB6">
      <w:pPr>
        <w:spacing w:line="360" w:lineRule="auto"/>
        <w:ind w:firstLine="720"/>
        <w:contextualSpacing/>
        <w:jc w:val="both"/>
      </w:pPr>
      <w:r w:rsidRPr="00DB3597">
        <w:rPr>
          <w:position w:val="-30"/>
          <w:lang w:val="en-GB"/>
        </w:rPr>
        <w:object w:dxaOrig="4140" w:dyaOrig="700">
          <v:shape id="_x0000_i1029" type="#_x0000_t75" style="width:205.35pt;height:34.45pt" o:ole="" fillcolor="window">
            <v:imagedata r:id="rId24" o:title=""/>
          </v:shape>
          <o:OLEObject Type="Embed" ProgID="Equation.3" ShapeID="_x0000_i1029" DrawAspect="Content" ObjectID="_1475064842" r:id="rId25"/>
        </w:object>
      </w:r>
      <w:r w:rsidR="009D6FBC">
        <w:t xml:space="preserve"> </w:t>
      </w:r>
      <w:r w:rsidR="003308DD">
        <w:tab/>
      </w:r>
      <w:r w:rsidR="003308DD">
        <w:tab/>
      </w:r>
      <w:r w:rsidR="003308DD">
        <w:tab/>
      </w:r>
      <w:r w:rsidR="003308DD">
        <w:tab/>
        <w:t xml:space="preserve">     </w:t>
      </w:r>
      <w:r w:rsidR="009D6FBC">
        <w:t>(7.</w:t>
      </w:r>
      <w:r w:rsidR="003308DD">
        <w:t>7</w:t>
      </w:r>
      <w:r w:rsidR="009D6FBC">
        <w:t>)</w:t>
      </w:r>
    </w:p>
    <w:p w:rsidR="007B6B39" w:rsidRDefault="007B6B39" w:rsidP="007B6B39">
      <w:pPr>
        <w:spacing w:line="360" w:lineRule="auto"/>
        <w:contextualSpacing/>
        <w:jc w:val="both"/>
      </w:pPr>
      <w:r w:rsidRPr="007B6B39">
        <w:t xml:space="preserve">Ο επενδυτής θα είναι αδιάφορος μεταξύ των δύο επιλογών εάν η αξία της επένδυσής του </w:t>
      </w:r>
      <w:r w:rsidR="00441B65">
        <w:t xml:space="preserve">μετά από ένα χρόνο </w:t>
      </w:r>
      <w:r w:rsidRPr="007B6B39">
        <w:t>είναι ακριβώς η ίδια και στις δύο περιπτώσεις, δηλαδή</w:t>
      </w:r>
      <w:r>
        <w:t xml:space="preserve"> εάν</w:t>
      </w:r>
      <w:r w:rsidRPr="007B6B39">
        <w:t xml:space="preserve">: </w:t>
      </w:r>
    </w:p>
    <w:p w:rsidR="009D6FBC" w:rsidRPr="00F65192" w:rsidRDefault="00EA318F" w:rsidP="004B7BB6">
      <w:pPr>
        <w:spacing w:line="360" w:lineRule="auto"/>
        <w:ind w:left="720"/>
        <w:contextualSpacing/>
        <w:jc w:val="both"/>
      </w:pPr>
      <m:oMath>
        <m:sSub>
          <m:sSubPr>
            <m:ctrlPr>
              <w:rPr>
                <w:rFonts w:ascii="Cambria Math" w:hAnsi="Cambria Math"/>
                <w:i/>
                <w:lang w:val="en-GB"/>
              </w:rPr>
            </m:ctrlPr>
          </m:sSubPr>
          <m:e>
            <m:r>
              <w:rPr>
                <w:rFonts w:ascii="Cambria Math" w:hAnsi="Cambria Math"/>
                <w:lang w:val="en-GB"/>
              </w:rPr>
              <m:t>Π</m:t>
            </m:r>
          </m:e>
          <m:sub>
            <m:r>
              <w:rPr>
                <w:rFonts w:ascii="Cambria Math" w:hAnsi="Cambria Math"/>
                <w:lang w:val="en-GB"/>
              </w:rPr>
              <m:t>d</m:t>
            </m:r>
          </m:sub>
        </m:sSub>
        <m:r>
          <w:rPr>
            <w:rFonts w:ascii="Cambria Math" w:hAnsi="Cambria Math"/>
          </w:rPr>
          <m:t>=</m:t>
        </m:r>
        <m:sSub>
          <m:sSubPr>
            <m:ctrlPr>
              <w:rPr>
                <w:rFonts w:ascii="Cambria Math" w:hAnsi="Cambria Math"/>
                <w:i/>
                <w:lang w:val="en-US"/>
              </w:rPr>
            </m:ctrlPr>
          </m:sSubPr>
          <m:e>
            <m:r>
              <w:rPr>
                <w:rFonts w:ascii="Cambria Math" w:hAnsi="Cambria Math"/>
              </w:rPr>
              <m:t>Π</m:t>
            </m:r>
          </m:e>
          <m:sub>
            <m:r>
              <w:rPr>
                <w:rFonts w:ascii="Cambria Math" w:hAnsi="Cambria Math"/>
                <w:lang w:val="en-US"/>
              </w:rPr>
              <m:t>f</m:t>
            </m:r>
          </m:sub>
        </m:sSub>
        <m:r>
          <m:rPr>
            <m:sty m:val="p"/>
          </m:rPr>
          <w:rPr>
            <w:rFonts w:ascii="Cambria Math" w:hAnsi="Cambria Math"/>
          </w:rPr>
          <m:t xml:space="preserve"> ή</m:t>
        </m:r>
      </m:oMath>
      <w:r w:rsidR="009D6FBC" w:rsidRPr="00C66E22">
        <w:t xml:space="preserve"> </w:t>
      </w:r>
      <w:r w:rsidR="007B6B39" w:rsidRPr="00C66E22">
        <w:rPr>
          <w:position w:val="-30"/>
          <w:lang w:val="en-GB"/>
        </w:rPr>
        <w:object w:dxaOrig="2340" w:dyaOrig="700">
          <v:shape id="_x0000_i1030" type="#_x0000_t75" style="width:117.1pt;height:34.45pt" o:ole="" fillcolor="window">
            <v:imagedata r:id="rId26" o:title=""/>
          </v:shape>
          <o:OLEObject Type="Embed" ProgID="Equation.3" ShapeID="_x0000_i1030" DrawAspect="Content" ObjectID="_1475064843" r:id="rId27"/>
        </w:object>
      </w:r>
      <w:r w:rsidR="009D6FBC" w:rsidRPr="00C66E22">
        <w:t xml:space="preserve"> ή  </w:t>
      </w:r>
      <w:r w:rsidR="007B6B39" w:rsidRPr="00C66E22">
        <w:rPr>
          <w:position w:val="-34"/>
          <w:lang w:val="en-GB"/>
        </w:rPr>
        <w:object w:dxaOrig="1700" w:dyaOrig="740">
          <v:shape id="_x0000_i1031" type="#_x0000_t75" style="width:87.05pt;height:37.55pt" o:ole="" fillcolor="window">
            <v:imagedata r:id="rId28" o:title=""/>
          </v:shape>
          <o:OLEObject Type="Embed" ProgID="Equation.3" ShapeID="_x0000_i1031" DrawAspect="Content" ObjectID="_1475064844" r:id="rId29"/>
        </w:object>
      </w:r>
      <w:r w:rsidR="009D6FBC" w:rsidRPr="00F65192">
        <w:t xml:space="preserve"> </w:t>
      </w:r>
    </w:p>
    <w:p w:rsidR="009D6FBC" w:rsidRPr="00F65192" w:rsidRDefault="009D6FBC" w:rsidP="009D6FBC">
      <w:pPr>
        <w:spacing w:line="360" w:lineRule="auto"/>
        <w:contextualSpacing/>
        <w:jc w:val="both"/>
      </w:pPr>
      <w:r w:rsidRPr="00F65192">
        <w:t>Αφαιρώντας τη μονάδα και από τα δύο μέλη, λαμβάνουμε</w:t>
      </w:r>
    </w:p>
    <w:p w:rsidR="009D6FBC" w:rsidRPr="00F65192" w:rsidRDefault="007B6B39" w:rsidP="003308DD">
      <w:pPr>
        <w:spacing w:line="360" w:lineRule="auto"/>
        <w:contextualSpacing/>
        <w:jc w:val="both"/>
      </w:pPr>
      <w:r w:rsidRPr="00DB3597">
        <w:rPr>
          <w:position w:val="-34"/>
          <w:lang w:val="en-GB"/>
        </w:rPr>
        <w:object w:dxaOrig="2260" w:dyaOrig="760">
          <v:shape id="_x0000_i1032" type="#_x0000_t75" style="width:113.95pt;height:37.55pt" o:ole="" fillcolor="window">
            <v:imagedata r:id="rId30" o:title=""/>
          </v:shape>
          <o:OLEObject Type="Embed" ProgID="Equation.3" ShapeID="_x0000_i1032" DrawAspect="Content" ObjectID="_1475064845" r:id="rId31"/>
        </w:object>
      </w:r>
      <w:r w:rsidR="009D6FBC">
        <w:t xml:space="preserve"> </w:t>
      </w:r>
      <w:r w:rsidR="009D6FBC" w:rsidRPr="00F65192">
        <w:t xml:space="preserve">ή  </w:t>
      </w:r>
      <w:r w:rsidRPr="00DB3597">
        <w:rPr>
          <w:position w:val="-30"/>
          <w:lang w:val="en-GB"/>
        </w:rPr>
        <w:object w:dxaOrig="2200" w:dyaOrig="700">
          <v:shape id="_x0000_i1033" type="#_x0000_t75" style="width:109.55pt;height:34.45pt" o:ole="" fillcolor="window">
            <v:imagedata r:id="rId32" o:title=""/>
          </v:shape>
          <o:OLEObject Type="Embed" ProgID="Equation.3" ShapeID="_x0000_i1033" DrawAspect="Content" ObjectID="_1475064846" r:id="rId33"/>
        </w:object>
      </w:r>
      <w:r w:rsidR="009D6FBC">
        <w:t xml:space="preserve"> δεδομένου ότι </w:t>
      </w:r>
      <w:r w:rsidR="00535B72" w:rsidRPr="00DB3597">
        <w:rPr>
          <w:position w:val="-14"/>
          <w:lang w:val="en-GB"/>
        </w:rPr>
        <w:object w:dxaOrig="1060" w:dyaOrig="380">
          <v:shape id="_x0000_i1034" type="#_x0000_t75" style="width:51.35pt;height:19.4pt" o:ole="" fillcolor="window">
            <v:imagedata r:id="rId34" o:title=""/>
          </v:shape>
          <o:OLEObject Type="Embed" ProgID="Equation.3" ShapeID="_x0000_i1034" DrawAspect="Content" ObjectID="_1475064847" r:id="rId35"/>
        </w:object>
      </w:r>
      <w:r w:rsidR="009D6FBC">
        <w:t xml:space="preserve"> </w:t>
      </w:r>
      <w:r w:rsidR="003308DD">
        <w:t xml:space="preserve">  </w:t>
      </w:r>
      <w:r w:rsidR="009D6FBC" w:rsidRPr="003308DD">
        <w:t>(7</w:t>
      </w:r>
      <w:r w:rsidR="003308DD" w:rsidRPr="003308DD">
        <w:t>.8</w:t>
      </w:r>
      <w:r w:rsidR="009D6FBC" w:rsidRPr="003308DD">
        <w:t>)</w:t>
      </w:r>
    </w:p>
    <w:p w:rsidR="00441B65" w:rsidRPr="00550635" w:rsidRDefault="00D242DD" w:rsidP="00CD0F9F">
      <w:pPr>
        <w:spacing w:line="360" w:lineRule="auto"/>
        <w:ind w:firstLine="720"/>
        <w:contextualSpacing/>
        <w:jc w:val="both"/>
        <w:rPr>
          <w:rFonts w:eastAsia="Calibri"/>
          <w:lang w:eastAsia="en-US"/>
        </w:rPr>
      </w:pPr>
      <w:r w:rsidRPr="00550635">
        <w:rPr>
          <w:rFonts w:eastAsia="Calibri"/>
          <w:lang w:eastAsia="en-US"/>
        </w:rPr>
        <w:t xml:space="preserve">Η σχέση </w:t>
      </w:r>
      <w:r w:rsidR="00441B65" w:rsidRPr="00550635">
        <w:rPr>
          <w:rFonts w:eastAsia="Calibri"/>
          <w:lang w:eastAsia="en-US"/>
        </w:rPr>
        <w:t>(7</w:t>
      </w:r>
      <w:r w:rsidR="003308DD">
        <w:rPr>
          <w:rFonts w:eastAsia="Calibri"/>
          <w:lang w:eastAsia="en-US"/>
        </w:rPr>
        <w:t>.8</w:t>
      </w:r>
      <w:r w:rsidR="00441B65" w:rsidRPr="00550635">
        <w:rPr>
          <w:rFonts w:eastAsia="Calibri"/>
          <w:lang w:eastAsia="en-US"/>
        </w:rPr>
        <w:t>)</w:t>
      </w:r>
      <w:r w:rsidRPr="00550635">
        <w:rPr>
          <w:rFonts w:eastAsia="Calibri"/>
          <w:lang w:eastAsia="en-US"/>
        </w:rPr>
        <w:t xml:space="preserve"> εκφράζει το ΑΑΕ σύμφωνα με το οποίο η </w:t>
      </w:r>
      <w:proofErr w:type="spellStart"/>
      <w:r w:rsidRPr="00550635">
        <w:rPr>
          <w:rFonts w:eastAsia="Calibri"/>
          <w:lang w:eastAsia="en-US"/>
        </w:rPr>
        <w:t>επιτοκιακή</w:t>
      </w:r>
      <w:proofErr w:type="spellEnd"/>
      <w:r w:rsidRPr="00550635">
        <w:rPr>
          <w:rFonts w:eastAsia="Calibri"/>
          <w:lang w:eastAsia="en-US"/>
        </w:rPr>
        <w:t xml:space="preserve"> διαφορά</w:t>
      </w:r>
      <w:r w:rsidR="004B7BB6" w:rsidRPr="00550635">
        <w:rPr>
          <w:rFonts w:eastAsia="Calibri"/>
          <w:lang w:eastAsia="en-US"/>
        </w:rPr>
        <w:t xml:space="preserve"> μεταξύ δύο χωρών</w:t>
      </w:r>
      <w:r w:rsidRPr="00550635">
        <w:rPr>
          <w:rFonts w:eastAsia="Calibri"/>
          <w:lang w:eastAsia="en-US"/>
        </w:rPr>
        <w:t xml:space="preserve"> αντικατοπτρίζει το μέγεθος της αναμενόμενης ποσοστιαίας μεταβολής της συναλλαγματικής ισοτιμίας</w:t>
      </w:r>
      <w:r w:rsidR="004B7BB6" w:rsidRPr="00550635">
        <w:rPr>
          <w:rFonts w:eastAsia="Calibri"/>
          <w:lang w:eastAsia="en-US"/>
        </w:rPr>
        <w:t xml:space="preserve"> τους</w:t>
      </w:r>
      <w:r w:rsidRPr="00550635">
        <w:rPr>
          <w:rFonts w:eastAsia="Calibri"/>
          <w:lang w:eastAsia="en-US"/>
        </w:rPr>
        <w:t xml:space="preserve">. Αν για παράδειγμα </w:t>
      </w:r>
      <w:r w:rsidR="004B7BB6" w:rsidRPr="00550635">
        <w:rPr>
          <w:rFonts w:eastAsia="Calibri"/>
          <w:lang w:val="en-US" w:eastAsia="en-US"/>
        </w:rPr>
        <w:t>i</w:t>
      </w:r>
      <w:r w:rsidR="004B7BB6" w:rsidRPr="00550635">
        <w:rPr>
          <w:rFonts w:eastAsia="Calibri"/>
          <w:vertAlign w:val="subscript"/>
          <w:lang w:val="en-US" w:eastAsia="en-US"/>
        </w:rPr>
        <w:t>d</w:t>
      </w:r>
      <w:r w:rsidRPr="00550635">
        <w:rPr>
          <w:rFonts w:eastAsia="Calibri"/>
          <w:lang w:eastAsia="en-US"/>
        </w:rPr>
        <w:t>=</w:t>
      </w:r>
      <w:r w:rsidR="003E1558">
        <w:rPr>
          <w:rFonts w:eastAsia="Calibri"/>
          <w:lang w:eastAsia="en-US"/>
        </w:rPr>
        <w:t xml:space="preserve">6% και το </w:t>
      </w:r>
      <w:r w:rsidR="004B7BB6" w:rsidRPr="00550635">
        <w:rPr>
          <w:rFonts w:eastAsia="Calibri"/>
          <w:lang w:val="en-US" w:eastAsia="en-US"/>
        </w:rPr>
        <w:t>i</w:t>
      </w:r>
      <w:r w:rsidR="004B7BB6" w:rsidRPr="00550635">
        <w:rPr>
          <w:rFonts w:eastAsia="Calibri"/>
          <w:vertAlign w:val="subscript"/>
          <w:lang w:val="en-US" w:eastAsia="en-US"/>
        </w:rPr>
        <w:t>f</w:t>
      </w:r>
      <w:r w:rsidR="004B7BB6" w:rsidRPr="00550635">
        <w:rPr>
          <w:rFonts w:eastAsia="Calibri"/>
          <w:lang w:eastAsia="en-US"/>
        </w:rPr>
        <w:t>=4</w:t>
      </w:r>
      <w:r w:rsidRPr="00550635">
        <w:rPr>
          <w:rFonts w:eastAsia="Calibri"/>
          <w:lang w:eastAsia="en-US"/>
        </w:rPr>
        <w:t xml:space="preserve">% </w:t>
      </w:r>
      <w:r w:rsidR="004B7BB6" w:rsidRPr="00550635">
        <w:rPr>
          <w:rFonts w:eastAsia="Calibri"/>
          <w:lang w:eastAsia="en-US"/>
        </w:rPr>
        <w:t>τότε</w:t>
      </w:r>
      <w:r w:rsidRPr="00550635">
        <w:rPr>
          <w:rFonts w:eastAsia="Calibri"/>
          <w:lang w:eastAsia="en-US"/>
        </w:rPr>
        <w:t xml:space="preserve"> αναμένεται </w:t>
      </w:r>
      <w:r w:rsidR="004B7BB6" w:rsidRPr="00550635">
        <w:rPr>
          <w:rFonts w:eastAsia="Calibri"/>
          <w:lang w:eastAsia="en-US"/>
        </w:rPr>
        <w:t xml:space="preserve">αύξηση </w:t>
      </w:r>
      <w:r w:rsidRPr="00550635">
        <w:rPr>
          <w:rFonts w:eastAsia="Calibri"/>
          <w:lang w:eastAsia="en-US"/>
        </w:rPr>
        <w:t xml:space="preserve">της συναλλαγματικής ισοτιμίας, δηλαδή ανατίμηση του </w:t>
      </w:r>
      <w:r w:rsidR="00441B65" w:rsidRPr="00550635">
        <w:rPr>
          <w:rFonts w:eastAsia="Calibri"/>
          <w:lang w:eastAsia="en-US"/>
        </w:rPr>
        <w:t xml:space="preserve">ευρώ </w:t>
      </w:r>
      <w:r w:rsidRPr="00550635">
        <w:rPr>
          <w:rFonts w:eastAsia="Calibri"/>
          <w:lang w:eastAsia="en-US"/>
        </w:rPr>
        <w:t xml:space="preserve">έναντι του </w:t>
      </w:r>
      <w:r w:rsidR="00441B65" w:rsidRPr="00550635">
        <w:rPr>
          <w:rFonts w:eastAsia="Calibri"/>
          <w:lang w:eastAsia="en-US"/>
        </w:rPr>
        <w:t>δολαρίου</w:t>
      </w:r>
      <w:r w:rsidR="004B7BB6" w:rsidRPr="00550635">
        <w:rPr>
          <w:rFonts w:eastAsia="Calibri"/>
          <w:lang w:eastAsia="en-US"/>
        </w:rPr>
        <w:t xml:space="preserve"> </w:t>
      </w:r>
      <w:r w:rsidRPr="00550635">
        <w:rPr>
          <w:rFonts w:eastAsia="Calibri"/>
          <w:lang w:eastAsia="en-US"/>
        </w:rPr>
        <w:t>κατά 2</w:t>
      </w:r>
      <w:r w:rsidR="004B7BB6" w:rsidRPr="00550635">
        <w:rPr>
          <w:rFonts w:eastAsia="Calibri"/>
          <w:lang w:eastAsia="en-US"/>
        </w:rPr>
        <w:t>%.</w:t>
      </w:r>
      <w:r w:rsidR="00441B65" w:rsidRPr="00550635">
        <w:rPr>
          <w:rFonts w:eastAsia="Calibri"/>
          <w:lang w:eastAsia="en-US"/>
        </w:rPr>
        <w:t xml:space="preserve"> </w:t>
      </w:r>
    </w:p>
    <w:p w:rsidR="00A82855" w:rsidRPr="00550635" w:rsidRDefault="00441B65" w:rsidP="00A82855">
      <w:pPr>
        <w:spacing w:line="360" w:lineRule="auto"/>
        <w:ind w:firstLine="720"/>
        <w:contextualSpacing/>
        <w:jc w:val="both"/>
        <w:rPr>
          <w:rFonts w:eastAsia="Calibri"/>
          <w:lang w:eastAsia="en-US"/>
        </w:rPr>
      </w:pPr>
      <w:r w:rsidRPr="00550635">
        <w:rPr>
          <w:rFonts w:eastAsia="Calibri"/>
          <w:lang w:eastAsia="en-US"/>
        </w:rPr>
        <w:lastRenderedPageBreak/>
        <w:t xml:space="preserve">Η διαγραμματική απεικόνιση του </w:t>
      </w:r>
      <w:r w:rsidR="00D35D14" w:rsidRPr="00550635">
        <w:rPr>
          <w:rFonts w:eastAsia="Calibri"/>
          <w:lang w:eastAsia="en-US"/>
        </w:rPr>
        <w:t>ΑΑΕ ταυτίζεται με τη γραμμή των 45</w:t>
      </w:r>
      <w:r w:rsidR="00D35D14" w:rsidRPr="00550635">
        <w:rPr>
          <w:rFonts w:eastAsia="Calibri"/>
          <w:vertAlign w:val="superscript"/>
          <w:lang w:eastAsia="en-US"/>
        </w:rPr>
        <w:t>ο</w:t>
      </w:r>
      <w:r w:rsidRPr="00550635">
        <w:rPr>
          <w:rFonts w:eastAsia="Calibri"/>
          <w:lang w:eastAsia="en-US"/>
        </w:rPr>
        <w:t>στο γράφημα</w:t>
      </w:r>
      <w:r w:rsidR="00C20231">
        <w:rPr>
          <w:rFonts w:eastAsia="Calibri"/>
          <w:lang w:eastAsia="en-US"/>
        </w:rPr>
        <w:t xml:space="preserve"> 7.</w:t>
      </w:r>
      <w:r w:rsidR="00AF4096" w:rsidRPr="00AF4096">
        <w:rPr>
          <w:rFonts w:eastAsia="Calibri"/>
          <w:lang w:eastAsia="en-US"/>
        </w:rPr>
        <w:t>6</w:t>
      </w:r>
      <w:r w:rsidRPr="00550635">
        <w:rPr>
          <w:rFonts w:eastAsia="Calibri"/>
          <w:lang w:eastAsia="en-US"/>
        </w:rPr>
        <w:t xml:space="preserve">. </w:t>
      </w:r>
      <w:r w:rsidR="00D35D14" w:rsidRPr="00550635">
        <w:rPr>
          <w:rFonts w:eastAsia="Calibri"/>
          <w:lang w:eastAsia="en-US"/>
        </w:rPr>
        <w:t xml:space="preserve">Στα σημεία που βρίσκονται προς τα δεξιά και κάτω της γραμμής ΑΑΕ ο επενδυτής έχει κίνητρο να επενδύσει σε εγχώρια ομόλογα (άσκηση εσωτερικού ΑΑΕ), ενώ στα σημεία που βρίσκονται προς τα αριστερά και πάνω της γραμμής ΑΑΕ ο επενδυτής έχει κίνητρο να επενδύσει σε ξένα ομόλογα (άσκηση εξωτερικού ΑΑΕ). </w:t>
      </w:r>
    </w:p>
    <w:p w:rsidR="00A82855" w:rsidRDefault="00A82855" w:rsidP="00A82855">
      <w:pPr>
        <w:spacing w:line="360" w:lineRule="auto"/>
        <w:ind w:firstLine="720"/>
        <w:contextualSpacing/>
        <w:jc w:val="both"/>
        <w:rPr>
          <w:rFonts w:eastAsia="Calibri"/>
          <w:sz w:val="22"/>
          <w:szCs w:val="22"/>
          <w:lang w:eastAsia="en-US"/>
        </w:rPr>
      </w:pPr>
    </w:p>
    <w:p w:rsidR="00A82855" w:rsidRPr="00550635" w:rsidRDefault="00A82855" w:rsidP="00CD0F9F">
      <w:pPr>
        <w:ind w:firstLine="720"/>
        <w:contextualSpacing/>
        <w:jc w:val="center"/>
        <w:rPr>
          <w:rFonts w:eastAsia="Calibri"/>
          <w:lang w:eastAsia="en-US"/>
        </w:rPr>
      </w:pPr>
      <w:r w:rsidRPr="00550635">
        <w:rPr>
          <w:rFonts w:eastAsia="Calibri"/>
          <w:b/>
          <w:lang w:eastAsia="en-US"/>
        </w:rPr>
        <w:t xml:space="preserve">Γράφημα </w:t>
      </w:r>
      <w:r w:rsidR="00AF4096">
        <w:rPr>
          <w:rFonts w:eastAsia="Calibri"/>
          <w:b/>
          <w:lang w:eastAsia="en-US"/>
        </w:rPr>
        <w:t>7.</w:t>
      </w:r>
      <w:r w:rsidR="00AF4096" w:rsidRPr="00AF4096">
        <w:rPr>
          <w:rFonts w:eastAsia="Calibri"/>
          <w:b/>
          <w:lang w:eastAsia="en-US"/>
        </w:rPr>
        <w:t>6</w:t>
      </w:r>
      <w:r w:rsidR="00C20231">
        <w:rPr>
          <w:rFonts w:eastAsia="Calibri"/>
          <w:b/>
          <w:lang w:eastAsia="en-US"/>
        </w:rPr>
        <w:t xml:space="preserve"> </w:t>
      </w:r>
      <w:r w:rsidRPr="00550635">
        <w:rPr>
          <w:rFonts w:eastAsia="Calibri"/>
          <w:lang w:eastAsia="en-US"/>
        </w:rPr>
        <w:t>Ακάλυπτο αρμπιτράζ επιτοκίων (ΑΑΕ)</w:t>
      </w:r>
    </w:p>
    <w:p w:rsidR="00441B65" w:rsidRPr="00550635" w:rsidRDefault="00A82855" w:rsidP="00CD0F9F">
      <w:pPr>
        <w:spacing w:line="360" w:lineRule="auto"/>
        <w:ind w:firstLine="720"/>
        <w:contextualSpacing/>
        <w:jc w:val="center"/>
        <w:rPr>
          <w:rFonts w:eastAsia="Calibri"/>
          <w:lang w:eastAsia="en-US"/>
        </w:rPr>
      </w:pPr>
      <w:r w:rsidRPr="00550635">
        <w:rPr>
          <w:rFonts w:eastAsia="Calibri"/>
          <w:noProof/>
        </w:rPr>
        <w:drawing>
          <wp:inline distT="0" distB="0" distL="0" distR="0">
            <wp:extent cx="2971287" cy="1930400"/>
            <wp:effectExtent l="19050" t="19050" r="19685" b="12700"/>
            <wp:docPr id="47116" name="Εικόνα 4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x_2.jpg"/>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798" r="54644" b="43106"/>
                    <a:stretch/>
                  </pic:blipFill>
                  <pic:spPr bwMode="auto">
                    <a:xfrm>
                      <a:off x="0" y="0"/>
                      <a:ext cx="2970195" cy="1929690"/>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1B65" w:rsidRPr="00550635" w:rsidRDefault="00441B65" w:rsidP="00441B65">
      <w:pPr>
        <w:spacing w:line="360" w:lineRule="auto"/>
        <w:ind w:firstLine="720"/>
        <w:contextualSpacing/>
        <w:jc w:val="both"/>
        <w:rPr>
          <w:rFonts w:eastAsia="Calibri"/>
          <w:lang w:eastAsia="en-US"/>
        </w:rPr>
      </w:pPr>
    </w:p>
    <w:p w:rsidR="00D35D14" w:rsidRPr="00550635" w:rsidRDefault="007929FB" w:rsidP="0067614A">
      <w:pPr>
        <w:spacing w:line="360" w:lineRule="auto"/>
        <w:ind w:firstLine="720"/>
        <w:contextualSpacing/>
        <w:jc w:val="both"/>
        <w:rPr>
          <w:rFonts w:eastAsia="Calibri"/>
          <w:lang w:eastAsia="en-US"/>
        </w:rPr>
      </w:pPr>
      <w:r w:rsidRPr="00550635">
        <w:rPr>
          <w:rFonts w:eastAsia="Calibri"/>
          <w:iCs/>
          <w:lang w:eastAsia="en-US"/>
        </w:rPr>
        <w:t>Πιο συγκεκριμένα</w:t>
      </w:r>
      <w:r w:rsidR="00CD0F9F">
        <w:rPr>
          <w:rFonts w:eastAsia="Calibri"/>
          <w:iCs/>
          <w:lang w:eastAsia="en-US"/>
        </w:rPr>
        <w:t xml:space="preserve"> αν υποθέσουμε</w:t>
      </w:r>
      <w:r w:rsidRPr="00550635">
        <w:rPr>
          <w:rFonts w:eastAsia="Calibri"/>
          <w:iCs/>
          <w:lang w:eastAsia="en-US"/>
        </w:rPr>
        <w:t xml:space="preserve"> στο προηγούμενο αριθμητικό παράδειγμα ό</w:t>
      </w:r>
      <w:r w:rsidRPr="00550635">
        <w:rPr>
          <w:rFonts w:eastAsia="Calibri"/>
          <w:lang w:eastAsia="en-US"/>
        </w:rPr>
        <w:t xml:space="preserve">που </w:t>
      </w:r>
      <w:r w:rsidRPr="00550635">
        <w:rPr>
          <w:rFonts w:eastAsia="Calibri"/>
          <w:lang w:val="en-US" w:eastAsia="en-US"/>
        </w:rPr>
        <w:t>i</w:t>
      </w:r>
      <w:r w:rsidRPr="00550635">
        <w:rPr>
          <w:rFonts w:eastAsia="Calibri"/>
          <w:vertAlign w:val="subscript"/>
          <w:lang w:val="en-US" w:eastAsia="en-US"/>
        </w:rPr>
        <w:t>d</w:t>
      </w:r>
      <w:r w:rsidRPr="00550635">
        <w:rPr>
          <w:rFonts w:eastAsia="Calibri"/>
          <w:lang w:eastAsia="en-US"/>
        </w:rPr>
        <w:t xml:space="preserve">=6% και το </w:t>
      </w:r>
      <w:r w:rsidRPr="00550635">
        <w:rPr>
          <w:rFonts w:eastAsia="Calibri"/>
          <w:lang w:val="en-US" w:eastAsia="en-US"/>
        </w:rPr>
        <w:t>i</w:t>
      </w:r>
      <w:r w:rsidRPr="00550635">
        <w:rPr>
          <w:rFonts w:eastAsia="Calibri"/>
          <w:vertAlign w:val="subscript"/>
          <w:lang w:val="en-US" w:eastAsia="en-US"/>
        </w:rPr>
        <w:t>f</w:t>
      </w:r>
      <w:r w:rsidRPr="00550635">
        <w:rPr>
          <w:rFonts w:eastAsia="Calibri"/>
          <w:lang w:eastAsia="en-US"/>
        </w:rPr>
        <w:t>=4%</w:t>
      </w:r>
      <w:r w:rsidR="00CD0F9F">
        <w:rPr>
          <w:rFonts w:eastAsia="Calibri"/>
          <w:lang w:eastAsia="en-US"/>
        </w:rPr>
        <w:t>, ότι</w:t>
      </w:r>
      <w:r w:rsidRPr="00550635">
        <w:rPr>
          <w:rFonts w:eastAsia="Calibri"/>
          <w:lang w:eastAsia="en-US"/>
        </w:rPr>
        <w:t xml:space="preserve"> </w:t>
      </w:r>
      <w:r w:rsidR="00D35D14" w:rsidRPr="00550635">
        <w:rPr>
          <w:rFonts w:eastAsia="Calibri"/>
          <w:lang w:eastAsia="en-US"/>
        </w:rPr>
        <w:t>η αναμενόμενη μεταβολή της συναλλ</w:t>
      </w:r>
      <w:r w:rsidRPr="00550635">
        <w:rPr>
          <w:rFonts w:eastAsia="Calibri"/>
          <w:lang w:eastAsia="en-US"/>
        </w:rPr>
        <w:t>αγματικής ισοτιμίας ισούται με +1</w:t>
      </w:r>
      <w:r w:rsidR="00D35D14" w:rsidRPr="00550635">
        <w:rPr>
          <w:rFonts w:eastAsia="Calibri"/>
          <w:lang w:eastAsia="en-US"/>
        </w:rPr>
        <w:t>%. Είναι φα</w:t>
      </w:r>
      <w:r w:rsidRPr="00550635">
        <w:rPr>
          <w:rFonts w:eastAsia="Calibri"/>
          <w:lang w:eastAsia="en-US"/>
        </w:rPr>
        <w:t>νερό ότι στην περίπτωση αυτή δεν</w:t>
      </w:r>
      <w:r w:rsidR="00D35D14" w:rsidRPr="00550635">
        <w:rPr>
          <w:rFonts w:eastAsia="Calibri"/>
          <w:lang w:eastAsia="en-US"/>
        </w:rPr>
        <w:t xml:space="preserve"> ισχύει η ΑΑΕ</w:t>
      </w:r>
      <w:r w:rsidRPr="00550635">
        <w:rPr>
          <w:rFonts w:eastAsia="Calibri"/>
          <w:lang w:eastAsia="en-US"/>
        </w:rPr>
        <w:t xml:space="preserve"> και βρισκόμαστε πάνω και δεξιά</w:t>
      </w:r>
      <w:r w:rsidR="00D35D14" w:rsidRPr="00550635">
        <w:rPr>
          <w:rFonts w:eastAsia="Calibri"/>
          <w:lang w:eastAsia="en-US"/>
        </w:rPr>
        <w:t xml:space="preserve"> της γραμμής ΑΑΕ.</w:t>
      </w:r>
      <w:r w:rsidRPr="00550635">
        <w:rPr>
          <w:rFonts w:eastAsia="Calibri"/>
          <w:lang w:eastAsia="en-US"/>
        </w:rPr>
        <w:t xml:space="preserve"> </w:t>
      </w:r>
      <w:r w:rsidR="00D35D14" w:rsidRPr="00550635">
        <w:rPr>
          <w:rFonts w:eastAsia="Calibri"/>
          <w:lang w:eastAsia="en-US"/>
        </w:rPr>
        <w:t xml:space="preserve">Στην περίπτωση αυτή ο επενδυτής έχει κίνητρο να ασκήσει εσωτερικό ΑΑΕ, δηλαδή να επενδύσει σε εγχώρια ομόλογα. Μια τέτοια επένδυση θα του αποφέρει </w:t>
      </w:r>
      <w:r w:rsidRPr="00550635">
        <w:rPr>
          <w:rFonts w:eastAsia="Calibri"/>
          <w:lang w:eastAsia="en-US"/>
        </w:rPr>
        <w:t>κέρδος</w:t>
      </w:r>
      <w:r w:rsidR="00D35D14" w:rsidRPr="00550635">
        <w:rPr>
          <w:rFonts w:eastAsia="Calibri"/>
          <w:lang w:eastAsia="en-US"/>
        </w:rPr>
        <w:t xml:space="preserve"> 2% λόγω της </w:t>
      </w:r>
      <w:proofErr w:type="spellStart"/>
      <w:r w:rsidR="00D35D14" w:rsidRPr="00550635">
        <w:rPr>
          <w:rFonts w:eastAsia="Calibri"/>
          <w:lang w:eastAsia="en-US"/>
        </w:rPr>
        <w:t>επιτοκιακής</w:t>
      </w:r>
      <w:proofErr w:type="spellEnd"/>
      <w:r w:rsidR="00D35D14" w:rsidRPr="00550635">
        <w:rPr>
          <w:rFonts w:eastAsia="Calibri"/>
          <w:lang w:eastAsia="en-US"/>
        </w:rPr>
        <w:t xml:space="preserve"> διαφοράς, αλλά ταυτόχρονα θα του αποφέρει και</w:t>
      </w:r>
      <w:r w:rsidRPr="00550635">
        <w:rPr>
          <w:rFonts w:eastAsia="Calibri"/>
          <w:lang w:eastAsia="en-US"/>
        </w:rPr>
        <w:t xml:space="preserve"> μια ζημία </w:t>
      </w:r>
      <w:r w:rsidR="00D35D14" w:rsidRPr="00550635">
        <w:rPr>
          <w:rFonts w:eastAsia="Calibri"/>
          <w:lang w:eastAsia="en-US"/>
        </w:rPr>
        <w:t xml:space="preserve">της τάξης του </w:t>
      </w:r>
      <w:r w:rsidRPr="00550635">
        <w:rPr>
          <w:rFonts w:eastAsia="Calibri"/>
          <w:lang w:eastAsia="en-US"/>
        </w:rPr>
        <w:t>1</w:t>
      </w:r>
      <w:r w:rsidR="00D35D14" w:rsidRPr="00550635">
        <w:rPr>
          <w:rFonts w:eastAsia="Calibri"/>
          <w:lang w:eastAsia="en-US"/>
        </w:rPr>
        <w:t>% λόγω της αναμενόμενης ανατίμησης του ευρώ έναντι του δολαρίου. Με άλλα λόγια, η καθαρή απόδοση</w:t>
      </w:r>
      <w:r w:rsidRPr="00550635">
        <w:rPr>
          <w:rFonts w:eastAsia="Calibri"/>
          <w:lang w:eastAsia="en-US"/>
        </w:rPr>
        <w:t xml:space="preserve"> της επένδυσης θα είναι ίση με +</w:t>
      </w:r>
      <w:r w:rsidR="00D35D14" w:rsidRPr="00550635">
        <w:rPr>
          <w:rFonts w:eastAsia="Calibri"/>
          <w:lang w:eastAsia="en-US"/>
        </w:rPr>
        <w:t>2</w:t>
      </w:r>
      <w:r w:rsidRPr="00550635">
        <w:rPr>
          <w:rFonts w:eastAsia="Calibri"/>
          <w:lang w:eastAsia="en-US"/>
        </w:rPr>
        <w:t>%-1% = +</w:t>
      </w:r>
      <w:r w:rsidR="00D35D14" w:rsidRPr="00550635">
        <w:rPr>
          <w:rFonts w:eastAsia="Calibri"/>
          <w:bCs/>
          <w:lang w:eastAsia="en-US"/>
        </w:rPr>
        <w:t>1%</w:t>
      </w:r>
      <w:r w:rsidR="00D35D14" w:rsidRPr="00550635">
        <w:rPr>
          <w:rFonts w:eastAsia="Calibri"/>
          <w:lang w:eastAsia="en-US"/>
        </w:rPr>
        <w:t xml:space="preserve">. Η αγορά </w:t>
      </w:r>
      <w:r w:rsidR="0067614A" w:rsidRPr="00550635">
        <w:rPr>
          <w:rFonts w:eastAsia="Calibri"/>
          <w:lang w:eastAsia="en-US"/>
        </w:rPr>
        <w:t xml:space="preserve">δολαρίων έναντι </w:t>
      </w:r>
      <w:r w:rsidR="00D35D14" w:rsidRPr="00550635">
        <w:rPr>
          <w:rFonts w:eastAsia="Calibri"/>
          <w:lang w:eastAsia="en-US"/>
        </w:rPr>
        <w:t xml:space="preserve">ευρώ στην αγορά όψεως θα προκαλέσει την ανατίμηση του </w:t>
      </w:r>
      <w:r w:rsidR="0067614A" w:rsidRPr="00550635">
        <w:rPr>
          <w:rFonts w:eastAsia="Calibri"/>
          <w:lang w:eastAsia="en-US"/>
        </w:rPr>
        <w:t>δολαρίου</w:t>
      </w:r>
      <w:r w:rsidR="00D35D14" w:rsidRPr="00550635">
        <w:rPr>
          <w:rFonts w:eastAsia="Calibri"/>
          <w:lang w:eastAsia="en-US"/>
        </w:rPr>
        <w:t xml:space="preserve">, την πτώση των εγχώριων επιτοκίων (λόγω αυξημένης εισροής κεφαλαίων) και την άνοδο των ξένων επιτοκίων (λόγω αυξημένης εκροής κεφαλαίων). Οι παραπάνω κινήσεις θα συνεχιστούν έως ότου οι αποδόσεις μεταξύ των δύο εναλλακτικών επενδυτικών επιλογών εξισωθούν και επιστρέψουμε σε κάποιο σημείο επί της ΑΑΕ. </w:t>
      </w:r>
    </w:p>
    <w:p w:rsidR="003E1558" w:rsidRDefault="0067614A" w:rsidP="003E1558">
      <w:pPr>
        <w:spacing w:line="360" w:lineRule="auto"/>
        <w:ind w:firstLine="720"/>
        <w:contextualSpacing/>
        <w:jc w:val="both"/>
        <w:rPr>
          <w:rFonts w:eastAsia="Calibri"/>
          <w:lang w:eastAsia="en-US"/>
        </w:rPr>
      </w:pPr>
      <w:r w:rsidRPr="00550635">
        <w:rPr>
          <w:rFonts w:eastAsia="Calibri"/>
          <w:bCs/>
          <w:lang w:eastAsia="en-US"/>
        </w:rPr>
        <w:t>Θα πρέπει να κάνουμε δυο σημαντικές παρατηρήσεις πριν ολοκληρώσουμε την παρουσίαση του ΑΑΕ. Πρώτον, λαμβάνοντας υπόψη σοβαρά την έννοια του κινδύνου θ</w:t>
      </w:r>
      <w:r w:rsidR="00D35D14" w:rsidRPr="00550635">
        <w:rPr>
          <w:rFonts w:eastAsia="Calibri"/>
          <w:lang w:eastAsia="en-US"/>
        </w:rPr>
        <w:t>α πρέπει να τονίσουμε ότ</w:t>
      </w:r>
      <w:r w:rsidRPr="00550635">
        <w:rPr>
          <w:rFonts w:eastAsia="Calibri"/>
          <w:lang w:eastAsia="en-US"/>
        </w:rPr>
        <w:t>ι όταν εξασκούμε ΑΑΕ παίρνουμε «ανοιχτή»</w:t>
      </w:r>
      <w:r w:rsidR="00D35D14" w:rsidRPr="00550635">
        <w:rPr>
          <w:rFonts w:eastAsia="Calibri"/>
          <w:lang w:eastAsia="en-US"/>
        </w:rPr>
        <w:t xml:space="preserve"> </w:t>
      </w:r>
      <w:r w:rsidR="00D35D14" w:rsidRPr="00550635">
        <w:rPr>
          <w:rFonts w:eastAsia="Calibri"/>
          <w:lang w:eastAsia="en-US"/>
        </w:rPr>
        <w:lastRenderedPageBreak/>
        <w:t xml:space="preserve">θέση στην αγορά συναλλάγματος, </w:t>
      </w:r>
      <w:r w:rsidRPr="00550635">
        <w:rPr>
          <w:rFonts w:eastAsia="Calibri"/>
          <w:lang w:eastAsia="en-US"/>
        </w:rPr>
        <w:t>και υπάρχει πιθανότητα</w:t>
      </w:r>
      <w:r w:rsidR="00D35D14" w:rsidRPr="00550635">
        <w:rPr>
          <w:rFonts w:eastAsia="Calibri"/>
          <w:lang w:eastAsia="en-US"/>
        </w:rPr>
        <w:t xml:space="preserve"> να μην επαληθευτούν οι προσδοκίες, με αποτέλεσμα το προσδοκώμενο κέρδος μας </w:t>
      </w:r>
      <w:r w:rsidR="003E1558">
        <w:rPr>
          <w:rFonts w:eastAsia="Calibri"/>
          <w:lang w:eastAsia="en-US"/>
        </w:rPr>
        <w:t>να γίνει ζημία</w:t>
      </w:r>
      <w:r w:rsidRPr="00550635">
        <w:rPr>
          <w:rFonts w:eastAsia="Calibri"/>
          <w:lang w:eastAsia="en-US"/>
        </w:rPr>
        <w:t xml:space="preserve">. </w:t>
      </w:r>
    </w:p>
    <w:p w:rsidR="00D35D14" w:rsidRPr="00550635" w:rsidRDefault="0067614A" w:rsidP="003E1558">
      <w:pPr>
        <w:spacing w:line="360" w:lineRule="auto"/>
        <w:ind w:firstLine="720"/>
        <w:contextualSpacing/>
        <w:jc w:val="both"/>
        <w:rPr>
          <w:rFonts w:eastAsia="Calibri"/>
          <w:lang w:eastAsia="en-US"/>
        </w:rPr>
      </w:pPr>
      <w:r w:rsidRPr="00550635">
        <w:rPr>
          <w:rFonts w:eastAsia="Calibri"/>
          <w:lang w:eastAsia="en-US"/>
        </w:rPr>
        <w:t>Δεύτερον, ο</w:t>
      </w:r>
      <w:r w:rsidR="00D35D14" w:rsidRPr="00550635">
        <w:rPr>
          <w:rFonts w:eastAsia="Calibri"/>
          <w:lang w:eastAsia="en-US"/>
        </w:rPr>
        <w:t xml:space="preserve">ι εμπειρικές μελέτες έχουν δείξει ότι το ΑΑΕ </w:t>
      </w:r>
      <w:r w:rsidR="00D35D14" w:rsidRPr="00550635">
        <w:rPr>
          <w:rFonts w:eastAsia="Calibri"/>
          <w:bCs/>
          <w:lang w:eastAsia="en-US"/>
        </w:rPr>
        <w:t xml:space="preserve">δεν </w:t>
      </w:r>
      <w:r w:rsidR="00D35D14" w:rsidRPr="00550635">
        <w:rPr>
          <w:rFonts w:eastAsia="Calibri"/>
          <w:lang w:eastAsia="en-US"/>
        </w:rPr>
        <w:t>ισχύει στην πράξη γεγονός που υποδηλώνει ότι οι επενδυτές στην πράξη αποστρέφονται το συναλλ</w:t>
      </w:r>
      <w:r w:rsidRPr="00550635">
        <w:rPr>
          <w:rFonts w:eastAsia="Calibri"/>
          <w:lang w:eastAsia="en-US"/>
        </w:rPr>
        <w:t>αγματικό κίνδυνο</w:t>
      </w:r>
      <w:r w:rsidR="003E1558">
        <w:rPr>
          <w:rFonts w:eastAsia="Calibri"/>
          <w:lang w:eastAsia="en-US"/>
        </w:rPr>
        <w:t>. Όπως λέμε στην διεθνή ορολογία</w:t>
      </w:r>
      <w:r w:rsidRPr="00550635">
        <w:rPr>
          <w:rFonts w:eastAsia="Calibri"/>
          <w:lang w:eastAsia="en-US"/>
        </w:rPr>
        <w:t xml:space="preserve"> χαρακτηρίζονται ως «</w:t>
      </w:r>
      <w:proofErr w:type="spellStart"/>
      <w:r w:rsidR="00D35D14" w:rsidRPr="00550635">
        <w:rPr>
          <w:rFonts w:eastAsia="Calibri"/>
          <w:bCs/>
          <w:lang w:eastAsia="en-US"/>
        </w:rPr>
        <w:t>risk</w:t>
      </w:r>
      <w:proofErr w:type="spellEnd"/>
      <w:r w:rsidR="00D35D14" w:rsidRPr="00550635">
        <w:rPr>
          <w:rFonts w:eastAsia="Calibri"/>
          <w:bCs/>
          <w:lang w:eastAsia="en-US"/>
        </w:rPr>
        <w:t xml:space="preserve"> </w:t>
      </w:r>
      <w:proofErr w:type="spellStart"/>
      <w:r w:rsidR="00D35D14" w:rsidRPr="00550635">
        <w:rPr>
          <w:rFonts w:eastAsia="Calibri"/>
          <w:bCs/>
          <w:lang w:eastAsia="en-US"/>
        </w:rPr>
        <w:t>averse</w:t>
      </w:r>
      <w:proofErr w:type="spellEnd"/>
      <w:r w:rsidR="003E1558">
        <w:rPr>
          <w:rFonts w:eastAsia="Calibri"/>
          <w:bCs/>
          <w:lang w:eastAsia="en-US"/>
        </w:rPr>
        <w:t>» επενδυτές</w:t>
      </w:r>
      <w:r w:rsidRPr="00550635">
        <w:rPr>
          <w:rFonts w:eastAsia="Calibri"/>
          <w:bCs/>
          <w:lang w:eastAsia="en-US"/>
        </w:rPr>
        <w:t>.</w:t>
      </w:r>
      <w:r w:rsidR="00D35D14" w:rsidRPr="00550635">
        <w:rPr>
          <w:rFonts w:eastAsia="Calibri"/>
          <w:lang w:eastAsia="en-US"/>
        </w:rPr>
        <w:t xml:space="preserve"> </w:t>
      </w:r>
      <w:r w:rsidRPr="00550635">
        <w:rPr>
          <w:rFonts w:eastAsia="Calibri"/>
          <w:lang w:eastAsia="en-US"/>
        </w:rPr>
        <w:t>Έτσι καταλήγουμε στην λεγόμενη ε</w:t>
      </w:r>
      <w:r w:rsidR="00D35D14" w:rsidRPr="00550635">
        <w:rPr>
          <w:rFonts w:eastAsia="Calibri"/>
          <w:lang w:eastAsia="en-US"/>
        </w:rPr>
        <w:t xml:space="preserve">παυξημένη εκδοχή του ΑΑΕ </w:t>
      </w:r>
      <w:r w:rsidRPr="00550635">
        <w:rPr>
          <w:rFonts w:eastAsia="Calibri"/>
          <w:lang w:eastAsia="en-US"/>
        </w:rPr>
        <w:t xml:space="preserve">που </w:t>
      </w:r>
      <w:r w:rsidR="00D35D14" w:rsidRPr="00550635">
        <w:rPr>
          <w:rFonts w:eastAsia="Calibri"/>
          <w:lang w:eastAsia="en-US"/>
        </w:rPr>
        <w:t xml:space="preserve">υποστηρίζει ότι η </w:t>
      </w:r>
      <w:proofErr w:type="spellStart"/>
      <w:r w:rsidR="00D35D14" w:rsidRPr="00550635">
        <w:rPr>
          <w:rFonts w:eastAsia="Calibri"/>
          <w:lang w:eastAsia="en-US"/>
        </w:rPr>
        <w:t>επιτοκιακή</w:t>
      </w:r>
      <w:proofErr w:type="spellEnd"/>
      <w:r w:rsidR="00D35D14" w:rsidRPr="00550635">
        <w:rPr>
          <w:rFonts w:eastAsia="Calibri"/>
          <w:lang w:eastAsia="en-US"/>
        </w:rPr>
        <w:t xml:space="preserve"> διαφορά αντικατοπτρίζει αφενός την προσδοκώμενη μεταβολή στη συναλλαγματική ισοτιμία όψεως και αφετ</w:t>
      </w:r>
      <w:r w:rsidRPr="00550635">
        <w:rPr>
          <w:rFonts w:eastAsia="Calibri"/>
          <w:lang w:eastAsia="en-US"/>
        </w:rPr>
        <w:t>έρου ένα ασφάλιστρο κινδύνου</w:t>
      </w:r>
      <w:r w:rsidR="002A2199" w:rsidRPr="00550635">
        <w:rPr>
          <w:rFonts w:eastAsia="Calibri"/>
          <w:lang w:eastAsia="en-US"/>
        </w:rPr>
        <w:t xml:space="preserve"> </w:t>
      </w:r>
      <w:r w:rsidR="002A2199" w:rsidRPr="00550635">
        <w:rPr>
          <w:rFonts w:eastAsia="Calibri"/>
          <w:i/>
          <w:lang w:eastAsia="en-US"/>
        </w:rPr>
        <w:t>θ.</w:t>
      </w:r>
      <w:r w:rsidRPr="00550635">
        <w:rPr>
          <w:rFonts w:eastAsia="Calibri"/>
          <w:lang w:eastAsia="en-US"/>
        </w:rPr>
        <w:t xml:space="preserve"> </w:t>
      </w:r>
      <w:r w:rsidR="00D35D14" w:rsidRPr="00550635">
        <w:rPr>
          <w:rFonts w:eastAsia="Calibri"/>
          <w:lang w:eastAsia="en-US"/>
        </w:rPr>
        <w:t xml:space="preserve"> </w:t>
      </w:r>
    </w:p>
    <w:p w:rsidR="00D35D14" w:rsidRPr="00550635" w:rsidRDefault="002A2199" w:rsidP="003E1558">
      <w:pPr>
        <w:spacing w:line="360" w:lineRule="auto"/>
        <w:ind w:left="720" w:firstLine="720"/>
        <w:contextualSpacing/>
        <w:jc w:val="both"/>
        <w:rPr>
          <w:rFonts w:eastAsia="Calibri"/>
          <w:lang w:eastAsia="en-US"/>
        </w:rPr>
      </w:pPr>
      <w:r w:rsidRPr="00550635">
        <w:rPr>
          <w:position w:val="-30"/>
          <w:lang w:val="en-GB"/>
        </w:rPr>
        <w:object w:dxaOrig="2460" w:dyaOrig="680">
          <v:shape id="_x0000_i1035" type="#_x0000_t75" style="width:121.45pt;height:34.45pt" o:ole="" fillcolor="window">
            <v:imagedata r:id="rId37" o:title=""/>
          </v:shape>
          <o:OLEObject Type="Embed" ProgID="Equation.3" ShapeID="_x0000_i1035" DrawAspect="Content" ObjectID="_1475064848" r:id="rId38"/>
        </w:object>
      </w:r>
    </w:p>
    <w:p w:rsidR="00D35D14" w:rsidRPr="00FF755B" w:rsidRDefault="00305440" w:rsidP="00FF755B">
      <w:pPr>
        <w:spacing w:line="360" w:lineRule="auto"/>
        <w:ind w:firstLine="720"/>
        <w:contextualSpacing/>
        <w:jc w:val="both"/>
        <w:rPr>
          <w:rFonts w:eastAsia="Calibri"/>
          <w:lang w:eastAsia="en-US"/>
        </w:rPr>
      </w:pPr>
      <w:r>
        <w:rPr>
          <w:rFonts w:eastAsia="Calibri"/>
          <w:lang w:eastAsia="en-US"/>
        </w:rPr>
        <w:t xml:space="preserve">Πολλές φορές στην βιβλιογραφία οι μεγάλες </w:t>
      </w:r>
      <w:proofErr w:type="spellStart"/>
      <w:r>
        <w:rPr>
          <w:rFonts w:eastAsia="Calibri"/>
          <w:lang w:eastAsia="en-US"/>
        </w:rPr>
        <w:t>επιτοκιακές</w:t>
      </w:r>
      <w:proofErr w:type="spellEnd"/>
      <w:r>
        <w:rPr>
          <w:rFonts w:eastAsia="Calibri"/>
          <w:lang w:eastAsia="en-US"/>
        </w:rPr>
        <w:t xml:space="preserve"> διαφορές έχουν αποδοθεί στο</w:t>
      </w:r>
      <w:r w:rsidR="00D35D14" w:rsidRPr="00550635">
        <w:rPr>
          <w:rFonts w:eastAsia="Calibri"/>
          <w:lang w:eastAsia="en-US"/>
        </w:rPr>
        <w:t xml:space="preserve"> ασφάλιστρο κινδύνου</w:t>
      </w:r>
      <w:r>
        <w:rPr>
          <w:rFonts w:eastAsia="Calibri"/>
          <w:lang w:eastAsia="en-US"/>
        </w:rPr>
        <w:t xml:space="preserve"> προκειμένου να αντισταθμίσει απότομες συναλλαγματικές μεταβολές.</w:t>
      </w:r>
      <w:r w:rsidR="00055855">
        <w:rPr>
          <w:rFonts w:eastAsia="Calibri"/>
          <w:lang w:eastAsia="en-US"/>
        </w:rPr>
        <w:t xml:space="preserve"> Όμως πριν κλείσουμε την συζήτηση για το ΑΑΕ, θα πρέπει να συστήσουμε στον αναγνώστη να </w:t>
      </w:r>
      <w:proofErr w:type="spellStart"/>
      <w:r w:rsidR="00055855">
        <w:rPr>
          <w:rFonts w:eastAsia="Calibri"/>
          <w:lang w:eastAsia="en-US"/>
        </w:rPr>
        <w:t>δεί</w:t>
      </w:r>
      <w:proofErr w:type="spellEnd"/>
      <w:r w:rsidR="00055855">
        <w:rPr>
          <w:rFonts w:eastAsia="Calibri"/>
          <w:lang w:eastAsia="en-US"/>
        </w:rPr>
        <w:t xml:space="preserve"> </w:t>
      </w:r>
      <w:r w:rsidR="00FF755B">
        <w:rPr>
          <w:rFonts w:eastAsia="Calibri"/>
          <w:lang w:eastAsia="en-US"/>
        </w:rPr>
        <w:t xml:space="preserve">μελέτες όπως των </w:t>
      </w:r>
      <w:r w:rsidR="00FF755B" w:rsidRPr="00FF755B">
        <w:rPr>
          <w:rFonts w:eastAsia="Calibri"/>
          <w:lang w:eastAsia="en-US"/>
        </w:rPr>
        <w:t>(</w:t>
      </w:r>
      <w:proofErr w:type="spellStart"/>
      <w:r w:rsidR="00FF755B" w:rsidRPr="00FF755B">
        <w:rPr>
          <w:rFonts w:eastAsia="Calibri"/>
          <w:lang w:eastAsia="en-US"/>
        </w:rPr>
        <w:t>Mylonidis</w:t>
      </w:r>
      <w:proofErr w:type="spellEnd"/>
      <w:r w:rsidR="00FF755B" w:rsidRPr="00FF755B">
        <w:rPr>
          <w:rFonts w:eastAsia="Calibri"/>
          <w:lang w:eastAsia="en-US"/>
        </w:rPr>
        <w:t xml:space="preserve"> &amp; </w:t>
      </w:r>
      <w:proofErr w:type="spellStart"/>
      <w:r w:rsidR="00FF755B" w:rsidRPr="00FF755B">
        <w:rPr>
          <w:rFonts w:eastAsia="Calibri"/>
          <w:lang w:eastAsia="en-US"/>
        </w:rPr>
        <w:t>Sideris</w:t>
      </w:r>
      <w:proofErr w:type="spellEnd"/>
      <w:r w:rsidR="00FF755B" w:rsidRPr="00FF755B">
        <w:rPr>
          <w:rFonts w:eastAsia="Calibri"/>
          <w:lang w:eastAsia="en-US"/>
        </w:rPr>
        <w:t xml:space="preserve">, 2008, </w:t>
      </w:r>
      <w:proofErr w:type="spellStart"/>
      <w:r w:rsidR="00FF755B" w:rsidRPr="00FF755B">
        <w:rPr>
          <w:rFonts w:eastAsia="Calibri"/>
          <w:lang w:eastAsia="en-US"/>
        </w:rPr>
        <w:t>Mylonidis</w:t>
      </w:r>
      <w:proofErr w:type="spellEnd"/>
      <w:r w:rsidR="00FF755B" w:rsidRPr="00FF755B">
        <w:rPr>
          <w:rFonts w:eastAsia="Calibri"/>
          <w:lang w:eastAsia="en-US"/>
        </w:rPr>
        <w:t>, 2008</w:t>
      </w:r>
      <w:r w:rsidR="00FF755B">
        <w:rPr>
          <w:rFonts w:eastAsia="Calibri"/>
          <w:lang w:eastAsia="en-US"/>
        </w:rPr>
        <w:t xml:space="preserve">) αλλά και </w:t>
      </w:r>
      <w:r w:rsidR="00055855">
        <w:rPr>
          <w:rFonts w:eastAsia="Calibri"/>
          <w:lang w:eastAsia="en-US"/>
        </w:rPr>
        <w:t xml:space="preserve">μια εμπειρική μελέτη των </w:t>
      </w:r>
      <w:proofErr w:type="spellStart"/>
      <w:r w:rsidR="00055855" w:rsidRPr="00FF755B">
        <w:rPr>
          <w:rFonts w:eastAsia="Calibri"/>
          <w:lang w:eastAsia="en-US"/>
        </w:rPr>
        <w:t>Olmo</w:t>
      </w:r>
      <w:proofErr w:type="spellEnd"/>
      <w:r w:rsidR="00055855" w:rsidRPr="00FF755B">
        <w:rPr>
          <w:rFonts w:eastAsia="Calibri"/>
          <w:lang w:eastAsia="en-US"/>
        </w:rPr>
        <w:t xml:space="preserve"> &amp; </w:t>
      </w:r>
      <w:proofErr w:type="spellStart"/>
      <w:r w:rsidR="00055855" w:rsidRPr="00FF755B">
        <w:rPr>
          <w:rFonts w:eastAsia="Calibri"/>
          <w:lang w:eastAsia="en-US"/>
        </w:rPr>
        <w:t>Pilbeam</w:t>
      </w:r>
      <w:proofErr w:type="spellEnd"/>
      <w:r w:rsidR="00055855" w:rsidRPr="00FF755B">
        <w:rPr>
          <w:rFonts w:eastAsia="Calibri"/>
          <w:lang w:eastAsia="en-US"/>
        </w:rPr>
        <w:t xml:space="preserve"> (2011) η οποία προσεγγίζοντας με</w:t>
      </w:r>
      <w:r w:rsidR="00055855" w:rsidRPr="00055855">
        <w:rPr>
          <w:rFonts w:eastAsia="Calibri"/>
          <w:lang w:eastAsia="en-US"/>
        </w:rPr>
        <w:t xml:space="preserve"> </w:t>
      </w:r>
      <w:r w:rsidR="00055855">
        <w:rPr>
          <w:rFonts w:eastAsia="Calibri"/>
          <w:lang w:eastAsia="en-US"/>
        </w:rPr>
        <w:t>διαφορετικό τρόπο τον έλεγχο</w:t>
      </w:r>
      <w:r>
        <w:rPr>
          <w:rFonts w:eastAsia="Calibri"/>
          <w:lang w:eastAsia="en-US"/>
        </w:rPr>
        <w:t xml:space="preserve"> ακάλυπτης ισοδυναμίας επιτοκίων</w:t>
      </w:r>
      <w:r w:rsidR="00055855">
        <w:rPr>
          <w:rFonts w:eastAsia="Calibri"/>
          <w:lang w:eastAsia="en-US"/>
        </w:rPr>
        <w:t xml:space="preserve"> καταλήγει σε μαρτυρία υπέρ του ΑΑΕ</w:t>
      </w:r>
      <w:r w:rsidR="00FF755B">
        <w:rPr>
          <w:rFonts w:eastAsia="Calibri"/>
          <w:lang w:eastAsia="en-US"/>
        </w:rPr>
        <w:t xml:space="preserve">. </w:t>
      </w:r>
    </w:p>
    <w:p w:rsidR="009514A4" w:rsidRDefault="009514A4" w:rsidP="00ED7070">
      <w:pPr>
        <w:pStyle w:val="2"/>
        <w:spacing w:before="0" w:after="0" w:line="360" w:lineRule="auto"/>
        <w:jc w:val="both"/>
        <w:rPr>
          <w:rFonts w:ascii="Times New Roman" w:hAnsi="Times New Roman" w:cs="Times New Roman"/>
          <w:i w:val="0"/>
          <w:sz w:val="24"/>
          <w:szCs w:val="24"/>
        </w:rPr>
      </w:pPr>
    </w:p>
    <w:p w:rsidR="00ED7070" w:rsidRPr="00D242DD" w:rsidRDefault="00ED7070" w:rsidP="00ED7070">
      <w:pPr>
        <w:pStyle w:val="2"/>
        <w:spacing w:before="0" w:after="0" w:line="360" w:lineRule="auto"/>
        <w:jc w:val="both"/>
        <w:rPr>
          <w:rFonts w:ascii="Times New Roman" w:hAnsi="Times New Roman" w:cs="Times New Roman"/>
          <w:i w:val="0"/>
          <w:sz w:val="24"/>
          <w:szCs w:val="24"/>
        </w:rPr>
      </w:pPr>
      <w:bookmarkStart w:id="25" w:name="_Toc395803098"/>
      <w:bookmarkStart w:id="26" w:name="_Toc396220906"/>
      <w:r>
        <w:rPr>
          <w:rFonts w:ascii="Times New Roman" w:hAnsi="Times New Roman" w:cs="Times New Roman"/>
          <w:i w:val="0"/>
          <w:sz w:val="24"/>
          <w:szCs w:val="24"/>
        </w:rPr>
        <w:t>7.3.</w:t>
      </w:r>
      <w:r w:rsidR="00A56C61">
        <w:rPr>
          <w:rFonts w:ascii="Times New Roman" w:hAnsi="Times New Roman" w:cs="Times New Roman"/>
          <w:i w:val="0"/>
          <w:sz w:val="24"/>
          <w:szCs w:val="24"/>
        </w:rPr>
        <w:t>2</w:t>
      </w:r>
      <w:r w:rsidRPr="009F6F3B">
        <w:rPr>
          <w:rFonts w:ascii="Times New Roman" w:hAnsi="Times New Roman" w:cs="Times New Roman"/>
          <w:i w:val="0"/>
          <w:sz w:val="24"/>
          <w:szCs w:val="24"/>
        </w:rPr>
        <w:t xml:space="preserve"> </w:t>
      </w:r>
      <w:r w:rsidR="00812DF6">
        <w:rPr>
          <w:rFonts w:ascii="Times New Roman" w:hAnsi="Times New Roman" w:cs="Times New Roman"/>
          <w:i w:val="0"/>
          <w:sz w:val="24"/>
          <w:szCs w:val="24"/>
        </w:rPr>
        <w:t>Κ</w:t>
      </w:r>
      <w:r w:rsidRPr="009F6F3B">
        <w:rPr>
          <w:rFonts w:ascii="Times New Roman" w:hAnsi="Times New Roman" w:cs="Times New Roman"/>
          <w:i w:val="0"/>
          <w:sz w:val="24"/>
          <w:szCs w:val="24"/>
        </w:rPr>
        <w:t>αλυμμένη ισοδυναμία επιτοκίων</w:t>
      </w:r>
      <w:bookmarkEnd w:id="25"/>
      <w:bookmarkEnd w:id="26"/>
    </w:p>
    <w:p w:rsidR="00643549" w:rsidRPr="00643549" w:rsidRDefault="00EF0C8A" w:rsidP="008F73F8">
      <w:pPr>
        <w:spacing w:line="360" w:lineRule="auto"/>
        <w:ind w:firstLine="720"/>
        <w:contextualSpacing/>
        <w:jc w:val="both"/>
      </w:pPr>
      <w:r>
        <w:t>Η κ</w:t>
      </w:r>
      <w:r w:rsidR="00643549">
        <w:t>αλυμμένη ισοδυναμία επιτοκίων (</w:t>
      </w:r>
      <w:proofErr w:type="spellStart"/>
      <w:r w:rsidR="00643549" w:rsidRPr="00643549">
        <w:t>Covered</w:t>
      </w:r>
      <w:proofErr w:type="spellEnd"/>
      <w:r w:rsidR="00643549" w:rsidRPr="00643549">
        <w:t xml:space="preserve"> </w:t>
      </w:r>
      <w:proofErr w:type="spellStart"/>
      <w:r w:rsidR="00643549" w:rsidRPr="00643549">
        <w:t>Interest</w:t>
      </w:r>
      <w:proofErr w:type="spellEnd"/>
      <w:r w:rsidR="00643549" w:rsidRPr="00643549">
        <w:t xml:space="preserve"> </w:t>
      </w:r>
      <w:proofErr w:type="spellStart"/>
      <w:r w:rsidR="00643549" w:rsidRPr="00643549">
        <w:t>Parity</w:t>
      </w:r>
      <w:proofErr w:type="spellEnd"/>
      <w:r w:rsidR="00643549" w:rsidRPr="00643549">
        <w:t xml:space="preserve"> – CIP) σημαίνει επένδυση σε ξένο νόμισμα με ταυτόχρονη κάλυψη του συναλλαγματικού κινδύνου μέσω </w:t>
      </w:r>
      <w:r w:rsidR="003E1558">
        <w:t>προθεσμιακών πράξεων. Σκοπός αυτής της επενδυτικής στρατηγικής</w:t>
      </w:r>
      <w:r w:rsidR="00643549" w:rsidRPr="00643549">
        <w:t xml:space="preserve"> είναι η </w:t>
      </w:r>
      <w:r w:rsidR="00B13902">
        <w:t xml:space="preserve">εμφάνιση </w:t>
      </w:r>
      <w:r w:rsidR="00643549" w:rsidRPr="00643549">
        <w:t xml:space="preserve">κερδών από τη διαφορά που υπάρχει μεταξύ του προθεσμιακού πριμ </w:t>
      </w:r>
      <w:r w:rsidR="00643549">
        <w:t>ή έκπτωσης και των επιτοκίων</w:t>
      </w:r>
      <w:r w:rsidR="00643549" w:rsidRPr="00643549">
        <w:t xml:space="preserve"> των δύο νομισμάτων.</w:t>
      </w:r>
      <w:r w:rsidR="00643549">
        <w:t xml:space="preserve"> Για να γίνει εύκολα αντιληπτή αυτή η στρατηγική που συχνά αναφέρεται στην βιβλιογραφία και ως καλυμμένο αρμπιτράζ επιτοκίων</w:t>
      </w:r>
      <w:r w:rsidR="00C66E22">
        <w:t xml:space="preserve"> (ΚΑΕ)</w:t>
      </w:r>
      <w:r w:rsidR="00CD0F9F">
        <w:t>,</w:t>
      </w:r>
      <w:r w:rsidR="00F65192">
        <w:t xml:space="preserve"> θα παραθέσουμε το ακόλουθο παράδειγμα</w:t>
      </w:r>
      <w:r w:rsidR="00CD0F9F">
        <w:t>.</w:t>
      </w:r>
    </w:p>
    <w:p w:rsidR="00F65192" w:rsidRPr="00F65192" w:rsidRDefault="003E1558" w:rsidP="003E1558">
      <w:pPr>
        <w:tabs>
          <w:tab w:val="num" w:pos="720"/>
        </w:tabs>
        <w:spacing w:line="360" w:lineRule="auto"/>
        <w:contextualSpacing/>
        <w:jc w:val="both"/>
      </w:pPr>
      <w:r>
        <w:tab/>
      </w:r>
      <w:r w:rsidR="00F65192" w:rsidRPr="00F65192">
        <w:t>Ας υποθέσουμε την περίπτωση ενός Αμερικανού αποταμιευτή κατόχου $1 εκ. που επιθυμεί να τα επενδύσει σ</w:t>
      </w:r>
      <w:r>
        <w:t>ε χρεόγραφα. Έχει δύο επιλογές. (α) Ν</w:t>
      </w:r>
      <w:r w:rsidR="00F65192" w:rsidRPr="00F65192">
        <w:t>α αγορά</w:t>
      </w:r>
      <w:r w:rsidR="00F65192">
        <w:t xml:space="preserve">σει ομολογίες του </w:t>
      </w:r>
      <w:r w:rsidR="00CD0F9F">
        <w:t>Α</w:t>
      </w:r>
      <w:r w:rsidR="00F65192">
        <w:t>μερικανικού δ</w:t>
      </w:r>
      <w:r w:rsidR="00F65192" w:rsidRPr="00F65192">
        <w:t>ημοσίου με ετήσια απόδοση 3%</w:t>
      </w:r>
      <w:r>
        <w:t>,</w:t>
      </w:r>
      <w:r w:rsidR="00F65192" w:rsidRPr="00F65192">
        <w:t xml:space="preserve"> ή </w:t>
      </w:r>
      <w:r w:rsidR="009514A4">
        <w:t>(β</w:t>
      </w:r>
      <w:r w:rsidR="00F65192" w:rsidRPr="00F65192">
        <w:t>) να αγο</w:t>
      </w:r>
      <w:r w:rsidR="00F65192">
        <w:t>ράσει ομολογίες του Γερμανικού δ</w:t>
      </w:r>
      <w:r w:rsidR="00F65192" w:rsidRPr="00F65192">
        <w:t xml:space="preserve">ημοσίου που </w:t>
      </w:r>
      <w:r w:rsidR="009514A4">
        <w:t>αποφέρουν υψηλότερη απόδοση 7%.</w:t>
      </w:r>
      <w:r>
        <w:t xml:space="preserve"> </w:t>
      </w:r>
      <w:r w:rsidR="00F65192" w:rsidRPr="00F65192">
        <w:lastRenderedPageBreak/>
        <w:t>Υποθέτουμε επίσης ότι και οι δύο ομολογίες έχουν τρίμηνη διάρκεια και ενέχουν τον ίδιο κίνδυνο αθέτησης πληρωμής από τις κυβερνήσεις των δύο χωρών.</w:t>
      </w:r>
    </w:p>
    <w:p w:rsidR="00F65192" w:rsidRPr="00F65192" w:rsidRDefault="00F65192" w:rsidP="00CD0F9F">
      <w:pPr>
        <w:spacing w:line="360" w:lineRule="auto"/>
        <w:contextualSpacing/>
        <w:jc w:val="both"/>
      </w:pPr>
      <w:r w:rsidRPr="00F65192">
        <w:t>Εάν επιλέξει να επενδύσει σε εγχώρια χρεόγραφα, μετά από τρεις μήνες θα λάβει</w:t>
      </w:r>
      <w:r w:rsidR="00656207">
        <w:t xml:space="preserve">: </w:t>
      </w:r>
      <w:r w:rsidR="00656207">
        <w:tab/>
      </w:r>
      <w:r w:rsidR="00656207">
        <w:tab/>
      </w:r>
      <w:r w:rsidRPr="00F65192">
        <w:t xml:space="preserve">$1 εκ. </w:t>
      </w:r>
      <w:r>
        <w:t>×</w:t>
      </w:r>
      <w:r w:rsidRPr="00F65192">
        <w:t xml:space="preserve"> </w:t>
      </w:r>
      <w:r>
        <w:t xml:space="preserve"> (1+0,03/4)= $1.</w:t>
      </w:r>
      <w:r w:rsidRPr="00F65192">
        <w:t>007</w:t>
      </w:r>
      <w:r>
        <w:t>.</w:t>
      </w:r>
      <w:r w:rsidRPr="00F65192">
        <w:t>5</w:t>
      </w:r>
      <w:r>
        <w:t>00</w:t>
      </w:r>
    </w:p>
    <w:p w:rsidR="00656207" w:rsidRDefault="00F65192" w:rsidP="00CD0F9F">
      <w:pPr>
        <w:spacing w:line="360" w:lineRule="auto"/>
        <w:contextualSpacing/>
        <w:jc w:val="both"/>
      </w:pPr>
      <w:r w:rsidRPr="00F65192">
        <w:t>Εάν όμως θελήσει να επενδύσει σε γερμανικά χρεόγραφα, τότ</w:t>
      </w:r>
      <w:r>
        <w:t>ε θα πρέπει να μετατρέψει τα δο</w:t>
      </w:r>
      <w:r w:rsidRPr="00F65192">
        <w:t xml:space="preserve">λάρια σε ευρώ στην τρέχουσα αγορά. </w:t>
      </w:r>
      <w:r w:rsidR="00656207">
        <w:t xml:space="preserve">Γνωρίζοντας </w:t>
      </w:r>
      <w:proofErr w:type="spellStart"/>
      <w:r w:rsidR="00656207">
        <w:t>οτι</w:t>
      </w:r>
      <w:proofErr w:type="spellEnd"/>
      <w:r>
        <w:t xml:space="preserve"> η τρέχουσα συναλλαγματική ισοτιμία είναι 0,8307 Ευρώ/$ </w:t>
      </w:r>
      <w:r w:rsidR="00DD384D">
        <w:t>έχουμε:</w:t>
      </w:r>
      <w:r w:rsidR="00656207">
        <w:t xml:space="preserve"> </w:t>
      </w:r>
    </w:p>
    <w:p w:rsidR="00F65192" w:rsidRPr="00F65192" w:rsidRDefault="00F65192" w:rsidP="00656207">
      <w:pPr>
        <w:spacing w:line="360" w:lineRule="auto"/>
        <w:ind w:left="720" w:firstLine="720"/>
        <w:contextualSpacing/>
        <w:jc w:val="both"/>
      </w:pPr>
      <w:r w:rsidRPr="00F65192">
        <w:t xml:space="preserve">$1 εκ. </w:t>
      </w:r>
      <w:r>
        <w:t>×</w:t>
      </w:r>
      <w:r w:rsidRPr="00F65192">
        <w:t xml:space="preserve"> 0,8307 Ευρώ/$</w:t>
      </w:r>
      <w:r w:rsidR="00656207">
        <w:t xml:space="preserve"> </w:t>
      </w:r>
      <w:r w:rsidRPr="00F65192">
        <w:t>= 830</w:t>
      </w:r>
      <w:r>
        <w:t>.</w:t>
      </w:r>
      <w:r w:rsidR="00DD384D">
        <w:t>700</w:t>
      </w:r>
      <w:r w:rsidRPr="00F65192">
        <w:t xml:space="preserve"> </w:t>
      </w:r>
      <w:r w:rsidR="00656207" w:rsidRPr="00F65192">
        <w:t>Ευρώ</w:t>
      </w:r>
    </w:p>
    <w:p w:rsidR="00F65192" w:rsidRPr="00F65192" w:rsidRDefault="00DD384D" w:rsidP="00CD0F9F">
      <w:pPr>
        <w:spacing w:line="360" w:lineRule="auto"/>
        <w:contextualSpacing/>
        <w:jc w:val="both"/>
      </w:pPr>
      <w:r>
        <w:t>Με αυτό το ποσό στην συνέχεια θ</w:t>
      </w:r>
      <w:r w:rsidR="00F65192" w:rsidRPr="00F65192">
        <w:t>α αγοράσει γερμανικά ομόλογα, τα οποία μετά από τρεις μήνες θα του αποφέρουν</w:t>
      </w:r>
      <w:r>
        <w:t xml:space="preserve"> το ποσό των:</w:t>
      </w:r>
    </w:p>
    <w:p w:rsidR="00F65192" w:rsidRPr="00F65192" w:rsidRDefault="00F65192" w:rsidP="00656207">
      <w:pPr>
        <w:spacing w:line="360" w:lineRule="auto"/>
        <w:ind w:left="720" w:firstLine="720"/>
        <w:contextualSpacing/>
        <w:jc w:val="both"/>
      </w:pPr>
      <w:r w:rsidRPr="00F65192">
        <w:t xml:space="preserve"> 830</w:t>
      </w:r>
      <w:r w:rsidR="00DD384D">
        <w:t>.</w:t>
      </w:r>
      <w:r w:rsidRPr="00F65192">
        <w:t xml:space="preserve">700  </w:t>
      </w:r>
      <w:r>
        <w:t>×</w:t>
      </w:r>
      <w:r w:rsidRPr="00F65192">
        <w:t xml:space="preserve"> </w:t>
      </w:r>
      <w:r>
        <w:t xml:space="preserve"> </w:t>
      </w:r>
      <w:r w:rsidRPr="00F65192">
        <w:t>(1+0,07/4)= 845</w:t>
      </w:r>
      <w:r>
        <w:t>.</w:t>
      </w:r>
      <w:r w:rsidRPr="00F65192">
        <w:t>237 Ευρώ</w:t>
      </w:r>
    </w:p>
    <w:p w:rsidR="00D242DD" w:rsidRDefault="00DD384D" w:rsidP="00CD0F9F">
      <w:pPr>
        <w:spacing w:line="360" w:lineRule="auto"/>
        <w:contextualSpacing/>
        <w:jc w:val="both"/>
      </w:pPr>
      <w:r>
        <w:t>Όμως γ</w:t>
      </w:r>
      <w:r w:rsidR="00F65192" w:rsidRPr="00F65192">
        <w:t>ια να υπολογίσει την απόδοση σε δολάρια, θα πρέπει να μετατρέψει τα Ευρώ σε δολάρια. Για να καλυφθεί έναντι του κινδύνου μελλοντικής υποτίμησης του Ευρωπαϊκού νομίσματος ως προς το δο</w:t>
      </w:r>
      <w:r w:rsidR="00F65192">
        <w:t>λ</w:t>
      </w:r>
      <w:r w:rsidR="00F65192" w:rsidRPr="00F65192">
        <w:t>άριο, θα καταφύγει στην προθεσμιακή αγορά συναλλάγματος</w:t>
      </w:r>
      <w:r>
        <w:t>.</w:t>
      </w:r>
      <w:r w:rsidR="00F65192" w:rsidRPr="00F65192">
        <w:t xml:space="preserve"> </w:t>
      </w:r>
      <w:r>
        <w:t>Θ</w:t>
      </w:r>
      <w:r w:rsidR="00F65192" w:rsidRPr="00F65192">
        <w:t>α πουλήσει</w:t>
      </w:r>
      <w:r>
        <w:t xml:space="preserve"> δηλαδή</w:t>
      </w:r>
      <w:r w:rsidR="00F65192" w:rsidRPr="00F65192">
        <w:t xml:space="preserve"> τα Ευρ</w:t>
      </w:r>
      <w:r w:rsidR="00F65192">
        <w:t>ώ</w:t>
      </w:r>
      <w:r>
        <w:t xml:space="preserve"> προθεσμιακά</w:t>
      </w:r>
      <w:r w:rsidR="00F65192">
        <w:t xml:space="preserve"> για ένα συγκεκριμένο ποσό δολ</w:t>
      </w:r>
      <w:r w:rsidR="00F65192" w:rsidRPr="00F65192">
        <w:t>αρίων. Εάν υποθέσουμε ότι η προθεσμιακή τιμή συναλλάγματος</w:t>
      </w:r>
      <w:r>
        <w:t xml:space="preserve"> τριών μηνών από τώρα </w:t>
      </w:r>
      <w:r w:rsidR="00F65192" w:rsidRPr="00F65192">
        <w:t>είναι ακριβώς ίση με την τρέχουσα τιμή</w:t>
      </w:r>
      <w:r w:rsidR="00CD0F9F">
        <w:t xml:space="preserve"> (αν και στην πράξη υπάρχει μια μικρή διαφορά που αποτελεί το κόστος της κάλυψης)</w:t>
      </w:r>
      <w:r w:rsidR="00F65192" w:rsidRPr="00F65192">
        <w:t>, δηλαδή δεν προβλέπεται η τρέχουσα ισοτιμία να μεταβληθεί στους επόμενους τρεις μήνες, τότε ο Αμερικανός επενδυτής θα λάβει</w:t>
      </w:r>
      <w:r w:rsidR="00D242DD">
        <w:t xml:space="preserve"> </w:t>
      </w:r>
      <w:r w:rsidR="00F65192">
        <w:t>845</w:t>
      </w:r>
      <w:r>
        <w:t>.</w:t>
      </w:r>
      <w:r w:rsidR="00550635">
        <w:t>237 Ευρώ</w:t>
      </w:r>
      <w:r w:rsidR="00F65192">
        <w:t xml:space="preserve"> </w:t>
      </w:r>
      <w:r w:rsidR="00F65192" w:rsidRPr="00F65192">
        <w:t xml:space="preserve"> </w:t>
      </w:r>
      <w:r w:rsidR="00F65192">
        <w:t>×</w:t>
      </w:r>
      <w:r w:rsidR="00F65192" w:rsidRPr="00F65192">
        <w:t xml:space="preserve"> </w:t>
      </w:r>
      <w:r w:rsidR="00F65192">
        <w:t xml:space="preserve"> 1/0,8307 $/Ευρώ= $1.</w:t>
      </w:r>
      <w:r w:rsidR="00F65192" w:rsidRPr="00F65192">
        <w:t>017</w:t>
      </w:r>
      <w:r w:rsidR="00F65192">
        <w:t>.</w:t>
      </w:r>
      <w:r>
        <w:t>5</w:t>
      </w:r>
      <w:r w:rsidR="00F65192">
        <w:t xml:space="preserve">00 </w:t>
      </w:r>
      <w:r>
        <w:t>κερδίζοντας $10</w:t>
      </w:r>
      <w:r w:rsidR="00656207">
        <w:t>.</w:t>
      </w:r>
      <w:r>
        <w:t>0</w:t>
      </w:r>
      <w:r w:rsidR="00F65192" w:rsidRPr="00F65192">
        <w:t xml:space="preserve">00. </w:t>
      </w:r>
    </w:p>
    <w:p w:rsidR="00C27081" w:rsidRDefault="00F65192" w:rsidP="00D242DD">
      <w:pPr>
        <w:spacing w:line="360" w:lineRule="auto"/>
        <w:ind w:firstLine="720"/>
        <w:contextualSpacing/>
        <w:jc w:val="both"/>
      </w:pPr>
      <w:r w:rsidRPr="00F65192">
        <w:t xml:space="preserve">Επομένως, </w:t>
      </w:r>
      <w:r w:rsidR="00656207">
        <w:t>έχοντας</w:t>
      </w:r>
      <w:r w:rsidRPr="00F65192">
        <w:t xml:space="preserve"> τον ίδιο κίνδυνο αδυναμίας πληρωμής, η επένδυ</w:t>
      </w:r>
      <w:r w:rsidR="00DD384D">
        <w:t>ση σε ομολογίες του γερμανικού δ</w:t>
      </w:r>
      <w:r w:rsidRPr="00F65192">
        <w:t>ημοσίου είναι περισσότερο επικερδής.</w:t>
      </w:r>
      <w:r w:rsidR="00DD384D">
        <w:t xml:space="preserve"> Συνεπώς κάθε </w:t>
      </w:r>
      <w:r w:rsidR="00DD384D" w:rsidRPr="00F65192">
        <w:t xml:space="preserve">ορθολογικός </w:t>
      </w:r>
      <w:r w:rsidRPr="00F65192">
        <w:t xml:space="preserve">επενδυτής θα </w:t>
      </w:r>
      <w:r w:rsidR="00656207">
        <w:t>επιλέξει αυτή την επένδυση</w:t>
      </w:r>
      <w:r w:rsidRPr="00F65192">
        <w:t>. Δηλαδή, θα παρατηρηθεί πολύ σύντομα μία υπερβάλλουσα ζ</w:t>
      </w:r>
      <w:r w:rsidR="00656207">
        <w:t>ήτηση γερμανικών ομολογιών από Α</w:t>
      </w:r>
      <w:r w:rsidRPr="00F65192">
        <w:t xml:space="preserve">μερικανούς επενδυτές και μία μαζική εκροή κεφαλαίων από τις ΗΠΑ. Ωστόσο, υπάρχουν δυνάμεις που επαναφέρουν τη διεθνή αγορά κεφαλαίων σε ισορροπία. Η </w:t>
      </w:r>
      <w:r w:rsidR="00DD384D">
        <w:t>αυξημένη ζήτηση</w:t>
      </w:r>
      <w:r w:rsidRPr="00F65192">
        <w:t xml:space="preserve"> των Αμερικανών επενδυτών σε γερμανικά χρεόγραφα θα επιφέρει σύντομα αύξηση των </w:t>
      </w:r>
      <w:r w:rsidR="00656207">
        <w:t>Α</w:t>
      </w:r>
      <w:r w:rsidRPr="00F65192">
        <w:t xml:space="preserve">μερικανικών επιτοκίων και πτώση των </w:t>
      </w:r>
      <w:r w:rsidR="00656207">
        <w:t>Ε</w:t>
      </w:r>
      <w:r w:rsidRPr="00F65192">
        <w:t>υρωπαϊκών. Παράλληλα, η υπερβάλλουσα ζήτηση Ευρώ στην τρέχουσα αγο</w:t>
      </w:r>
      <w:r w:rsidR="00DD384D">
        <w:t>ρά και η υπερβάλλουσα ζήτηση δο</w:t>
      </w:r>
      <w:r w:rsidRPr="00F65192">
        <w:t>λαρίων στην προθεσμιακή αγορά, προκαλούν μεταβολές στη συναλλαγματική ισοτιμία</w:t>
      </w:r>
      <w:r w:rsidR="00656207">
        <w:t xml:space="preserve">. Πιο συγκεκριμένα μια </w:t>
      </w:r>
      <w:r w:rsidRPr="00F65192">
        <w:t>ανατίμηση του Ευρώ στην τρέχο</w:t>
      </w:r>
      <w:r w:rsidR="00DD384D">
        <w:t xml:space="preserve">υσα αγορά και </w:t>
      </w:r>
      <w:r w:rsidR="00656207">
        <w:t xml:space="preserve">μια </w:t>
      </w:r>
      <w:r w:rsidR="00DD384D">
        <w:lastRenderedPageBreak/>
        <w:t>ανατίμηση του δολ</w:t>
      </w:r>
      <w:r w:rsidRPr="00F65192">
        <w:t>αρίου στην προθεσμιακή αγορά</w:t>
      </w:r>
      <w:r w:rsidR="00656207">
        <w:t>,</w:t>
      </w:r>
      <w:r w:rsidRPr="00F65192">
        <w:t xml:space="preserve"> έτσι ώστε τα κέρδη από τη διαφορά επιτοκίων να αντισταθμίζονται από τις απώλειες που προέρχονται από την υποτίμηση του νομίσματος στο οποίο εκφράζονται οι ομολογίες.</w:t>
      </w:r>
    </w:p>
    <w:p w:rsidR="00F65192" w:rsidRPr="00F65192" w:rsidRDefault="00F65192" w:rsidP="00C27081">
      <w:pPr>
        <w:spacing w:line="360" w:lineRule="auto"/>
        <w:ind w:firstLine="720"/>
        <w:contextualSpacing/>
        <w:jc w:val="both"/>
      </w:pPr>
      <w:r w:rsidRPr="00F65192">
        <w:t>Ένας περισσότερο</w:t>
      </w:r>
      <w:r w:rsidR="00DB3597">
        <w:t xml:space="preserve"> γενικός</w:t>
      </w:r>
      <w:r w:rsidRPr="00F65192">
        <w:t xml:space="preserve"> τρόπος διατύπωσης της θεωρίας της καλυμμένης ισο</w:t>
      </w:r>
      <w:r w:rsidR="00DB3597">
        <w:t>δυναμίας επιτοκίου είναι ο ακόλουθος.</w:t>
      </w:r>
      <w:r w:rsidRPr="00F65192">
        <w:t xml:space="preserve"> Εάν </w:t>
      </w:r>
      <w:r w:rsidR="00DB3597" w:rsidRPr="00DB3597">
        <w:rPr>
          <w:position w:val="-12"/>
          <w:lang w:val="en-GB"/>
        </w:rPr>
        <w:object w:dxaOrig="260" w:dyaOrig="360">
          <v:shape id="_x0000_i1036" type="#_x0000_t75" style="width:11.9pt;height:19.4pt" o:ole="" fillcolor="window">
            <v:imagedata r:id="rId39" o:title=""/>
          </v:shape>
          <o:OLEObject Type="Embed" ProgID="Equation.3" ShapeID="_x0000_i1036" DrawAspect="Content" ObjectID="_1475064849" r:id="rId40"/>
        </w:object>
      </w:r>
      <w:r w:rsidRPr="00F65192">
        <w:t xml:space="preserve"> </w:t>
      </w:r>
      <w:r w:rsidR="00DB3597" w:rsidRPr="00F65192">
        <w:t>ορίζουμε την τρέχουσα (</w:t>
      </w:r>
      <w:r w:rsidR="00DB3597" w:rsidRPr="00F65192">
        <w:rPr>
          <w:lang w:val="en-US"/>
        </w:rPr>
        <w:t>spot</w:t>
      </w:r>
      <w:r w:rsidR="00DB3597" w:rsidRPr="00F65192">
        <w:t>) τιμή ενός ξένου νομίσματος σε όρους του εγχώριου νομίσματος (ως εγχώριο ν</w:t>
      </w:r>
      <w:r w:rsidR="00DB3597">
        <w:t>όμισμα λαμβάνουμε το $- από τη π</w:t>
      </w:r>
      <w:r w:rsidR="00DB3597" w:rsidRPr="00F65192">
        <w:t>λευρά του Αμερικανού επενδυτή</w:t>
      </w:r>
      <w:r w:rsidR="00DB3597">
        <w:t xml:space="preserve">) </w:t>
      </w:r>
      <w:r w:rsidRPr="00F65192">
        <w:t xml:space="preserve">και </w:t>
      </w:r>
      <w:r w:rsidR="00DB3597" w:rsidRPr="00DB3597">
        <w:rPr>
          <w:position w:val="-12"/>
          <w:lang w:val="en-GB"/>
        </w:rPr>
        <w:object w:dxaOrig="260" w:dyaOrig="360">
          <v:shape id="_x0000_i1037" type="#_x0000_t75" style="width:11.9pt;height:19.4pt" o:ole="" fillcolor="window">
            <v:imagedata r:id="rId41" o:title=""/>
          </v:shape>
          <o:OLEObject Type="Embed" ProgID="Equation.3" ShapeID="_x0000_i1037" DrawAspect="Content" ObjectID="_1475064850" r:id="rId42"/>
        </w:object>
      </w:r>
      <w:r w:rsidRPr="00F65192">
        <w:t xml:space="preserve"> η προθεσμιακή (</w:t>
      </w:r>
      <w:r w:rsidRPr="00F65192">
        <w:rPr>
          <w:lang w:val="en-US"/>
        </w:rPr>
        <w:t>forward</w:t>
      </w:r>
      <w:r w:rsidRPr="00F65192">
        <w:t xml:space="preserve">) τιμή συναλλάγματος αντίστοιχα τη χρονική στιγμή </w:t>
      </w:r>
      <w:r w:rsidRPr="00F65192">
        <w:rPr>
          <w:lang w:val="en-US"/>
        </w:rPr>
        <w:t>t</w:t>
      </w:r>
      <w:r w:rsidRPr="00F65192">
        <w:t xml:space="preserve">, </w:t>
      </w:r>
      <w:r w:rsidR="00DB3597" w:rsidRPr="00DB3597">
        <w:rPr>
          <w:position w:val="-12"/>
          <w:lang w:val="en-GB"/>
        </w:rPr>
        <w:object w:dxaOrig="220" w:dyaOrig="360">
          <v:shape id="_x0000_i1038" type="#_x0000_t75" style="width:11.9pt;height:19.4pt" o:ole="" fillcolor="window">
            <v:imagedata r:id="rId18" o:title=""/>
          </v:shape>
          <o:OLEObject Type="Embed" ProgID="Equation.3" ShapeID="_x0000_i1038" DrawAspect="Content" ObjectID="_1475064851" r:id="rId43"/>
        </w:object>
      </w:r>
      <w:r w:rsidRPr="00F65192">
        <w:t xml:space="preserve"> και </w:t>
      </w:r>
      <w:r w:rsidR="00DB3597" w:rsidRPr="00DB3597">
        <w:rPr>
          <w:position w:val="-14"/>
          <w:lang w:val="en-GB"/>
        </w:rPr>
        <w:object w:dxaOrig="240" w:dyaOrig="380">
          <v:shape id="_x0000_i1039" type="#_x0000_t75" style="width:15.05pt;height:19.4pt" o:ole="" fillcolor="window">
            <v:imagedata r:id="rId20" o:title=""/>
          </v:shape>
          <o:OLEObject Type="Embed" ProgID="Equation.3" ShapeID="_x0000_i1039" DrawAspect="Content" ObjectID="_1475064852" r:id="rId44"/>
        </w:object>
      </w:r>
      <w:r w:rsidRPr="00F65192">
        <w:t xml:space="preserve"> είναι το επιτόκιο της εγχώριας και </w:t>
      </w:r>
      <w:r w:rsidR="00DB3597">
        <w:t>της αλλοδαπής</w:t>
      </w:r>
      <w:r w:rsidRPr="00F65192">
        <w:t xml:space="preserve"> οικονομίας</w:t>
      </w:r>
      <w:r w:rsidR="00DB3597">
        <w:t xml:space="preserve"> αντίστοιχα, η επένδυση 1 δολ</w:t>
      </w:r>
      <w:r w:rsidRPr="00F65192">
        <w:t>αρίου σε εγχώρια χρεόγραφα θα αποφέρει μετά από ένα έτος</w:t>
      </w:r>
    </w:p>
    <w:p w:rsidR="00F65192" w:rsidRPr="00D242DD" w:rsidRDefault="003971F4" w:rsidP="00656207">
      <w:pPr>
        <w:spacing w:line="360" w:lineRule="auto"/>
        <w:ind w:left="720" w:firstLine="720"/>
        <w:contextualSpacing/>
        <w:jc w:val="both"/>
      </w:pPr>
      <w:r w:rsidRPr="00DB3597">
        <w:rPr>
          <w:position w:val="-12"/>
          <w:lang w:val="en-GB"/>
        </w:rPr>
        <w:object w:dxaOrig="2640" w:dyaOrig="360">
          <v:shape id="_x0000_i1040" type="#_x0000_t75" style="width:132.1pt;height:19.4pt" o:ole="" fillcolor="window">
            <v:imagedata r:id="rId22" o:title=""/>
          </v:shape>
          <o:OLEObject Type="Embed" ProgID="Equation.3" ShapeID="_x0000_i1040" DrawAspect="Content" ObjectID="_1475064853" r:id="rId45"/>
        </w:object>
      </w:r>
      <w:r w:rsidR="00F65192" w:rsidRPr="00F65192">
        <w:tab/>
        <w:t xml:space="preserve"> </w:t>
      </w:r>
      <w:r w:rsidR="003308DD">
        <w:tab/>
      </w:r>
      <w:r w:rsidR="003308DD">
        <w:tab/>
      </w:r>
      <w:r w:rsidR="003308DD">
        <w:tab/>
      </w:r>
      <w:r w:rsidR="003308DD">
        <w:tab/>
      </w:r>
      <w:r w:rsidR="00DB3597">
        <w:t>(7.</w:t>
      </w:r>
      <w:r w:rsidR="003308DD">
        <w:t>9</w:t>
      </w:r>
      <w:r w:rsidR="00DB3597">
        <w:t>)</w:t>
      </w:r>
    </w:p>
    <w:p w:rsidR="00F65192" w:rsidRPr="00F65192" w:rsidRDefault="00DB3597" w:rsidP="00F65192">
      <w:pPr>
        <w:spacing w:line="360" w:lineRule="auto"/>
        <w:contextualSpacing/>
        <w:jc w:val="both"/>
      </w:pPr>
      <w:r>
        <w:t xml:space="preserve">Ενώ η </w:t>
      </w:r>
      <w:r w:rsidR="00F65192" w:rsidRPr="00F65192">
        <w:t>επένδυση</w:t>
      </w:r>
      <w:r>
        <w:t xml:space="preserve"> σε ξένα χρεόγραφα θα αποφέρει </w:t>
      </w:r>
      <w:r w:rsidR="00F65192" w:rsidRPr="00F65192">
        <w:t>σε δο</w:t>
      </w:r>
      <w:r>
        <w:t>λάρια</w:t>
      </w:r>
    </w:p>
    <w:p w:rsidR="00F65192" w:rsidRPr="00F65192" w:rsidRDefault="00C66E22" w:rsidP="00656207">
      <w:pPr>
        <w:spacing w:line="360" w:lineRule="auto"/>
        <w:ind w:left="720" w:firstLine="720"/>
        <w:contextualSpacing/>
        <w:jc w:val="both"/>
      </w:pPr>
      <w:r w:rsidRPr="00DB3597">
        <w:rPr>
          <w:position w:val="-30"/>
          <w:lang w:val="en-GB"/>
        </w:rPr>
        <w:object w:dxaOrig="3400" w:dyaOrig="700">
          <v:shape id="_x0000_i1041" type="#_x0000_t75" style="width:170.9pt;height:34.45pt" o:ole="" fillcolor="window">
            <v:imagedata r:id="rId46" o:title=""/>
          </v:shape>
          <o:OLEObject Type="Embed" ProgID="Equation.3" ShapeID="_x0000_i1041" DrawAspect="Content" ObjectID="_1475064854" r:id="rId47"/>
        </w:object>
      </w:r>
      <w:r w:rsidR="00DB3597">
        <w:t xml:space="preserve"> </w:t>
      </w:r>
      <w:r w:rsidR="003308DD">
        <w:tab/>
      </w:r>
      <w:r w:rsidR="003308DD">
        <w:tab/>
      </w:r>
      <w:r w:rsidR="003308DD">
        <w:tab/>
      </w:r>
      <w:r w:rsidR="003308DD">
        <w:tab/>
      </w:r>
      <w:r w:rsidR="00DB3597">
        <w:t>(7.</w:t>
      </w:r>
      <w:r w:rsidR="003308DD">
        <w:t>10</w:t>
      </w:r>
      <w:r w:rsidR="00DB3597">
        <w:t>)</w:t>
      </w:r>
    </w:p>
    <w:p w:rsidR="00F65192" w:rsidRPr="00F65192" w:rsidRDefault="00F65192" w:rsidP="00F65192">
      <w:pPr>
        <w:spacing w:line="360" w:lineRule="auto"/>
        <w:contextualSpacing/>
        <w:jc w:val="both"/>
      </w:pPr>
      <w:r w:rsidRPr="00F65192">
        <w:t xml:space="preserve">Για να μην υπάρχει κίνητρο μεταφοράς αποταμιευτικών πόρων από την εγχώρια οικονομία στην αλλοδαπή, θα πρέπει οι αποδόσεις χρεογράφων διαφορετικών χωρών, όταν εκφράζονται στο ίδιο νόμισμα,, να είναι ίσες, δηλαδή σε ισορροπία θα πρέπει </w:t>
      </w:r>
      <w:r w:rsidR="00C66E22">
        <w:t>οι δυο στρατηγικές να είναι ίδιες.</w:t>
      </w:r>
    </w:p>
    <w:p w:rsidR="00F65192" w:rsidRPr="00F65192" w:rsidRDefault="00EA318F" w:rsidP="00656207">
      <w:pPr>
        <w:spacing w:line="360" w:lineRule="auto"/>
        <w:ind w:left="720" w:firstLine="720"/>
        <w:contextualSpacing/>
        <w:jc w:val="both"/>
      </w:pPr>
      <m:oMath>
        <m:sSub>
          <m:sSubPr>
            <m:ctrlPr>
              <w:rPr>
                <w:rFonts w:ascii="Cambria Math" w:hAnsi="Cambria Math"/>
                <w:i/>
                <w:lang w:val="en-GB"/>
              </w:rPr>
            </m:ctrlPr>
          </m:sSubPr>
          <m:e>
            <m:r>
              <w:rPr>
                <w:rFonts w:ascii="Cambria Math" w:hAnsi="Cambria Math"/>
                <w:lang w:val="en-GB"/>
              </w:rPr>
              <m:t>Π</m:t>
            </m:r>
          </m:e>
          <m:sub>
            <m:r>
              <w:rPr>
                <w:rFonts w:ascii="Cambria Math" w:hAnsi="Cambria Math"/>
                <w:lang w:val="en-GB"/>
              </w:rPr>
              <m:t>d</m:t>
            </m:r>
          </m:sub>
        </m:sSub>
        <m:r>
          <w:rPr>
            <w:rFonts w:ascii="Cambria Math" w:hAnsi="Cambria Math"/>
          </w:rPr>
          <m:t>=</m:t>
        </m:r>
        <m:sSub>
          <m:sSubPr>
            <m:ctrlPr>
              <w:rPr>
                <w:rFonts w:ascii="Cambria Math" w:hAnsi="Cambria Math"/>
                <w:i/>
                <w:lang w:val="en-US"/>
              </w:rPr>
            </m:ctrlPr>
          </m:sSubPr>
          <m:e>
            <m:r>
              <w:rPr>
                <w:rFonts w:ascii="Cambria Math" w:hAnsi="Cambria Math"/>
              </w:rPr>
              <m:t>Π</m:t>
            </m:r>
          </m:e>
          <m:sub>
            <m:r>
              <w:rPr>
                <w:rFonts w:ascii="Cambria Math" w:hAnsi="Cambria Math"/>
                <w:lang w:val="en-US"/>
              </w:rPr>
              <m:t>f</m:t>
            </m:r>
          </m:sub>
        </m:sSub>
        <m:r>
          <m:rPr>
            <m:sty m:val="p"/>
          </m:rPr>
          <w:rPr>
            <w:rFonts w:ascii="Cambria Math" w:hAnsi="Cambria Math"/>
          </w:rPr>
          <m:t xml:space="preserve"> ή</m:t>
        </m:r>
      </m:oMath>
      <w:r w:rsidR="00C66E22" w:rsidRPr="00C66E22">
        <w:t xml:space="preserve"> </w:t>
      </w:r>
      <w:r w:rsidR="00C66E22" w:rsidRPr="00C66E22">
        <w:rPr>
          <w:position w:val="-30"/>
          <w:lang w:val="en-GB"/>
        </w:rPr>
        <w:object w:dxaOrig="1960" w:dyaOrig="700">
          <v:shape id="_x0000_i1042" type="#_x0000_t75" style="width:98.9pt;height:34.45pt" o:ole="" fillcolor="window">
            <v:imagedata r:id="rId48" o:title=""/>
          </v:shape>
          <o:OLEObject Type="Embed" ProgID="Equation.3" ShapeID="_x0000_i1042" DrawAspect="Content" ObjectID="_1475064855" r:id="rId49"/>
        </w:object>
      </w:r>
      <w:r w:rsidR="00DB3597" w:rsidRPr="00C66E22">
        <w:t xml:space="preserve"> </w:t>
      </w:r>
      <w:r w:rsidR="00F65192" w:rsidRPr="00C66E22">
        <w:t xml:space="preserve">ή  </w:t>
      </w:r>
      <w:r w:rsidR="00DB3597" w:rsidRPr="00C66E22">
        <w:rPr>
          <w:position w:val="-34"/>
          <w:lang w:val="en-GB"/>
        </w:rPr>
        <w:object w:dxaOrig="1300" w:dyaOrig="740">
          <v:shape id="_x0000_i1043" type="#_x0000_t75" style="width:64.5pt;height:37.55pt" o:ole="" fillcolor="window">
            <v:imagedata r:id="rId50" o:title=""/>
          </v:shape>
          <o:OLEObject Type="Embed" ProgID="Equation.3" ShapeID="_x0000_i1043" DrawAspect="Content" ObjectID="_1475064856" r:id="rId51"/>
        </w:object>
      </w:r>
      <w:r w:rsidR="00F65192" w:rsidRPr="00F65192">
        <w:t xml:space="preserve"> </w:t>
      </w:r>
    </w:p>
    <w:p w:rsidR="00F65192" w:rsidRPr="00F65192" w:rsidRDefault="00F65192" w:rsidP="00F65192">
      <w:pPr>
        <w:spacing w:line="360" w:lineRule="auto"/>
        <w:contextualSpacing/>
        <w:jc w:val="both"/>
      </w:pPr>
      <w:r w:rsidRPr="00F65192">
        <w:t>Αφαιρώντας τη μονάδα και από τα δύο μέλη, λαμβάνουμε</w:t>
      </w:r>
    </w:p>
    <w:p w:rsidR="00F65192" w:rsidRPr="00F65192" w:rsidRDefault="00DB3597" w:rsidP="00656207">
      <w:pPr>
        <w:spacing w:line="360" w:lineRule="auto"/>
        <w:ind w:firstLine="720"/>
        <w:contextualSpacing/>
        <w:jc w:val="both"/>
      </w:pPr>
      <w:r w:rsidRPr="00DB3597">
        <w:rPr>
          <w:position w:val="-34"/>
          <w:lang w:val="en-GB"/>
        </w:rPr>
        <w:object w:dxaOrig="1820" w:dyaOrig="760">
          <v:shape id="_x0000_i1044" type="#_x0000_t75" style="width:91.4pt;height:37.55pt" o:ole="" fillcolor="window">
            <v:imagedata r:id="rId52" o:title=""/>
          </v:shape>
          <o:OLEObject Type="Embed" ProgID="Equation.3" ShapeID="_x0000_i1044" DrawAspect="Content" ObjectID="_1475064857" r:id="rId53"/>
        </w:object>
      </w:r>
      <w:r>
        <w:t xml:space="preserve"> </w:t>
      </w:r>
      <w:r w:rsidR="00F65192" w:rsidRPr="00F65192">
        <w:t xml:space="preserve">ή  </w:t>
      </w:r>
      <w:r w:rsidRPr="00DB3597">
        <w:rPr>
          <w:position w:val="-30"/>
          <w:lang w:val="en-GB"/>
        </w:rPr>
        <w:object w:dxaOrig="1800" w:dyaOrig="700">
          <v:shape id="_x0000_i1045" type="#_x0000_t75" style="width:91.4pt;height:34.45pt" o:ole="" fillcolor="window">
            <v:imagedata r:id="rId54" o:title=""/>
          </v:shape>
          <o:OLEObject Type="Embed" ProgID="Equation.3" ShapeID="_x0000_i1045" DrawAspect="Content" ObjectID="_1475064858" r:id="rId55"/>
        </w:object>
      </w:r>
      <w:r w:rsidR="00BF370A">
        <w:t xml:space="preserve"> </w:t>
      </w:r>
      <w:r>
        <w:t xml:space="preserve">δεδομένου ότι </w:t>
      </w:r>
      <w:r w:rsidRPr="00DB3597">
        <w:rPr>
          <w:position w:val="-14"/>
          <w:lang w:val="en-GB"/>
        </w:rPr>
        <w:object w:dxaOrig="1080" w:dyaOrig="380">
          <v:shape id="_x0000_i1046" type="#_x0000_t75" style="width:52.6pt;height:19.4pt" o:ole="" fillcolor="window">
            <v:imagedata r:id="rId56" o:title=""/>
          </v:shape>
          <o:OLEObject Type="Embed" ProgID="Equation.3" ShapeID="_x0000_i1046" DrawAspect="Content" ObjectID="_1475064859" r:id="rId57"/>
        </w:object>
      </w:r>
      <w:r w:rsidR="00BF370A">
        <w:t xml:space="preserve">    </w:t>
      </w:r>
      <w:r w:rsidR="00BF370A" w:rsidRPr="00C66E22">
        <w:rPr>
          <w:color w:val="FF0000"/>
        </w:rPr>
        <w:t xml:space="preserve"> </w:t>
      </w:r>
      <w:r w:rsidR="00BF370A" w:rsidRPr="003308DD">
        <w:t>(7</w:t>
      </w:r>
      <w:r w:rsidR="003308DD" w:rsidRPr="003308DD">
        <w:t>.11</w:t>
      </w:r>
      <w:r w:rsidR="00BF370A" w:rsidRPr="003308DD">
        <w:t>)</w:t>
      </w:r>
    </w:p>
    <w:p w:rsidR="00F65192" w:rsidRDefault="00F65192" w:rsidP="00F65192">
      <w:pPr>
        <w:spacing w:line="360" w:lineRule="auto"/>
        <w:contextualSpacing/>
        <w:jc w:val="both"/>
      </w:pPr>
      <w:r w:rsidRPr="00F65192">
        <w:t>Από την (</w:t>
      </w:r>
      <w:r w:rsidR="00BF370A">
        <w:t>7</w:t>
      </w:r>
      <w:r w:rsidR="003308DD">
        <w:t>.11)</w:t>
      </w:r>
      <w:r w:rsidRPr="00F65192">
        <w:t xml:space="preserve"> γίνεται κατανοητό ότι εάν</w:t>
      </w:r>
      <w:r w:rsidR="00BF370A">
        <w:t xml:space="preserve"> το ξένο νόμισμα πωλείται με προθεσμιακό </w:t>
      </w:r>
      <w:proofErr w:type="spellStart"/>
      <w:r w:rsidR="00BF370A">
        <w:t>πρίμ</w:t>
      </w:r>
      <w:proofErr w:type="spellEnd"/>
      <w:r w:rsidRPr="00F65192">
        <w:t xml:space="preserve"> </w:t>
      </w:r>
      <w:r w:rsidR="00DB3597" w:rsidRPr="00DB3597">
        <w:rPr>
          <w:position w:val="-12"/>
          <w:lang w:val="en-GB"/>
        </w:rPr>
        <w:object w:dxaOrig="740" w:dyaOrig="360">
          <v:shape id="_x0000_i1047" type="#_x0000_t75" style="width:37.55pt;height:19.4pt" o:ole="" fillcolor="window">
            <v:imagedata r:id="rId58" o:title=""/>
          </v:shape>
          <o:OLEObject Type="Embed" ProgID="Equation.3" ShapeID="_x0000_i1047" DrawAspect="Content" ObjectID="_1475064860" r:id="rId59"/>
        </w:object>
      </w:r>
      <w:r w:rsidRPr="00F65192">
        <w:t xml:space="preserve">, τότε </w:t>
      </w:r>
      <w:r w:rsidR="00BF370A">
        <w:t xml:space="preserve">η διαφορά επιτοκίων μεταξύ εγχώριων και ξένων επιτοκίων θα πρέπει να γίνει θετική </w:t>
      </w:r>
      <w:r w:rsidR="00BF370A" w:rsidRPr="00BF370A">
        <w:rPr>
          <w:position w:val="-14"/>
          <w:lang w:val="en-GB"/>
        </w:rPr>
        <w:object w:dxaOrig="1219" w:dyaOrig="380">
          <v:shape id="_x0000_i1048" type="#_x0000_t75" style="width:60.1pt;height:19.4pt" o:ole="" fillcolor="window">
            <v:imagedata r:id="rId60" o:title=""/>
          </v:shape>
          <o:OLEObject Type="Embed" ProgID="Equation.3" ShapeID="_x0000_i1048" DrawAspect="Content" ObjectID="_1475064861" r:id="rId61"/>
        </w:object>
      </w:r>
      <w:r w:rsidR="00BF370A">
        <w:t>ώστε να ισχύει η ισοδυναμία. Με άλλα λόγια</w:t>
      </w:r>
      <w:r w:rsidR="00656207">
        <w:t>,</w:t>
      </w:r>
      <w:r w:rsidR="00BF370A">
        <w:t xml:space="preserve"> </w:t>
      </w:r>
      <w:r w:rsidRPr="00F65192">
        <w:t>παρατηρείται μαζική εισροή επενδυτικών κεφαλαίων στην εγχώρια οικονομία, υπερβάλλουσα ζήτηση ξένου νομίσματος στην προθεσμιακή αγορά</w:t>
      </w:r>
      <w:r w:rsidR="00656207">
        <w:t>,</w:t>
      </w:r>
      <w:r w:rsidRPr="00F65192">
        <w:t xml:space="preserve"> και τάση ανατίμησης του. Εάν, </w:t>
      </w:r>
      <w:r w:rsidR="00BF370A">
        <w:t xml:space="preserve">όμως το ξένο νόμισμα πωλείται με προθεσμιακή έκπτωση </w:t>
      </w:r>
      <w:r w:rsidR="00BF370A" w:rsidRPr="00BF370A">
        <w:rPr>
          <w:position w:val="-12"/>
          <w:lang w:val="en-GB"/>
        </w:rPr>
        <w:object w:dxaOrig="740" w:dyaOrig="360">
          <v:shape id="_x0000_i1049" type="#_x0000_t75" style="width:37.55pt;height:19.4pt" o:ole="" fillcolor="window">
            <v:imagedata r:id="rId62" o:title=""/>
          </v:shape>
          <o:OLEObject Type="Embed" ProgID="Equation.3" ShapeID="_x0000_i1049" DrawAspect="Content" ObjectID="_1475064862" r:id="rId63"/>
        </w:object>
      </w:r>
      <w:r w:rsidRPr="00F65192">
        <w:t xml:space="preserve">, τότε </w:t>
      </w:r>
      <w:r w:rsidR="00BF370A" w:rsidRPr="00BF370A">
        <w:rPr>
          <w:position w:val="-14"/>
          <w:lang w:val="en-GB"/>
        </w:rPr>
        <w:object w:dxaOrig="1219" w:dyaOrig="380">
          <v:shape id="_x0000_i1050" type="#_x0000_t75" style="width:60.1pt;height:19.4pt" o:ole="" fillcolor="window">
            <v:imagedata r:id="rId64" o:title=""/>
          </v:shape>
          <o:OLEObject Type="Embed" ProgID="Equation.3" ShapeID="_x0000_i1050" DrawAspect="Content" ObjectID="_1475064863" r:id="rId65"/>
        </w:object>
      </w:r>
      <w:r w:rsidRPr="00F65192">
        <w:t xml:space="preserve">και παρατηρείται μαζική εκροή κεφαλαίων προς την </w:t>
      </w:r>
      <w:r w:rsidRPr="00F65192">
        <w:lastRenderedPageBreak/>
        <w:t>αλλοδαπή, υπερβάλλουσα ζήτηση εγχώριου νομίσματος στην προθεσμιακή αγορά και τάση υποτίμησης του ξένου.</w:t>
      </w:r>
      <w:r w:rsidR="00C66E22">
        <w:t xml:space="preserve"> Η γραφική απεικόνιση όλων αυτών παρουσιάζεται στο επόμενο </w:t>
      </w:r>
      <w:r w:rsidR="00656207">
        <w:t>γράφημα</w:t>
      </w:r>
      <w:r w:rsidR="00C66E22">
        <w:t>.</w:t>
      </w:r>
    </w:p>
    <w:p w:rsidR="00656207" w:rsidRPr="00BD38DC" w:rsidRDefault="00656207" w:rsidP="00F65192">
      <w:pPr>
        <w:spacing w:line="360" w:lineRule="auto"/>
        <w:contextualSpacing/>
        <w:jc w:val="both"/>
      </w:pPr>
    </w:p>
    <w:p w:rsidR="00EB25F5" w:rsidRPr="00EB25F5" w:rsidRDefault="00EB25F5" w:rsidP="00656207">
      <w:pPr>
        <w:contextualSpacing/>
        <w:jc w:val="center"/>
      </w:pPr>
      <w:r w:rsidRPr="00C20231">
        <w:rPr>
          <w:b/>
        </w:rPr>
        <w:t>Γράφημα</w:t>
      </w:r>
      <w:r w:rsidR="00AF4096">
        <w:rPr>
          <w:b/>
        </w:rPr>
        <w:t xml:space="preserve"> 7.</w:t>
      </w:r>
      <w:r w:rsidR="00AF4096" w:rsidRPr="00F95936">
        <w:rPr>
          <w:b/>
        </w:rPr>
        <w:t>7</w:t>
      </w:r>
      <w:r w:rsidR="00C20231">
        <w:rPr>
          <w:b/>
        </w:rPr>
        <w:t xml:space="preserve"> </w:t>
      </w:r>
      <w:r>
        <w:t>Καλυμμένο αρμπιτράζ επιτοκίων</w:t>
      </w:r>
    </w:p>
    <w:p w:rsidR="00C66E22" w:rsidRPr="00C20231" w:rsidRDefault="00EB25F5" w:rsidP="00EB25F5">
      <w:pPr>
        <w:spacing w:line="360" w:lineRule="auto"/>
        <w:contextualSpacing/>
        <w:jc w:val="center"/>
      </w:pPr>
      <w:r>
        <w:rPr>
          <w:noProof/>
        </w:rPr>
        <w:drawing>
          <wp:inline distT="0" distB="0" distL="0" distR="0">
            <wp:extent cx="3517900" cy="2615076"/>
            <wp:effectExtent l="19050" t="19050" r="25400" b="13970"/>
            <wp:docPr id="47118" name="Εικόνα 4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x_3.jpg"/>
                    <pic:cNvPicPr/>
                  </pic:nvPicPr>
                  <pic:blipFill rotWithShape="1">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1188" b="35851"/>
                    <a:stretch/>
                  </pic:blipFill>
                  <pic:spPr bwMode="auto">
                    <a:xfrm>
                      <a:off x="0" y="0"/>
                      <a:ext cx="3516001" cy="2613664"/>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6207" w:rsidRDefault="00656207" w:rsidP="00656207">
      <w:pPr>
        <w:spacing w:line="360" w:lineRule="auto"/>
        <w:ind w:firstLine="720"/>
        <w:contextualSpacing/>
        <w:jc w:val="both"/>
      </w:pPr>
    </w:p>
    <w:p w:rsidR="00BF370A" w:rsidRDefault="00C66E22" w:rsidP="00656207">
      <w:pPr>
        <w:spacing w:line="360" w:lineRule="auto"/>
        <w:ind w:firstLine="720"/>
        <w:contextualSpacing/>
        <w:jc w:val="both"/>
      </w:pPr>
      <w:r>
        <w:t>Πιο συγκεκριμένα το ΚΑ</w:t>
      </w:r>
      <w:r w:rsidR="00BF370A">
        <w:t>Ε (γραμμή 45</w:t>
      </w:r>
      <w:r w:rsidR="00BF370A" w:rsidRPr="00C66E22">
        <w:rPr>
          <w:vertAlign w:val="superscript"/>
        </w:rPr>
        <w:t>ο</w:t>
      </w:r>
      <w:r w:rsidR="00BF370A">
        <w:t>) είναι ο γεωμε</w:t>
      </w:r>
      <w:r>
        <w:t xml:space="preserve">τρικός τόπος των συνδυασμών της </w:t>
      </w:r>
      <w:proofErr w:type="spellStart"/>
      <w:r w:rsidR="00BF370A">
        <w:t>επιτοκιακής</w:t>
      </w:r>
      <w:proofErr w:type="spellEnd"/>
      <w:r w:rsidR="00BF370A">
        <w:t xml:space="preserve"> διαφοράς και της προθεσμιακής διαφοράς για τους οποίους</w:t>
      </w:r>
      <w:r>
        <w:t xml:space="preserve"> </w:t>
      </w:r>
      <w:r w:rsidR="00BF370A">
        <w:t xml:space="preserve">ικανοποιείται η </w:t>
      </w:r>
      <w:r w:rsidR="00BF370A" w:rsidRPr="003308DD">
        <w:t xml:space="preserve">σχέση </w:t>
      </w:r>
      <w:r w:rsidRPr="003308DD">
        <w:t>(7</w:t>
      </w:r>
      <w:r w:rsidR="003308DD" w:rsidRPr="003308DD">
        <w:t>.11</w:t>
      </w:r>
      <w:r w:rsidRPr="003308DD">
        <w:t>)</w:t>
      </w:r>
      <w:r w:rsidR="00BF370A" w:rsidRPr="003308DD">
        <w:t xml:space="preserve">. </w:t>
      </w:r>
      <w:r w:rsidR="00BF370A">
        <w:t>Όλα τα σημεία πάνω στην ΚΑΕ υποδηλώνουν ότι</w:t>
      </w:r>
      <w:r>
        <w:t xml:space="preserve"> </w:t>
      </w:r>
      <w:r w:rsidR="00BF370A">
        <w:t>ο επενδυτής είναι αδιάφορος μεταξύ των δύο επενδυτικών επιλογών που έχει.</w:t>
      </w:r>
      <w:r>
        <w:t xml:space="preserve"> </w:t>
      </w:r>
      <w:r w:rsidR="00BF370A">
        <w:t>Τα σημεία που βρίσκονται κάτω και δεξιά της ΚΑΕ (όπως το Β) περιγράφουν</w:t>
      </w:r>
      <w:r>
        <w:t xml:space="preserve"> </w:t>
      </w:r>
      <w:r w:rsidR="00EB25F5">
        <w:t>συνδυασμούς για τους οποίους δεν</w:t>
      </w:r>
      <w:r w:rsidR="00BF370A">
        <w:t xml:space="preserve"> ισχύει η ΚΑΕ. Συγκεκριμένα στο Β</w:t>
      </w:r>
      <w:r>
        <w:t xml:space="preserve"> </w:t>
      </w:r>
      <w:r w:rsidR="00BF370A">
        <w:t>έχουμε:</w:t>
      </w:r>
    </w:p>
    <w:p w:rsidR="00C66E22" w:rsidRDefault="00C66E22" w:rsidP="00656207">
      <w:pPr>
        <w:spacing w:line="360" w:lineRule="auto"/>
        <w:ind w:left="720" w:firstLine="720"/>
        <w:contextualSpacing/>
        <w:jc w:val="both"/>
      </w:pPr>
      <w:r w:rsidRPr="00DB3597">
        <w:rPr>
          <w:position w:val="-30"/>
          <w:lang w:val="en-GB"/>
        </w:rPr>
        <w:object w:dxaOrig="1840" w:dyaOrig="700">
          <v:shape id="_x0000_i1051" type="#_x0000_t75" style="width:91.4pt;height:34.45pt" o:ole="" fillcolor="window">
            <v:imagedata r:id="rId67" o:title=""/>
          </v:shape>
          <o:OLEObject Type="Embed" ProgID="Equation.3" ShapeID="_x0000_i1051" DrawAspect="Content" ObjectID="_1475064864" r:id="rId68"/>
        </w:object>
      </w:r>
      <w:r w:rsidR="00BF370A">
        <w:t xml:space="preserve"> δηλαδή </w:t>
      </w:r>
      <m:oMath>
        <m:sSub>
          <m:sSubPr>
            <m:ctrlPr>
              <w:rPr>
                <w:rFonts w:ascii="Cambria Math" w:hAnsi="Cambria Math"/>
                <w:i/>
                <w:lang w:val="en-GB"/>
              </w:rPr>
            </m:ctrlPr>
          </m:sSubPr>
          <m:e>
            <m:r>
              <w:rPr>
                <w:rFonts w:ascii="Cambria Math" w:hAnsi="Cambria Math"/>
                <w:lang w:val="en-GB"/>
              </w:rPr>
              <m:t>Π</m:t>
            </m:r>
          </m:e>
          <m:sub>
            <m:r>
              <w:rPr>
                <w:rFonts w:ascii="Cambria Math" w:hAnsi="Cambria Math"/>
                <w:lang w:val="en-GB"/>
              </w:rPr>
              <m:t>d</m:t>
            </m:r>
          </m:sub>
        </m:sSub>
        <m:r>
          <w:rPr>
            <w:rFonts w:ascii="Cambria Math" w:hAnsi="Cambria Math"/>
          </w:rPr>
          <m:t>&gt;</m:t>
        </m:r>
        <m:sSub>
          <m:sSubPr>
            <m:ctrlPr>
              <w:rPr>
                <w:rFonts w:ascii="Cambria Math" w:hAnsi="Cambria Math"/>
                <w:i/>
                <w:lang w:val="en-US"/>
              </w:rPr>
            </m:ctrlPr>
          </m:sSubPr>
          <m:e>
            <m:r>
              <w:rPr>
                <w:rFonts w:ascii="Cambria Math" w:hAnsi="Cambria Math"/>
              </w:rPr>
              <m:t>Π</m:t>
            </m:r>
          </m:e>
          <m:sub>
            <m:r>
              <w:rPr>
                <w:rFonts w:ascii="Cambria Math" w:hAnsi="Cambria Math"/>
                <w:lang w:val="en-US"/>
              </w:rPr>
              <m:t>f</m:t>
            </m:r>
          </m:sub>
        </m:sSub>
        <m:r>
          <m:rPr>
            <m:sty m:val="p"/>
          </m:rPr>
          <w:rPr>
            <w:rFonts w:ascii="Cambria Math" w:hAnsi="Cambria Math"/>
          </w:rPr>
          <m:t xml:space="preserve"> </m:t>
        </m:r>
      </m:oMath>
    </w:p>
    <w:p w:rsidR="00C66E22" w:rsidRDefault="00BF370A" w:rsidP="00B66811">
      <w:pPr>
        <w:spacing w:line="360" w:lineRule="auto"/>
        <w:contextualSpacing/>
        <w:jc w:val="both"/>
      </w:pPr>
      <w:r>
        <w:t>Για αυτούς τους συνδυασμούς, τα εγχώρια ομόλογα (</w:t>
      </w:r>
      <w:r w:rsidR="00CD0F9F">
        <w:t>Α</w:t>
      </w:r>
      <w:r w:rsidR="00C66E22">
        <w:t xml:space="preserve">μερικάνικα) είναι πιο </w:t>
      </w:r>
      <w:r>
        <w:t>ελκυστικά από τα ομόλογα της αλλοδαπής (</w:t>
      </w:r>
      <w:r w:rsidR="00CD0F9F">
        <w:t>Γ</w:t>
      </w:r>
      <w:r w:rsidR="00C66E22">
        <w:t>ερμανικά). Ο</w:t>
      </w:r>
      <w:r>
        <w:t xml:space="preserve">ι επενδυτές που έχουν </w:t>
      </w:r>
      <w:r w:rsidR="00C66E22">
        <w:t>Ευρώ</w:t>
      </w:r>
      <w:r w:rsidR="00C66E22" w:rsidRPr="00C66E22">
        <w:t xml:space="preserve"> </w:t>
      </w:r>
      <w:r w:rsidR="00C66E22">
        <w:t>θα προβούν</w:t>
      </w:r>
      <w:r w:rsidR="00C66E22" w:rsidRPr="00C66E22">
        <w:t xml:space="preserve"> </w:t>
      </w:r>
      <w:r w:rsidR="00C66E22">
        <w:t>στις ακόλουθες ενέργειες</w:t>
      </w:r>
      <w:r w:rsidR="00DC68A6">
        <w:t xml:space="preserve">. </w:t>
      </w:r>
      <w:r w:rsidR="00EF0C8A" w:rsidRPr="00DC68A6">
        <w:rPr>
          <w:b/>
        </w:rPr>
        <w:t>Πρώτα,</w:t>
      </w:r>
      <w:r w:rsidR="00EF0C8A">
        <w:t xml:space="preserve"> θα που</w:t>
      </w:r>
      <w:r w:rsidR="00C66E22" w:rsidRPr="00C66E22">
        <w:t xml:space="preserve">λήσουν </w:t>
      </w:r>
      <w:r w:rsidR="00C66E22">
        <w:t>ευρώ</w:t>
      </w:r>
      <w:r w:rsidR="00C66E22" w:rsidRPr="00C66E22">
        <w:t xml:space="preserve"> έναντι </w:t>
      </w:r>
      <w:r w:rsidR="00C66E22">
        <w:t>δολαρίων</w:t>
      </w:r>
      <w:r w:rsidR="00C66E22" w:rsidRPr="00C66E22">
        <w:t xml:space="preserve"> στην</w:t>
      </w:r>
      <w:r w:rsidR="00C66E22">
        <w:t xml:space="preserve"> τρέχουσα αγορά</w:t>
      </w:r>
      <w:r w:rsidR="00C66E22" w:rsidRPr="00C66E22">
        <w:t xml:space="preserve">, προκαλώντας την ανατίμηση του </w:t>
      </w:r>
      <w:r w:rsidR="00FD66AA">
        <w:t>$</w:t>
      </w:r>
      <w:r w:rsidR="00C66E22" w:rsidRPr="00C66E22">
        <w:t xml:space="preserve"> και την υποτίμηση του </w:t>
      </w:r>
      <w:r w:rsidR="00FD66AA">
        <w:t>ευρώ άμεσα</w:t>
      </w:r>
      <w:r w:rsidR="00C66E22" w:rsidRPr="00C66E22">
        <w:t>.</w:t>
      </w:r>
      <w:r w:rsidR="00FD66AA">
        <w:t xml:space="preserve"> </w:t>
      </w:r>
      <w:r w:rsidR="00FD66AA" w:rsidRPr="00DC68A6">
        <w:rPr>
          <w:b/>
        </w:rPr>
        <w:t>Στην συνέχεια</w:t>
      </w:r>
      <w:r w:rsidR="00FD66AA">
        <w:t xml:space="preserve"> θα </w:t>
      </w:r>
      <w:r w:rsidR="00C66E22" w:rsidRPr="00C66E22">
        <w:t xml:space="preserve">επενδύσουν τα </w:t>
      </w:r>
      <w:r w:rsidR="00FD66AA">
        <w:t>$</w:t>
      </w:r>
      <w:r w:rsidR="00C66E22" w:rsidRPr="00C66E22">
        <w:t xml:space="preserve"> σε</w:t>
      </w:r>
      <w:r w:rsidR="00FD66AA">
        <w:t xml:space="preserve"> αμερικανικά</w:t>
      </w:r>
      <w:r w:rsidR="00C66E22" w:rsidRPr="00C66E22">
        <w:t xml:space="preserve"> ομόλογα. Αυτή η εισροή κεφαλαίων στη </w:t>
      </w:r>
      <w:r w:rsidR="00FD66AA">
        <w:t>Αμερική</w:t>
      </w:r>
      <w:r w:rsidR="00C66E22" w:rsidRPr="00C66E22">
        <w:t xml:space="preserve"> θα προκαλέσει </w:t>
      </w:r>
      <w:r w:rsidR="00EF0C8A">
        <w:t xml:space="preserve">αύξηση των τιμών των αμερικανικών ομολόγων και αντίστοιχα </w:t>
      </w:r>
      <w:r w:rsidR="00C66E22" w:rsidRPr="00C66E22">
        <w:t xml:space="preserve">πτώση του </w:t>
      </w:r>
      <w:r w:rsidR="00FD66AA">
        <w:t>αμερικανικού επιτοκίου (</w:t>
      </w:r>
      <w:r w:rsidR="00FD66AA" w:rsidRPr="00EF0C8A">
        <w:rPr>
          <w:lang w:val="en-US"/>
        </w:rPr>
        <w:t>i</w:t>
      </w:r>
      <w:r w:rsidR="00FD66AA" w:rsidRPr="00EF0C8A">
        <w:rPr>
          <w:vertAlign w:val="subscript"/>
          <w:lang w:val="en-US"/>
        </w:rPr>
        <w:t>d</w:t>
      </w:r>
      <w:r w:rsidR="00C66E22" w:rsidRPr="00C66E22">
        <w:t>)</w:t>
      </w:r>
      <w:r w:rsidR="00EF0C8A">
        <w:t>,</w:t>
      </w:r>
      <w:r w:rsidR="00C66E22" w:rsidRPr="00C66E22">
        <w:t xml:space="preserve"> και η εκροή κεφαλαίων από </w:t>
      </w:r>
      <w:r w:rsidR="00FD66AA">
        <w:t>την Ευρώπη</w:t>
      </w:r>
      <w:r w:rsidR="00C66E22" w:rsidRPr="00C66E22">
        <w:t xml:space="preserve"> θα προκαλέσει</w:t>
      </w:r>
      <w:r w:rsidR="00EF0C8A">
        <w:t xml:space="preserve"> πτώση των τιμών των </w:t>
      </w:r>
      <w:r w:rsidR="00EF0C8A">
        <w:lastRenderedPageBreak/>
        <w:t>ομολόγων και αντίστοιχα</w:t>
      </w:r>
      <w:r w:rsidR="00C66E22" w:rsidRPr="00C66E22">
        <w:t xml:space="preserve"> αύξηση του </w:t>
      </w:r>
      <w:r w:rsidR="00FD66AA">
        <w:t>ευρωπαϊκού</w:t>
      </w:r>
      <w:r w:rsidR="00C66E22" w:rsidRPr="00C66E22">
        <w:t xml:space="preserve"> επιτοκίου (</w:t>
      </w:r>
      <w:r w:rsidR="00FD66AA" w:rsidRPr="00EF0C8A">
        <w:rPr>
          <w:lang w:val="en-US"/>
        </w:rPr>
        <w:t>i</w:t>
      </w:r>
      <w:r w:rsidR="00FD66AA" w:rsidRPr="00EF0C8A">
        <w:rPr>
          <w:vertAlign w:val="subscript"/>
          <w:lang w:val="en-US"/>
        </w:rPr>
        <w:t>f</w:t>
      </w:r>
      <w:r w:rsidR="00C66E22" w:rsidRPr="00C66E22">
        <w:t xml:space="preserve">). </w:t>
      </w:r>
      <w:r w:rsidR="00EF0C8A" w:rsidRPr="00DC68A6">
        <w:rPr>
          <w:b/>
        </w:rPr>
        <w:t xml:space="preserve">Στην ίδια χρονική στιγμή </w:t>
      </w:r>
      <w:r w:rsidR="00DC68A6">
        <w:t>ο συναλλαγματικός κίνδυνος αντισταθμίζεται από την πώληση δολαρίων</w:t>
      </w:r>
      <w:r w:rsidR="00C66E22" w:rsidRPr="00C66E22">
        <w:t xml:space="preserve"> έναντι </w:t>
      </w:r>
      <w:r w:rsidR="00656207">
        <w:t>ε</w:t>
      </w:r>
      <w:r w:rsidR="00FD66AA">
        <w:t>υρώ</w:t>
      </w:r>
      <w:r w:rsidR="00C66E22" w:rsidRPr="00C66E22">
        <w:t xml:space="preserve"> στην π</w:t>
      </w:r>
      <w:r w:rsidR="00656207">
        <w:t>ροθεσμιακή αγορά συναλλάγματος</w:t>
      </w:r>
      <w:r w:rsidR="00DC68A6">
        <w:t>.</w:t>
      </w:r>
      <w:r w:rsidR="00C66E22" w:rsidRPr="00C66E22">
        <w:t xml:space="preserve"> </w:t>
      </w:r>
      <w:r w:rsidR="00DC68A6">
        <w:t>Αυτό οδηγεί σ</w:t>
      </w:r>
      <w:r w:rsidR="00C66E22" w:rsidRPr="00C66E22">
        <w:t xml:space="preserve">την ανατίμηση της προθεσμιακής τιμής του </w:t>
      </w:r>
      <w:r w:rsidR="00FD66AA" w:rsidRPr="00C66E22">
        <w:t xml:space="preserve">ευρώ </w:t>
      </w:r>
      <w:r w:rsidR="00C66E22" w:rsidRPr="00C66E22">
        <w:t xml:space="preserve">και </w:t>
      </w:r>
      <w:r w:rsidR="00DC68A6">
        <w:t>σ</w:t>
      </w:r>
      <w:r w:rsidR="00C66E22" w:rsidRPr="00C66E22">
        <w:t xml:space="preserve">την υποτίμηση της προθεσμιακής τιμής του </w:t>
      </w:r>
      <w:r w:rsidR="00FD66AA" w:rsidRPr="00C66E22">
        <w:t>δολαρίου</w:t>
      </w:r>
      <w:r w:rsidR="00C66E22" w:rsidRPr="00C66E22">
        <w:t xml:space="preserve">. Όλες αυτές οι </w:t>
      </w:r>
      <w:r w:rsidR="00EA4C3A">
        <w:t xml:space="preserve">κινήσεις </w:t>
      </w:r>
      <w:r w:rsidR="00CB279C" w:rsidRPr="00C66E22">
        <w:t xml:space="preserve">γνωστές ως εσωτερικό </w:t>
      </w:r>
      <w:r w:rsidR="00CB279C">
        <w:t>ΚΑΕ</w:t>
      </w:r>
      <w:r w:rsidR="00CB279C" w:rsidRPr="00C66E22">
        <w:t xml:space="preserve"> </w:t>
      </w:r>
      <w:r w:rsidR="00C66E22" w:rsidRPr="00C66E22">
        <w:t xml:space="preserve">θα </w:t>
      </w:r>
      <w:r w:rsidR="00EA4C3A">
        <w:t>λάβουν τέλος</w:t>
      </w:r>
      <w:r w:rsidR="00C66E22" w:rsidRPr="00C66E22">
        <w:t xml:space="preserve"> όταν το Β μετατοπιστεί προς τα επάνω και αριστερά σε κάποιο σημείο επί της ΚΑΕ. </w:t>
      </w:r>
    </w:p>
    <w:p w:rsidR="00BF370A" w:rsidRDefault="00EB25F5" w:rsidP="00B66811">
      <w:pPr>
        <w:spacing w:line="360" w:lineRule="auto"/>
        <w:ind w:firstLine="720"/>
        <w:contextualSpacing/>
        <w:jc w:val="both"/>
      </w:pPr>
      <w:r>
        <w:t xml:space="preserve">Αντίστοιχα για τα σημεία </w:t>
      </w:r>
      <w:r w:rsidR="00C66E22" w:rsidRPr="00C66E22">
        <w:t xml:space="preserve">που βρίσκονται πάνω και αριστερά της ΚΑΕ (όπως το Γ) </w:t>
      </w:r>
      <w:r w:rsidR="00397746" w:rsidRPr="00EB25F5">
        <w:t xml:space="preserve">τα ξένα ομόλογα είναι πιο ελκυστικά από τα εγχώρια. </w:t>
      </w:r>
      <w:r w:rsidR="00397746">
        <w:t>Ι</w:t>
      </w:r>
      <w:r w:rsidR="00C66E22" w:rsidRPr="00C66E22">
        <w:t>σχύει</w:t>
      </w:r>
      <w:r w:rsidR="00397746">
        <w:t xml:space="preserve"> ότι</w:t>
      </w:r>
      <w:r w:rsidR="00C66E22" w:rsidRPr="00C66E22">
        <w:t>:</w:t>
      </w:r>
    </w:p>
    <w:p w:rsidR="00397746" w:rsidRDefault="00397746" w:rsidP="00B66811">
      <w:pPr>
        <w:spacing w:line="360" w:lineRule="auto"/>
        <w:ind w:left="1440" w:firstLine="720"/>
        <w:contextualSpacing/>
        <w:jc w:val="both"/>
      </w:pPr>
      <w:r w:rsidRPr="00DB3597">
        <w:rPr>
          <w:position w:val="-30"/>
          <w:lang w:val="en-GB"/>
        </w:rPr>
        <w:object w:dxaOrig="1740" w:dyaOrig="680">
          <v:shape id="_x0000_i1052" type="#_x0000_t75" style="width:87.05pt;height:34.45pt" o:ole="" fillcolor="window">
            <v:imagedata r:id="rId69" o:title=""/>
          </v:shape>
          <o:OLEObject Type="Embed" ProgID="Equation.3" ShapeID="_x0000_i1052" DrawAspect="Content" ObjectID="_1475064865" r:id="rId70"/>
        </w:object>
      </w:r>
      <w:r>
        <w:t xml:space="preserve"> δηλαδή </w:t>
      </w:r>
      <m:oMath>
        <m:sSub>
          <m:sSubPr>
            <m:ctrlPr>
              <w:rPr>
                <w:rFonts w:ascii="Cambria Math" w:hAnsi="Cambria Math"/>
                <w:i/>
                <w:lang w:val="en-GB"/>
              </w:rPr>
            </m:ctrlPr>
          </m:sSubPr>
          <m:e>
            <m:r>
              <w:rPr>
                <w:rFonts w:ascii="Cambria Math" w:hAnsi="Cambria Math"/>
                <w:lang w:val="en-GB"/>
              </w:rPr>
              <m:t>Π</m:t>
            </m:r>
          </m:e>
          <m:sub>
            <m:r>
              <w:rPr>
                <w:rFonts w:ascii="Cambria Math" w:hAnsi="Cambria Math"/>
                <w:lang w:val="en-GB"/>
              </w:rPr>
              <m:t>d</m:t>
            </m:r>
          </m:sub>
        </m:sSub>
        <m:r>
          <w:rPr>
            <w:rFonts w:ascii="Cambria Math" w:hAnsi="Cambria Math"/>
          </w:rPr>
          <m:t>&lt;</m:t>
        </m:r>
        <m:sSub>
          <m:sSubPr>
            <m:ctrlPr>
              <w:rPr>
                <w:rFonts w:ascii="Cambria Math" w:hAnsi="Cambria Math"/>
                <w:i/>
                <w:lang w:val="en-US"/>
              </w:rPr>
            </m:ctrlPr>
          </m:sSubPr>
          <m:e>
            <m:r>
              <w:rPr>
                <w:rFonts w:ascii="Cambria Math" w:hAnsi="Cambria Math"/>
              </w:rPr>
              <m:t>Π</m:t>
            </m:r>
          </m:e>
          <m:sub>
            <m:r>
              <w:rPr>
                <w:rFonts w:ascii="Cambria Math" w:hAnsi="Cambria Math"/>
                <w:lang w:val="en-US"/>
              </w:rPr>
              <m:t>f</m:t>
            </m:r>
          </m:sub>
        </m:sSub>
        <m:r>
          <m:rPr>
            <m:sty m:val="p"/>
          </m:rPr>
          <w:rPr>
            <w:rFonts w:ascii="Cambria Math" w:hAnsi="Cambria Math"/>
          </w:rPr>
          <m:t xml:space="preserve"> </m:t>
        </m:r>
      </m:oMath>
    </w:p>
    <w:p w:rsidR="00BF370A" w:rsidRDefault="00397746" w:rsidP="00397746">
      <w:pPr>
        <w:spacing w:line="360" w:lineRule="auto"/>
        <w:contextualSpacing/>
        <w:jc w:val="both"/>
      </w:pPr>
      <w:r>
        <w:t>Με βάση αυτή την παρατήρηση ο</w:t>
      </w:r>
      <w:r w:rsidRPr="00EB25F5">
        <w:t>ι επενδυτές</w:t>
      </w:r>
      <w:r w:rsidR="00DC68A6">
        <w:t xml:space="preserve"> θα προβούν στις εξής ενέργειες. </w:t>
      </w:r>
      <w:r w:rsidR="00EF0C8A" w:rsidRPr="00DC68A6">
        <w:rPr>
          <w:b/>
        </w:rPr>
        <w:t>Πρώτα</w:t>
      </w:r>
      <w:r w:rsidR="00DC68A6" w:rsidRPr="00DC68A6">
        <w:t>,</w:t>
      </w:r>
      <w:r w:rsidR="00EF0C8A">
        <w:t xml:space="preserve"> θα που</w:t>
      </w:r>
      <w:r w:rsidRPr="00EB25F5">
        <w:t xml:space="preserve">λήσουν </w:t>
      </w:r>
      <w:r>
        <w:t>δολ</w:t>
      </w:r>
      <w:r w:rsidR="00B66811">
        <w:t xml:space="preserve">άρια </w:t>
      </w:r>
      <w:r>
        <w:t xml:space="preserve">έναντι </w:t>
      </w:r>
      <w:r w:rsidRPr="00EB25F5">
        <w:t xml:space="preserve">ευρώ στην </w:t>
      </w:r>
      <w:r w:rsidR="00B66811">
        <w:t xml:space="preserve">τρέχουσα </w:t>
      </w:r>
      <w:r w:rsidRPr="00EB25F5">
        <w:t>αγορά, προκαλώντας την ανατίμηση του</w:t>
      </w:r>
      <w:r>
        <w:t xml:space="preserve"> ευρώ και την υποτίμηση του δολαρίου</w:t>
      </w:r>
      <w:r w:rsidRPr="00EB25F5">
        <w:t>.</w:t>
      </w:r>
      <w:r w:rsidR="00DC68A6">
        <w:t xml:space="preserve"> </w:t>
      </w:r>
      <w:r w:rsidR="00DC68A6" w:rsidRPr="00DC68A6">
        <w:rPr>
          <w:b/>
        </w:rPr>
        <w:t>Στην συνέχεια</w:t>
      </w:r>
      <w:r w:rsidR="00DC68A6">
        <w:t>, θ</w:t>
      </w:r>
      <w:r>
        <w:t>α επενδύσουν τα ευρώ σε ομόλογα της Γερμανίας</w:t>
      </w:r>
      <w:r w:rsidRPr="00EB25F5">
        <w:t xml:space="preserve">. Αυτή η εισροή κεφαλαίων </w:t>
      </w:r>
      <w:r>
        <w:t>στην Γερμανία θ</w:t>
      </w:r>
      <w:r w:rsidRPr="00EB25F5">
        <w:t xml:space="preserve">α προκαλέσει </w:t>
      </w:r>
      <w:r w:rsidR="00DC68A6">
        <w:t xml:space="preserve">άνοδο των τιμών των ομολόγων και αντίστοιχα </w:t>
      </w:r>
      <w:r w:rsidRPr="00EB25F5">
        <w:t>πτώ</w:t>
      </w:r>
      <w:r>
        <w:t>ση του ευρωπαϊκού επιτοκίου (</w:t>
      </w:r>
      <w:r w:rsidRPr="00397746">
        <w:rPr>
          <w:lang w:val="en-US"/>
        </w:rPr>
        <w:t>i</w:t>
      </w:r>
      <w:r w:rsidRPr="00397746">
        <w:rPr>
          <w:vertAlign w:val="subscript"/>
          <w:lang w:val="en-US"/>
        </w:rPr>
        <w:t>f</w:t>
      </w:r>
      <w:r w:rsidRPr="00EB25F5">
        <w:t>)</w:t>
      </w:r>
      <w:r w:rsidR="00DC68A6">
        <w:t>,</w:t>
      </w:r>
      <w:r w:rsidRPr="00EB25F5">
        <w:t xml:space="preserve"> και </w:t>
      </w:r>
      <w:r>
        <w:t>η εκροή κεφαλαίων από την Αμερική</w:t>
      </w:r>
      <w:r w:rsidRPr="00EB25F5">
        <w:t xml:space="preserve"> θα προκαλέσει </w:t>
      </w:r>
      <w:r w:rsidR="00DC68A6">
        <w:t xml:space="preserve">πτώση των τιμών των ομολόγων και αντίστοιχα </w:t>
      </w:r>
      <w:r w:rsidRPr="00EB25F5">
        <w:t>αύ</w:t>
      </w:r>
      <w:r>
        <w:t>ξηση του αμερικανικού επιτοκίου (</w:t>
      </w:r>
      <w:r w:rsidRPr="00397746">
        <w:rPr>
          <w:lang w:val="en-US"/>
        </w:rPr>
        <w:t>i</w:t>
      </w:r>
      <w:r w:rsidRPr="00397746">
        <w:rPr>
          <w:vertAlign w:val="subscript"/>
          <w:lang w:val="en-US"/>
        </w:rPr>
        <w:t>d</w:t>
      </w:r>
      <w:r w:rsidRPr="00EB25F5">
        <w:t>).</w:t>
      </w:r>
      <w:r w:rsidR="00DC68A6">
        <w:t xml:space="preserve"> </w:t>
      </w:r>
      <w:r w:rsidR="00DC68A6" w:rsidRPr="00DC68A6">
        <w:rPr>
          <w:b/>
        </w:rPr>
        <w:t>Τέλος</w:t>
      </w:r>
      <w:r w:rsidR="00DC68A6">
        <w:t xml:space="preserve">, και στην ίδια χρονική στιγμή ο συναλλαγματικός κίνδυνος αντισταθμίζεται από την πώληση </w:t>
      </w:r>
      <w:r w:rsidRPr="00EB25F5">
        <w:t xml:space="preserve">ευρώ έναντι </w:t>
      </w:r>
      <w:r>
        <w:t>δολαρίων</w:t>
      </w:r>
      <w:r w:rsidRPr="00EB25F5">
        <w:t xml:space="preserve"> στην π</w:t>
      </w:r>
      <w:r w:rsidR="00B66811">
        <w:t>ροθεσμιακή αγορά συναλλάγματος</w:t>
      </w:r>
      <w:r w:rsidR="00DC68A6">
        <w:t>. Συνέπεια αυτής της ενέργειας είναι η</w:t>
      </w:r>
      <w:r w:rsidRPr="00EB25F5">
        <w:t xml:space="preserve"> ανατίμηση</w:t>
      </w:r>
      <w:r>
        <w:t xml:space="preserve"> της προθεσμιακής τιμής του $</w:t>
      </w:r>
      <w:r w:rsidRPr="00EB25F5">
        <w:t xml:space="preserve"> και </w:t>
      </w:r>
      <w:r w:rsidR="00DC68A6">
        <w:t>η</w:t>
      </w:r>
      <w:r w:rsidRPr="00EB25F5">
        <w:t xml:space="preserve"> υποτίμηση της προθεσμιακής τιμής του </w:t>
      </w:r>
      <w:r>
        <w:t>ευρώ</w:t>
      </w:r>
      <w:r w:rsidRPr="00EB25F5">
        <w:t xml:space="preserve">. Όλες αυτές οι </w:t>
      </w:r>
      <w:r w:rsidR="00EA4C3A">
        <w:t xml:space="preserve">κινήσεις, </w:t>
      </w:r>
      <w:r w:rsidRPr="00EB25F5">
        <w:t xml:space="preserve">γνωστές ως </w:t>
      </w:r>
      <w:r w:rsidRPr="00EB25F5">
        <w:rPr>
          <w:b/>
          <w:bCs/>
        </w:rPr>
        <w:t xml:space="preserve">εξωτερικό </w:t>
      </w:r>
      <w:r w:rsidR="00EA4C3A">
        <w:t>ΚΑΕ,</w:t>
      </w:r>
      <w:r w:rsidRPr="00EB25F5">
        <w:t xml:space="preserve"> θα </w:t>
      </w:r>
      <w:r w:rsidR="00EA4C3A">
        <w:t>τελειώσουν</w:t>
      </w:r>
      <w:r w:rsidRPr="00EB25F5">
        <w:t xml:space="preserve"> όταν το Γ μετατοπιστεί προς τα κάτω και δεξιά σε κάποιο σημείο επί της ΚΑΕ.</w:t>
      </w:r>
    </w:p>
    <w:p w:rsidR="00857E70" w:rsidRDefault="00EF16D9" w:rsidP="003308DD">
      <w:pPr>
        <w:spacing w:line="360" w:lineRule="auto"/>
        <w:ind w:firstLine="720"/>
        <w:contextualSpacing/>
        <w:jc w:val="both"/>
      </w:pPr>
      <w:r>
        <w:t xml:space="preserve">Ανεξάρτητα από το αν είναι εσωτερικό ή εξωτερικό καλυμμένο αρμπιτράζ επιτοκίων στην </w:t>
      </w:r>
      <w:r w:rsidRPr="00EB25F5">
        <w:t>πραγματικότητα</w:t>
      </w:r>
      <w:r>
        <w:t xml:space="preserve"> τ</w:t>
      </w:r>
      <w:r w:rsidRPr="00EB25F5">
        <w:t>ο ΚΑΕ διεξάγεται κυρίως από</w:t>
      </w:r>
      <w:r>
        <w:t xml:space="preserve"> τις τράπεζες και τα λεγόμενα </w:t>
      </w:r>
      <w:r>
        <w:rPr>
          <w:lang w:val="en-US"/>
        </w:rPr>
        <w:t>Funds</w:t>
      </w:r>
      <w:r w:rsidRPr="00EF16D9">
        <w:t xml:space="preserve"> </w:t>
      </w:r>
      <w:r>
        <w:t>επαγγελματικά χαρτοφυλάκια διαχείρισης τίτλων</w:t>
      </w:r>
      <w:r w:rsidR="00857E70">
        <w:t>.</w:t>
      </w:r>
      <w:r w:rsidR="00397746" w:rsidRPr="00EB25F5">
        <w:t xml:space="preserve"> </w:t>
      </w:r>
      <w:r w:rsidR="00857E70">
        <w:t xml:space="preserve">Σύμφωνα με την βιβλιογραφία, οι αποκλίσεις </w:t>
      </w:r>
      <w:r w:rsidR="00EF0C8A" w:rsidRPr="00EF0C8A">
        <w:t>από τη συνθήκη του ΚΑΕ</w:t>
      </w:r>
      <w:r w:rsidR="00857E70">
        <w:t xml:space="preserve"> </w:t>
      </w:r>
      <w:r w:rsidR="00397746" w:rsidRPr="00EB25F5">
        <w:t>δεν συνεπάγονται και</w:t>
      </w:r>
      <w:r w:rsidR="00857E70">
        <w:t xml:space="preserve"> </w:t>
      </w:r>
      <w:r w:rsidR="00857E70" w:rsidRPr="00857E70">
        <w:t>την ύπαρξη ευκαιριών κέρδους</w:t>
      </w:r>
      <w:r w:rsidR="00857E70">
        <w:t xml:space="preserve"> αλλά συνήθως</w:t>
      </w:r>
      <w:r w:rsidR="00857E70" w:rsidRPr="00857E70">
        <w:t xml:space="preserve"> τ</w:t>
      </w:r>
      <w:r w:rsidR="00857E70">
        <w:t>ην ύπαρξη συναλλακτικού κόστους</w:t>
      </w:r>
      <w:r w:rsidR="00B66811">
        <w:t>,</w:t>
      </w:r>
      <w:r w:rsidR="00857E70">
        <w:t xml:space="preserve"> και</w:t>
      </w:r>
      <w:r w:rsidR="00857E70" w:rsidRPr="00857E70">
        <w:t xml:space="preserve"> κόστους π</w:t>
      </w:r>
      <w:r w:rsidR="00857E70">
        <w:t>ληροφόρησης</w:t>
      </w:r>
      <w:r w:rsidR="008F3E04">
        <w:t xml:space="preserve"> </w:t>
      </w:r>
      <w:r w:rsidR="00857E70" w:rsidRPr="00857E70">
        <w:t xml:space="preserve">στην αγορά συναλλάγματος. </w:t>
      </w:r>
      <w:r w:rsidR="00EA4C3A">
        <w:t xml:space="preserve">Εάν συμβολίσουμε με  </w:t>
      </w:r>
      <w:r w:rsidR="00EA4C3A">
        <w:rPr>
          <w:lang w:val="en-US"/>
        </w:rPr>
        <w:t>z</w:t>
      </w:r>
      <w:r w:rsidR="00EA4C3A">
        <w:t xml:space="preserve"> όλα αυτά τα κόστη, τ</w:t>
      </w:r>
      <w:r w:rsidR="00857E70">
        <w:t>ο γράφημα</w:t>
      </w:r>
      <w:r w:rsidR="00C20231">
        <w:t xml:space="preserve"> 7.</w:t>
      </w:r>
      <w:r w:rsidR="00CD0F9F">
        <w:t>9</w:t>
      </w:r>
      <w:r w:rsidR="00857E70">
        <w:t xml:space="preserve"> εμπεριέχει μια ουδέτερη ζώνη</w:t>
      </w:r>
      <w:r w:rsidR="00857E70" w:rsidRPr="00857E70">
        <w:t xml:space="preserve"> εκατέρωθεν της καμπύλης ΚΑΕ, η οποία και περιλαμβάνει το σύνολο των συνδυασμών </w:t>
      </w:r>
      <w:proofErr w:type="spellStart"/>
      <w:r w:rsidR="00857E70" w:rsidRPr="00857E70">
        <w:t>επιτοκιακής</w:t>
      </w:r>
      <w:proofErr w:type="spellEnd"/>
      <w:r w:rsidR="00857E70" w:rsidRPr="00857E70">
        <w:t xml:space="preserve"> </w:t>
      </w:r>
      <w:r w:rsidR="00857E70" w:rsidRPr="00857E70">
        <w:lastRenderedPageBreak/>
        <w:t>και προθεσμιακής διαφοράς για τους οποίους η άσκηση ΚΑΕ αποφέρει μηδενικό</w:t>
      </w:r>
      <w:r w:rsidR="00B66811">
        <w:t xml:space="preserve"> κέρδος</w:t>
      </w:r>
      <w:r w:rsidR="00857E70" w:rsidRPr="00857E70">
        <w:t xml:space="preserve"> ή ακόμη και </w:t>
      </w:r>
      <w:r w:rsidR="0005019E">
        <w:t>ζημία</w:t>
      </w:r>
      <w:r w:rsidR="00857E70" w:rsidRPr="00857E70">
        <w:t>.</w:t>
      </w:r>
    </w:p>
    <w:p w:rsidR="00857E70" w:rsidRPr="00857E70" w:rsidRDefault="008F3E04" w:rsidP="00B66811">
      <w:pPr>
        <w:spacing w:line="360" w:lineRule="auto"/>
        <w:ind w:left="1440" w:firstLine="720"/>
        <w:contextualSpacing/>
        <w:jc w:val="both"/>
      </w:pPr>
      <w:r w:rsidRPr="0005019E">
        <w:rPr>
          <w:position w:val="-32"/>
          <w:lang w:val="en-GB"/>
        </w:rPr>
        <w:object w:dxaOrig="2580" w:dyaOrig="760">
          <v:shape id="_x0000_i1053" type="#_x0000_t75" style="width:128.95pt;height:37.55pt" o:ole="" fillcolor="window">
            <v:imagedata r:id="rId71" o:title=""/>
          </v:shape>
          <o:OLEObject Type="Embed" ProgID="Equation.3" ShapeID="_x0000_i1053" DrawAspect="Content" ObjectID="_1475064866" r:id="rId72"/>
        </w:object>
      </w:r>
    </w:p>
    <w:p w:rsidR="00397746" w:rsidRDefault="00397746" w:rsidP="00397746">
      <w:pPr>
        <w:spacing w:line="360" w:lineRule="auto"/>
        <w:contextualSpacing/>
        <w:jc w:val="both"/>
      </w:pPr>
    </w:p>
    <w:p w:rsidR="00EB25F5" w:rsidRPr="00EB25F5" w:rsidRDefault="00EB25F5" w:rsidP="00EB25F5">
      <w:pPr>
        <w:spacing w:line="360" w:lineRule="auto"/>
        <w:contextualSpacing/>
        <w:jc w:val="center"/>
      </w:pPr>
      <w:r w:rsidRPr="00C20231">
        <w:rPr>
          <w:b/>
        </w:rPr>
        <w:t>Γράφημα</w:t>
      </w:r>
      <w:r w:rsidR="00C20231">
        <w:rPr>
          <w:b/>
        </w:rPr>
        <w:t xml:space="preserve"> 7.</w:t>
      </w:r>
      <w:r w:rsidR="00AF4096" w:rsidRPr="00AF4096">
        <w:rPr>
          <w:b/>
        </w:rPr>
        <w:t>9</w:t>
      </w:r>
      <w:r w:rsidR="00C20231">
        <w:rPr>
          <w:b/>
        </w:rPr>
        <w:t xml:space="preserve"> </w:t>
      </w:r>
      <w:r>
        <w:t>Καλυμμένο αρμπιτράζ επιτοκίων</w:t>
      </w:r>
      <w:r w:rsidR="008F3E04">
        <w:t xml:space="preserve"> και κόστος συναλλαγών</w:t>
      </w:r>
    </w:p>
    <w:p w:rsidR="00EB25F5" w:rsidRPr="00C20231" w:rsidRDefault="00EB25F5" w:rsidP="00EB25F5">
      <w:pPr>
        <w:spacing w:line="360" w:lineRule="auto"/>
        <w:contextualSpacing/>
        <w:jc w:val="center"/>
      </w:pPr>
      <w:r>
        <w:rPr>
          <w:noProof/>
        </w:rPr>
        <w:drawing>
          <wp:inline distT="0" distB="0" distL="0" distR="0">
            <wp:extent cx="3517900" cy="2438400"/>
            <wp:effectExtent l="19050" t="19050" r="25400" b="19050"/>
            <wp:docPr id="47119" name="Εικόνα 4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x_4.jpg"/>
                    <pic:cNvPicPr/>
                  </pic:nvPicPr>
                  <pic:blipFill rotWithShape="1">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173" b="26687"/>
                    <a:stretch/>
                  </pic:blipFill>
                  <pic:spPr bwMode="auto">
                    <a:xfrm>
                      <a:off x="0" y="0"/>
                      <a:ext cx="3517900" cy="2438400"/>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B25F5" w:rsidRPr="00EB25F5" w:rsidRDefault="00EB25F5" w:rsidP="00EB25F5">
      <w:pPr>
        <w:spacing w:line="360" w:lineRule="auto"/>
        <w:contextualSpacing/>
        <w:jc w:val="both"/>
      </w:pPr>
      <w:r w:rsidRPr="00EB25F5">
        <w:t xml:space="preserve"> </w:t>
      </w:r>
    </w:p>
    <w:p w:rsidR="008F3E04" w:rsidRDefault="008F3E04" w:rsidP="003308DD">
      <w:pPr>
        <w:spacing w:line="360" w:lineRule="auto"/>
        <w:ind w:firstLine="720"/>
        <w:contextualSpacing/>
        <w:jc w:val="both"/>
      </w:pPr>
      <w:r>
        <w:t xml:space="preserve">Γενικά μπορούμε να πούμε ότι όταν </w:t>
      </w:r>
      <w:r w:rsidRPr="008F3E04">
        <w:t>Π≤0</w:t>
      </w:r>
      <w:r>
        <w:t xml:space="preserve"> δεν </w:t>
      </w:r>
      <w:r w:rsidRPr="008F3E04">
        <w:t xml:space="preserve">είναι </w:t>
      </w:r>
      <w:r>
        <w:t xml:space="preserve">προς το συμφέρον του επενδυτή το ΚΑΕ. Για παράδειγμα, αν υποθέσουμε </w:t>
      </w:r>
      <w:r w:rsidRPr="008F3E04">
        <w:t xml:space="preserve"> </w:t>
      </w:r>
      <w:r w:rsidRPr="008F3E04">
        <w:rPr>
          <w:lang w:val="en-US"/>
        </w:rPr>
        <w:t>i</w:t>
      </w:r>
      <w:r w:rsidRPr="008F3E04">
        <w:rPr>
          <w:vertAlign w:val="subscript"/>
          <w:lang w:val="en-US"/>
        </w:rPr>
        <w:t>d</w:t>
      </w:r>
      <w:r w:rsidRPr="008F3E04">
        <w:t xml:space="preserve">=6% και το  </w:t>
      </w:r>
      <w:r w:rsidRPr="008F3E04">
        <w:rPr>
          <w:lang w:val="en-US"/>
        </w:rPr>
        <w:t>i</w:t>
      </w:r>
      <w:r w:rsidRPr="008F3E04">
        <w:rPr>
          <w:vertAlign w:val="subscript"/>
          <w:lang w:val="en-US"/>
        </w:rPr>
        <w:t>f</w:t>
      </w:r>
      <w:r w:rsidRPr="008F3E04">
        <w:t>=4% και η αναμενόμενη μεταβολή της συναλλαγματικής ισοτιμίας ισούται με +1%</w:t>
      </w:r>
      <w:r>
        <w:t xml:space="preserve">, τότε είναι συμφέρον το εσωτερικό ΚΑΕ όταν </w:t>
      </w:r>
      <w:r>
        <w:rPr>
          <w:lang w:val="en-US"/>
        </w:rPr>
        <w:t>z</w:t>
      </w:r>
      <w:r w:rsidRPr="008F3E04">
        <w:t>=0</w:t>
      </w:r>
      <w:r>
        <w:t>%.</w:t>
      </w:r>
      <w:r w:rsidRPr="008F3E04">
        <w:t xml:space="preserve"> </w:t>
      </w:r>
      <w:r>
        <w:t>Ενώ δεν είναι συμφέρον το ΚΑΕ όταν για παράδειγμα το</w:t>
      </w:r>
      <w:r w:rsidRPr="008F3E04">
        <w:t xml:space="preserve"> </w:t>
      </w:r>
      <w:r>
        <w:rPr>
          <w:lang w:val="en-US"/>
        </w:rPr>
        <w:t>z</w:t>
      </w:r>
      <w:r w:rsidRPr="008F3E04">
        <w:t>=1%.</w:t>
      </w:r>
    </w:p>
    <w:p w:rsidR="002D5459" w:rsidRPr="003D1587" w:rsidRDefault="002D5459" w:rsidP="003308DD">
      <w:pPr>
        <w:spacing w:line="360" w:lineRule="auto"/>
        <w:ind w:firstLine="720"/>
        <w:contextualSpacing/>
        <w:jc w:val="both"/>
      </w:pPr>
      <w:r>
        <w:t>Πριν ολοκληρώσουμε την ανάλυση της έννοιας του ΚΑΕ θα θέλαμε να τονίσουμε δύο βασικά σημεία. Πρώτον, ότι η</w:t>
      </w:r>
      <w:r w:rsidRPr="002D5459">
        <w:t xml:space="preserve"> προθεσμιακή συναλλαγματική ισοτιμία</w:t>
      </w:r>
      <w:r>
        <w:t xml:space="preserve"> την οποία βλέπουμε στις τράπεζες αλλά και στο </w:t>
      </w:r>
      <w:proofErr w:type="spellStart"/>
      <w:r>
        <w:t>ίντερνετ</w:t>
      </w:r>
      <w:proofErr w:type="spellEnd"/>
      <w:r>
        <w:t xml:space="preserve"> υπολογίζεται από το</w:t>
      </w:r>
      <w:r w:rsidRPr="002D5459">
        <w:t xml:space="preserve"> ΚΑΕ. </w:t>
      </w:r>
      <w:r>
        <w:t xml:space="preserve">Δηλαδή γνωρίζοντας τα επιτόκια σε δύο χώρες μελέτης και την τρέχουσα συναλλαγματική ισοτιμία μπορούμε να λύσουμε και να βρούμε ποια είναι η προθεσμιακή ισοτιμία. Θα είναι αυτή που εξισώνει τις δυο στρατηγικές επένδυσης </w:t>
      </w:r>
      <w:r w:rsidR="00B66811">
        <w:t xml:space="preserve">στο </w:t>
      </w:r>
      <w:r w:rsidR="003D1587">
        <w:t xml:space="preserve">εσωτερικό </w:t>
      </w:r>
      <w:r w:rsidR="00B66811">
        <w:t xml:space="preserve">και στο εξωτερικό </w:t>
      </w:r>
      <w:r>
        <w:t>που περιγράψαμε παραπάνω</w:t>
      </w:r>
      <w:r w:rsidR="003D1587">
        <w:t>.</w:t>
      </w:r>
      <w:r>
        <w:t xml:space="preserve"> </w:t>
      </w:r>
    </w:p>
    <w:p w:rsidR="002D5459" w:rsidRPr="002D5459" w:rsidRDefault="003D1587" w:rsidP="003308DD">
      <w:pPr>
        <w:spacing w:line="360" w:lineRule="auto"/>
        <w:ind w:left="720" w:firstLine="720"/>
        <w:contextualSpacing/>
        <w:jc w:val="both"/>
        <w:rPr>
          <w:lang w:val="en-US"/>
        </w:rPr>
      </w:pPr>
      <w:r w:rsidRPr="00C66E22">
        <w:rPr>
          <w:position w:val="-34"/>
          <w:lang w:val="en-GB"/>
        </w:rPr>
        <w:object w:dxaOrig="1620" w:dyaOrig="720">
          <v:shape id="_x0000_i1054" type="#_x0000_t75" style="width:79.5pt;height:37.55pt" o:ole="" fillcolor="window">
            <v:imagedata r:id="rId74" o:title=""/>
          </v:shape>
          <o:OLEObject Type="Embed" ProgID="Equation.3" ShapeID="_x0000_i1054" DrawAspect="Content" ObjectID="_1475064867" r:id="rId75"/>
        </w:object>
      </w:r>
    </w:p>
    <w:p w:rsidR="002D5459" w:rsidRDefault="002D5459" w:rsidP="00B66811">
      <w:pPr>
        <w:spacing w:line="360" w:lineRule="auto"/>
        <w:contextualSpacing/>
        <w:jc w:val="both"/>
      </w:pPr>
      <w:r>
        <w:lastRenderedPageBreak/>
        <w:t>Πολλές φορές όταν μιλάμε για προθεσμιακή ισοτιμία εξαμήνου ή τριμήνου ο τύπος τροποποιείται δεδομένου ότι τα επιτόκια είναι πάντα σε ετήσια βάση</w:t>
      </w:r>
      <w:r w:rsidR="003D1587" w:rsidRPr="003D1587">
        <w:t xml:space="preserve">. </w:t>
      </w:r>
      <w:r w:rsidR="003D1587">
        <w:t>Διαιρούμε τα επιτόκια με τον αριθμό των τριμήνων ή εξαμήνων στο έτος</w:t>
      </w:r>
      <w:r>
        <w:t>.</w:t>
      </w:r>
    </w:p>
    <w:p w:rsidR="00B35FA6" w:rsidRDefault="003D1587" w:rsidP="003308DD">
      <w:pPr>
        <w:spacing w:line="360" w:lineRule="auto"/>
        <w:ind w:left="720" w:firstLine="720"/>
        <w:contextualSpacing/>
        <w:jc w:val="both"/>
      </w:pPr>
      <w:r w:rsidRPr="003D1587">
        <w:rPr>
          <w:position w:val="-60"/>
          <w:lang w:val="en-GB"/>
        </w:rPr>
        <w:object w:dxaOrig="1860" w:dyaOrig="1320">
          <v:shape id="_x0000_i1055" type="#_x0000_t75" style="width:94.55pt;height:67.6pt" o:ole="" fillcolor="window">
            <v:imagedata r:id="rId76" o:title=""/>
          </v:shape>
          <o:OLEObject Type="Embed" ProgID="Equation.3" ShapeID="_x0000_i1055" DrawAspect="Content" ObjectID="_1475064868" r:id="rId77"/>
        </w:object>
      </w:r>
    </w:p>
    <w:p w:rsidR="005A7441" w:rsidRPr="00550635" w:rsidRDefault="005A7441" w:rsidP="003308DD">
      <w:pPr>
        <w:spacing w:line="360" w:lineRule="auto"/>
        <w:ind w:firstLine="720"/>
        <w:contextualSpacing/>
        <w:jc w:val="both"/>
      </w:pPr>
      <w:r w:rsidRPr="00550635">
        <w:t>Δεύτερον σύμφ</w:t>
      </w:r>
      <w:r w:rsidR="00EA4C3A">
        <w:t xml:space="preserve">ωνα με τη θεωρία των προσδοκιών και υποθέτοντας μια συμπεριφορά των επενδυτών ουδέτερη απέναντι στον κίνδυνο </w:t>
      </w:r>
      <w:r w:rsidR="00EA4C3A" w:rsidRPr="00550635">
        <w:rPr>
          <w:bCs/>
        </w:rPr>
        <w:t>(</w:t>
      </w:r>
      <w:proofErr w:type="spellStart"/>
      <w:r w:rsidR="00EA4C3A" w:rsidRPr="00550635">
        <w:rPr>
          <w:bCs/>
        </w:rPr>
        <w:t>risk</w:t>
      </w:r>
      <w:proofErr w:type="spellEnd"/>
      <w:r w:rsidR="00EA4C3A" w:rsidRPr="00550635">
        <w:rPr>
          <w:bCs/>
        </w:rPr>
        <w:t xml:space="preserve"> </w:t>
      </w:r>
      <w:proofErr w:type="spellStart"/>
      <w:r w:rsidR="00EA4C3A" w:rsidRPr="00550635">
        <w:rPr>
          <w:bCs/>
        </w:rPr>
        <w:t>neutrality</w:t>
      </w:r>
      <w:proofErr w:type="spellEnd"/>
      <w:r w:rsidR="00EA4C3A" w:rsidRPr="00550635">
        <w:rPr>
          <w:bCs/>
        </w:rPr>
        <w:t>)</w:t>
      </w:r>
      <w:r w:rsidRPr="00550635">
        <w:t xml:space="preserve"> η προθεσμιακή ισοτιμία (</w:t>
      </w:r>
      <w:r w:rsidRPr="00550635">
        <w:rPr>
          <w:i/>
          <w:iCs/>
          <w:lang w:val="en-US"/>
        </w:rPr>
        <w:t>F</w:t>
      </w:r>
      <w:r w:rsidRPr="00550635">
        <w:t>) αποτελεί έναν αμερόληπτο εκτιμητή (</w:t>
      </w:r>
      <w:r w:rsidRPr="00550635">
        <w:rPr>
          <w:lang w:val="en-US"/>
        </w:rPr>
        <w:t>unbiased</w:t>
      </w:r>
      <w:r w:rsidRPr="00550635">
        <w:t xml:space="preserve"> </w:t>
      </w:r>
      <w:r w:rsidRPr="00550635">
        <w:rPr>
          <w:lang w:val="en-US"/>
        </w:rPr>
        <w:t>estimator</w:t>
      </w:r>
      <w:r w:rsidRPr="00550635">
        <w:t xml:space="preserve">) της </w:t>
      </w:r>
      <w:r w:rsidRPr="00550635">
        <w:rPr>
          <w:bCs/>
        </w:rPr>
        <w:t xml:space="preserve">αναμενόμενης </w:t>
      </w:r>
      <w:r w:rsidRPr="00550635">
        <w:t xml:space="preserve">ισοτιμίας όψεως, δηλαδή: </w:t>
      </w:r>
    </w:p>
    <w:p w:rsidR="005A7441" w:rsidRPr="005A7441" w:rsidRDefault="005A7441" w:rsidP="003308DD">
      <w:pPr>
        <w:spacing w:line="360" w:lineRule="auto"/>
        <w:ind w:left="720" w:firstLine="720"/>
        <w:contextualSpacing/>
        <w:jc w:val="both"/>
        <w:rPr>
          <w:lang w:val="en-US"/>
        </w:rPr>
      </w:pPr>
      <w:r w:rsidRPr="005A7441">
        <w:rPr>
          <w:position w:val="-12"/>
          <w:lang w:val="en-GB"/>
        </w:rPr>
        <w:object w:dxaOrig="1080" w:dyaOrig="360">
          <v:shape id="_x0000_i1056" type="#_x0000_t75" style="width:52.6pt;height:19.4pt" o:ole="" fillcolor="window">
            <v:imagedata r:id="rId78" o:title=""/>
          </v:shape>
          <o:OLEObject Type="Embed" ProgID="Equation.3" ShapeID="_x0000_i1056" DrawAspect="Content" ObjectID="_1475064869" r:id="rId79"/>
        </w:object>
      </w:r>
    </w:p>
    <w:p w:rsidR="005A7441" w:rsidRPr="00CD0F9F" w:rsidRDefault="005A7441" w:rsidP="00CD0F9F">
      <w:pPr>
        <w:spacing w:line="360" w:lineRule="auto"/>
        <w:ind w:firstLine="720"/>
        <w:contextualSpacing/>
        <w:jc w:val="both"/>
      </w:pPr>
      <w:r w:rsidRPr="00CD0F9F">
        <w:t xml:space="preserve">Πρακτικά όμως τι σημαίνει αυτό; Εάν για παράδειγμα για την προθεσμιακή ισοτιμία του </w:t>
      </w:r>
      <w:r w:rsidRPr="00CD0F9F">
        <w:rPr>
          <w:rFonts w:eastAsia="Calibri"/>
          <w:lang w:eastAsia="en-US"/>
        </w:rPr>
        <w:t>$/€ ισχύει</w:t>
      </w:r>
      <w:r w:rsidRPr="00CD0F9F">
        <w:t xml:space="preserve"> </w:t>
      </w:r>
      <w:r w:rsidRPr="00CD0F9F">
        <w:rPr>
          <w:position w:val="-12"/>
          <w:lang w:val="en-GB"/>
        </w:rPr>
        <w:object w:dxaOrig="720" w:dyaOrig="360">
          <v:shape id="_x0000_i1057" type="#_x0000_t75" style="width:37.55pt;height:19.4pt" o:ole="" fillcolor="window">
            <v:imagedata r:id="rId80" o:title=""/>
          </v:shape>
          <o:OLEObject Type="Embed" ProgID="Equation.3" ShapeID="_x0000_i1057" DrawAspect="Content" ObjectID="_1475064870" r:id="rId81"/>
        </w:object>
      </w:r>
      <w:r w:rsidRPr="00CD0F9F">
        <w:t xml:space="preserve"> τ</w:t>
      </w:r>
      <w:r w:rsidR="00B35FA6" w:rsidRPr="00CD0F9F">
        <w:t xml:space="preserve">ότε </w:t>
      </w:r>
      <w:r w:rsidRPr="00CD0F9F">
        <w:t xml:space="preserve">και </w:t>
      </w:r>
      <w:r w:rsidR="00B35FA6" w:rsidRPr="00CD0F9F">
        <w:rPr>
          <w:position w:val="-12"/>
          <w:lang w:val="en-GB"/>
        </w:rPr>
        <w:object w:dxaOrig="1080" w:dyaOrig="360">
          <v:shape id="_x0000_i1058" type="#_x0000_t75" style="width:52.6pt;height:19.4pt" o:ole="" fillcolor="window">
            <v:imagedata r:id="rId82" o:title=""/>
          </v:shape>
          <o:OLEObject Type="Embed" ProgID="Equation.3" ShapeID="_x0000_i1058" DrawAspect="Content" ObjectID="_1475064871" r:id="rId83"/>
        </w:object>
      </w:r>
      <w:r w:rsidRPr="00CD0F9F">
        <w:t>, δηλαδή αναμένεται να αυξηθεί η συναλλαγματική ισοτιμία όψεως στο μέλλον. Το νόμισμα</w:t>
      </w:r>
      <w:r w:rsidR="00B35FA6" w:rsidRPr="00CD0F9F">
        <w:t xml:space="preserve"> του $</w:t>
      </w:r>
      <w:r w:rsidRPr="00CD0F9F">
        <w:t xml:space="preserve"> αναμένεται να υποτιμηθεί και το </w:t>
      </w:r>
      <w:r w:rsidR="00B35FA6" w:rsidRPr="00CD0F9F">
        <w:rPr>
          <w:rFonts w:eastAsia="Calibri"/>
          <w:lang w:eastAsia="en-US"/>
        </w:rPr>
        <w:t xml:space="preserve">€ </w:t>
      </w:r>
      <w:r w:rsidRPr="00CD0F9F">
        <w:t xml:space="preserve">να ανατιμηθεί. </w:t>
      </w:r>
      <w:r w:rsidR="00B35FA6" w:rsidRPr="00CD0F9F">
        <w:t>Όμως υπό καθεστώτος αποστροφής του κινδύνου</w:t>
      </w:r>
      <w:r w:rsidR="00550635" w:rsidRPr="00CD0F9F">
        <w:t xml:space="preserve"> (</w:t>
      </w:r>
      <w:r w:rsidR="00550635" w:rsidRPr="00CD0F9F">
        <w:rPr>
          <w:lang w:val="en-US"/>
        </w:rPr>
        <w:t>risk</w:t>
      </w:r>
      <w:r w:rsidR="00550635" w:rsidRPr="00CD0F9F">
        <w:t xml:space="preserve"> </w:t>
      </w:r>
      <w:r w:rsidR="00550635" w:rsidRPr="00CD0F9F">
        <w:rPr>
          <w:lang w:val="en-US"/>
        </w:rPr>
        <w:t>aversion</w:t>
      </w:r>
      <w:r w:rsidR="00550635" w:rsidRPr="00CD0F9F">
        <w:t>)</w:t>
      </w:r>
      <w:r w:rsidR="00B35FA6" w:rsidRPr="00CD0F9F">
        <w:t xml:space="preserve"> από τους επενδυτές οι δύο ισοτιμίες </w:t>
      </w:r>
      <w:r w:rsidR="00B35FA6" w:rsidRPr="00CD0F9F">
        <w:rPr>
          <w:position w:val="-12"/>
          <w:lang w:val="en-GB"/>
        </w:rPr>
        <w:object w:dxaOrig="260" w:dyaOrig="360">
          <v:shape id="_x0000_i1059" type="#_x0000_t75" style="width:11.9pt;height:19.4pt" o:ole="" fillcolor="window">
            <v:imagedata r:id="rId84" o:title=""/>
          </v:shape>
          <o:OLEObject Type="Embed" ProgID="Equation.3" ShapeID="_x0000_i1059" DrawAspect="Content" ObjectID="_1475064872" r:id="rId85"/>
        </w:object>
      </w:r>
      <w:r w:rsidR="00B66811" w:rsidRPr="00CD0F9F">
        <w:t xml:space="preserve"> </w:t>
      </w:r>
      <w:r w:rsidR="00B35FA6" w:rsidRPr="00CD0F9F">
        <w:t xml:space="preserve">και </w:t>
      </w:r>
      <w:r w:rsidR="00B35FA6" w:rsidRPr="00CD0F9F">
        <w:rPr>
          <w:position w:val="-12"/>
          <w:lang w:val="en-GB"/>
        </w:rPr>
        <w:object w:dxaOrig="620" w:dyaOrig="360">
          <v:shape id="_x0000_i1060" type="#_x0000_t75" style="width:30.05pt;height:19.4pt" o:ole="" fillcolor="window">
            <v:imagedata r:id="rId86" o:title=""/>
          </v:shape>
          <o:OLEObject Type="Embed" ProgID="Equation.3" ShapeID="_x0000_i1060" DrawAspect="Content" ObjectID="_1475064873" r:id="rId87"/>
        </w:object>
      </w:r>
      <w:r w:rsidR="00B66811" w:rsidRPr="00CD0F9F">
        <w:t xml:space="preserve"> </w:t>
      </w:r>
      <w:r w:rsidR="00B35FA6" w:rsidRPr="00CD0F9F">
        <w:t xml:space="preserve">μπορεί να αποκλίνουν λόγω ενός ασφάλιστρου κινδύνου θ. </w:t>
      </w:r>
      <w:r w:rsidRPr="00CD0F9F">
        <w:t xml:space="preserve">Το εάν και κατά πόσο η προθεσμιακή ισοτιμία αποτελεί αμερόληπτο εκτιμητή της αναμενόμενης ισοτιμίας όψεως, </w:t>
      </w:r>
      <w:r w:rsidR="00B35FA6" w:rsidRPr="00CD0F9F">
        <w:t xml:space="preserve">πολλές φορές στην εμπειρική βιβλιογραφία έχει </w:t>
      </w:r>
      <w:r w:rsidRPr="00CD0F9F">
        <w:t xml:space="preserve">διερευνηθεί οικονομετρικά μέσω της ακόλουθης παλινδρόμησης: </w:t>
      </w:r>
    </w:p>
    <w:p w:rsidR="00B35FA6" w:rsidRPr="00B35FA6" w:rsidRDefault="00B35FA6" w:rsidP="003308DD">
      <w:pPr>
        <w:spacing w:line="360" w:lineRule="auto"/>
        <w:ind w:left="720" w:firstLine="720"/>
        <w:contextualSpacing/>
        <w:jc w:val="both"/>
        <w:rPr>
          <w:lang w:val="en-US"/>
        </w:rPr>
      </w:pPr>
      <w:r w:rsidRPr="005A7441">
        <w:rPr>
          <w:position w:val="-12"/>
          <w:lang w:val="en-GB"/>
        </w:rPr>
        <w:object w:dxaOrig="2020" w:dyaOrig="360">
          <v:shape id="_x0000_i1061" type="#_x0000_t75" style="width:102.05pt;height:19.4pt" o:ole="" fillcolor="window">
            <v:imagedata r:id="rId88" o:title=""/>
          </v:shape>
          <o:OLEObject Type="Embed" ProgID="Equation.3" ShapeID="_x0000_i1061" DrawAspect="Content" ObjectID="_1475064874" r:id="rId89"/>
        </w:object>
      </w:r>
    </w:p>
    <w:p w:rsidR="00397746" w:rsidRPr="00044F80" w:rsidRDefault="00B35FA6" w:rsidP="005A7441">
      <w:pPr>
        <w:spacing w:line="360" w:lineRule="auto"/>
        <w:contextualSpacing/>
        <w:jc w:val="both"/>
      </w:pPr>
      <w:r>
        <w:t xml:space="preserve">Όπου η μηδενική υπόθεση είναι </w:t>
      </w:r>
      <w:proofErr w:type="spellStart"/>
      <w:r>
        <w:t>Ηο</w:t>
      </w:r>
      <w:proofErr w:type="spellEnd"/>
      <w:r>
        <w:t xml:space="preserve">: </w:t>
      </w:r>
      <w:r w:rsidRPr="00DC68A6">
        <w:rPr>
          <w:i/>
        </w:rPr>
        <w:t>α</w:t>
      </w:r>
      <w:r>
        <w:t xml:space="preserve">=0 και </w:t>
      </w:r>
      <w:r w:rsidRPr="00DC68A6">
        <w:rPr>
          <w:i/>
        </w:rPr>
        <w:t>β</w:t>
      </w:r>
      <w:r w:rsidR="005A7441" w:rsidRPr="005A7441">
        <w:t>=1.</w:t>
      </w:r>
      <w:r>
        <w:t xml:space="preserve"> </w:t>
      </w:r>
      <w:r w:rsidR="005A7441" w:rsidRPr="005A7441">
        <w:t xml:space="preserve">Η αποδοχή αυτής της υπόθεσης </w:t>
      </w:r>
      <w:r w:rsidR="0021512F">
        <w:t>συνηγορεί υπέρ</w:t>
      </w:r>
      <w:r w:rsidR="005A7441" w:rsidRPr="005A7441">
        <w:t xml:space="preserve"> </w:t>
      </w:r>
      <w:r w:rsidR="0021512F">
        <w:t xml:space="preserve">της </w:t>
      </w:r>
      <w:r w:rsidR="005A7441" w:rsidRPr="005A7441">
        <w:t xml:space="preserve">αμεροληψίας της προθεσμιακής ισοτιμίας ως εκτιμητή της αναμενόμενης ισοτιμίας όψεως. </w:t>
      </w:r>
      <w:r w:rsidR="0021512F">
        <w:t>Ενώ η</w:t>
      </w:r>
      <w:r w:rsidR="005A7441" w:rsidRPr="005A7441">
        <w:t xml:space="preserve"> απόρριψη της υπόθεσης </w:t>
      </w:r>
      <w:r w:rsidR="0021512F">
        <w:t>παρέχει μαρτυρία υπέρ</w:t>
      </w:r>
      <w:r w:rsidR="005A7441" w:rsidRPr="005A7441">
        <w:t xml:space="preserve"> </w:t>
      </w:r>
      <w:r w:rsidR="0021512F">
        <w:t>της</w:t>
      </w:r>
      <w:r w:rsidR="005A7441" w:rsidRPr="005A7441">
        <w:t xml:space="preserve"> ύπαρξη</w:t>
      </w:r>
      <w:r w:rsidR="0021512F">
        <w:t>ς</w:t>
      </w:r>
      <w:r w:rsidR="005A7441" w:rsidRPr="005A7441">
        <w:t xml:space="preserve"> μεροληψίας στην προθεσμιακή ισοτιμία.</w:t>
      </w:r>
      <w:r>
        <w:t xml:space="preserve"> Αλλά το τελικό αποτέλεσμα εξαρτάται από την συμπεριφορά των επενδυτών μια απόρριψη για παράδειγμα της μηδενικής υπόθεσης μπορεί να οφείλεται στην μη ορθή </w:t>
      </w:r>
      <w:proofErr w:type="spellStart"/>
      <w:r>
        <w:t>υποδειγματοποίηση</w:t>
      </w:r>
      <w:proofErr w:type="spellEnd"/>
      <w:r>
        <w:t xml:space="preserve"> του ασφάλιστρου κινδύνου</w:t>
      </w:r>
      <w:r w:rsidR="00044F80" w:rsidRPr="00044F80">
        <w:t>.</w:t>
      </w:r>
    </w:p>
    <w:p w:rsidR="005A7441" w:rsidRDefault="005A7441" w:rsidP="008F3E04">
      <w:pPr>
        <w:spacing w:line="360" w:lineRule="auto"/>
        <w:contextualSpacing/>
        <w:jc w:val="both"/>
      </w:pPr>
    </w:p>
    <w:p w:rsidR="00ED7070" w:rsidRDefault="00ED7070" w:rsidP="00ED7070">
      <w:pPr>
        <w:pStyle w:val="2"/>
        <w:spacing w:before="0" w:after="0" w:line="360" w:lineRule="auto"/>
        <w:jc w:val="both"/>
        <w:rPr>
          <w:rFonts w:ascii="Times New Roman" w:hAnsi="Times New Roman" w:cs="Times New Roman"/>
          <w:i w:val="0"/>
        </w:rPr>
      </w:pPr>
      <w:bookmarkStart w:id="27" w:name="_Toc395803099"/>
      <w:bookmarkStart w:id="28" w:name="_Toc396220907"/>
      <w:r>
        <w:rPr>
          <w:rFonts w:ascii="Times New Roman" w:hAnsi="Times New Roman" w:cs="Times New Roman"/>
          <w:i w:val="0"/>
        </w:rPr>
        <w:lastRenderedPageBreak/>
        <w:t xml:space="preserve">7.4 </w:t>
      </w:r>
      <w:r w:rsidR="00812DF6">
        <w:rPr>
          <w:rFonts w:ascii="Times New Roman" w:hAnsi="Times New Roman" w:cs="Times New Roman"/>
          <w:i w:val="0"/>
        </w:rPr>
        <w:t>Ι</w:t>
      </w:r>
      <w:r>
        <w:rPr>
          <w:rFonts w:ascii="Times New Roman" w:hAnsi="Times New Roman" w:cs="Times New Roman"/>
          <w:i w:val="0"/>
        </w:rPr>
        <w:t>σοδυναμία αγοραστικής δύναμης</w:t>
      </w:r>
      <w:bookmarkEnd w:id="27"/>
      <w:bookmarkEnd w:id="28"/>
      <w:r>
        <w:rPr>
          <w:rFonts w:ascii="Times New Roman" w:hAnsi="Times New Roman" w:cs="Times New Roman"/>
          <w:i w:val="0"/>
        </w:rPr>
        <w:t xml:space="preserve"> </w:t>
      </w:r>
    </w:p>
    <w:p w:rsidR="00D35D14" w:rsidRPr="00E06579" w:rsidRDefault="00E06579" w:rsidP="004D04A9">
      <w:pPr>
        <w:autoSpaceDE w:val="0"/>
        <w:autoSpaceDN w:val="0"/>
        <w:adjustRightInd w:val="0"/>
        <w:spacing w:line="360" w:lineRule="auto"/>
        <w:jc w:val="both"/>
        <w:rPr>
          <w:rFonts w:eastAsia="TimesNewRomanPSMT"/>
        </w:rPr>
      </w:pPr>
      <w:r w:rsidRPr="00E308D6">
        <w:rPr>
          <w:rFonts w:eastAsia="TimesNewRomanPSMT"/>
        </w:rPr>
        <w:t>Η Ισοδυναμία Αγοραστικής Δύν</w:t>
      </w:r>
      <w:r>
        <w:rPr>
          <w:rFonts w:eastAsia="TimesNewRomanPSMT"/>
        </w:rPr>
        <w:t xml:space="preserve">αμης (ΙΑΔ) είναι βασισμένη στο </w:t>
      </w:r>
      <w:r w:rsidRPr="00E308D6">
        <w:rPr>
          <w:rFonts w:eastAsia="TimesNewRomanPSMT"/>
        </w:rPr>
        <w:t>νόμο της μιας</w:t>
      </w:r>
      <w:r>
        <w:rPr>
          <w:rFonts w:eastAsia="TimesNewRomanPSMT"/>
        </w:rPr>
        <w:t xml:space="preserve"> τιμής</w:t>
      </w:r>
      <w:r w:rsidRPr="00E308D6">
        <w:rPr>
          <w:rFonts w:eastAsia="TimesNewRomanPSMT"/>
        </w:rPr>
        <w:t xml:space="preserve"> (</w:t>
      </w:r>
      <w:proofErr w:type="spellStart"/>
      <w:r w:rsidRPr="00E308D6">
        <w:rPr>
          <w:rFonts w:eastAsia="TimesNewRomanPSMT"/>
        </w:rPr>
        <w:t>Law</w:t>
      </w:r>
      <w:proofErr w:type="spellEnd"/>
      <w:r w:rsidRPr="00E308D6">
        <w:rPr>
          <w:rFonts w:eastAsia="TimesNewRomanPSMT"/>
        </w:rPr>
        <w:t xml:space="preserve"> </w:t>
      </w:r>
      <w:proofErr w:type="spellStart"/>
      <w:r w:rsidRPr="00E308D6">
        <w:rPr>
          <w:rFonts w:eastAsia="TimesNewRomanPSMT"/>
        </w:rPr>
        <w:t>of</w:t>
      </w:r>
      <w:proofErr w:type="spellEnd"/>
      <w:r w:rsidRPr="00E308D6">
        <w:rPr>
          <w:rFonts w:eastAsia="TimesNewRomanPSMT"/>
        </w:rPr>
        <w:t xml:space="preserve"> </w:t>
      </w:r>
      <w:proofErr w:type="spellStart"/>
      <w:r w:rsidRPr="00E308D6">
        <w:rPr>
          <w:rFonts w:eastAsia="TimesNewRomanPSMT"/>
        </w:rPr>
        <w:t>One</w:t>
      </w:r>
      <w:proofErr w:type="spellEnd"/>
      <w:r w:rsidRPr="00E308D6">
        <w:rPr>
          <w:rFonts w:eastAsia="TimesNewRomanPSMT"/>
        </w:rPr>
        <w:t xml:space="preserve"> </w:t>
      </w:r>
      <w:proofErr w:type="spellStart"/>
      <w:r w:rsidRPr="00E308D6">
        <w:rPr>
          <w:rFonts w:eastAsia="TimesNewRomanPSMT"/>
        </w:rPr>
        <w:t>Price</w:t>
      </w:r>
      <w:proofErr w:type="spellEnd"/>
      <w:r w:rsidRPr="00E308D6">
        <w:rPr>
          <w:rFonts w:eastAsia="TimesNewRomanPSMT"/>
        </w:rPr>
        <w:t>), σύμφωνα με την οποία οι τιμές δύο όμοιων αγαθών</w:t>
      </w:r>
      <w:r>
        <w:rPr>
          <w:rFonts w:eastAsia="TimesNewRomanPSMT"/>
        </w:rPr>
        <w:t xml:space="preserve"> </w:t>
      </w:r>
      <w:r w:rsidRPr="00E308D6">
        <w:rPr>
          <w:rFonts w:eastAsia="TimesNewRomanPSMT"/>
        </w:rPr>
        <w:t xml:space="preserve">μεταξύ δύο χωρών πρέπει να είναι ίσες όταν μετατραπούν σε κοινό νόμισμα. </w:t>
      </w:r>
      <w:r w:rsidR="00D35D14">
        <w:t>Η θεωρία της ισοτιμίας αγοραστικών δυνάμεων</w:t>
      </w:r>
      <w:r w:rsidR="00BD38DC" w:rsidRPr="00BD38DC">
        <w:t xml:space="preserve"> </w:t>
      </w:r>
      <w:r w:rsidR="00044F80" w:rsidRPr="00044F80">
        <w:t>(</w:t>
      </w:r>
      <w:r w:rsidR="00BD38DC">
        <w:t>ΙΑΔ</w:t>
      </w:r>
      <w:r w:rsidR="00044F80" w:rsidRPr="00044F80">
        <w:t xml:space="preserve">, </w:t>
      </w:r>
      <w:proofErr w:type="spellStart"/>
      <w:r w:rsidR="00D35D14" w:rsidRPr="00C27081">
        <w:t>Purchasing</w:t>
      </w:r>
      <w:proofErr w:type="spellEnd"/>
      <w:r w:rsidR="00D35D14">
        <w:t xml:space="preserve"> </w:t>
      </w:r>
      <w:proofErr w:type="spellStart"/>
      <w:r w:rsidR="00D35D14" w:rsidRPr="00C27081">
        <w:t>Power</w:t>
      </w:r>
      <w:proofErr w:type="spellEnd"/>
      <w:r w:rsidR="00D35D14">
        <w:t xml:space="preserve"> </w:t>
      </w:r>
      <w:proofErr w:type="spellStart"/>
      <w:r w:rsidR="00D35D14" w:rsidRPr="00C27081">
        <w:t>Parity</w:t>
      </w:r>
      <w:proofErr w:type="spellEnd"/>
      <w:r w:rsidR="00044F80" w:rsidRPr="00044F80">
        <w:t>-</w:t>
      </w:r>
      <w:r w:rsidR="00D35D14">
        <w:t xml:space="preserve"> </w:t>
      </w:r>
      <w:r w:rsidR="00D35D14" w:rsidRPr="00C27081">
        <w:t>PPP</w:t>
      </w:r>
      <w:r w:rsidR="00D35D14">
        <w:t xml:space="preserve">) δηλώνει ότι στην απουσία κόστους συναλλαγής και περιορισμών στις διεθνείς ροές εμπορίου, οι τιμές ίδιων </w:t>
      </w:r>
      <w:r w:rsidR="005A318D">
        <w:t xml:space="preserve">εμπορεύσιμων </w:t>
      </w:r>
      <w:r w:rsidR="00D35D14">
        <w:t>αγαθών μεταξύ χωρών είναι ίδιες, όταν εκφράζονται στο ίδιο νόμισμα, έτσι ώστε να εξαλείφεται κάθε κίνητρο αντισταθμιστικής κερδοσκοπίας (</w:t>
      </w:r>
      <w:proofErr w:type="spellStart"/>
      <w:r w:rsidR="00D35D14" w:rsidRPr="00C27081">
        <w:t>arbitrage</w:t>
      </w:r>
      <w:proofErr w:type="spellEnd"/>
      <w:r w:rsidR="00D35D14">
        <w:t>) στις αγορές αγαθών μεταξύ χωρών. Εάν οι τιμές δεν ήταν ίδιες, τότε θα ήταν επικερδής η αγορά του αγαθού από τη χώρα με την πιο χαμηλή τιμή και η πώληση του στη χώρα με την πιο υψηλή τιμή, έως ότου οι τιμές να αυξηθούν στην πρώτη χώρα και να μειωθούν στη δεύτερη.</w:t>
      </w:r>
    </w:p>
    <w:p w:rsidR="008F73F8" w:rsidRDefault="008F73F8" w:rsidP="000E1DD4">
      <w:pPr>
        <w:pStyle w:val="2"/>
        <w:spacing w:before="0" w:after="0" w:line="360" w:lineRule="auto"/>
        <w:jc w:val="both"/>
        <w:rPr>
          <w:rFonts w:ascii="Times New Roman" w:hAnsi="Times New Roman" w:cs="Times New Roman"/>
          <w:i w:val="0"/>
          <w:sz w:val="24"/>
          <w:szCs w:val="24"/>
        </w:rPr>
      </w:pPr>
    </w:p>
    <w:p w:rsidR="000E1DD4" w:rsidRDefault="000E1DD4" w:rsidP="000E1DD4">
      <w:pPr>
        <w:pStyle w:val="2"/>
        <w:spacing w:before="0" w:after="0" w:line="360" w:lineRule="auto"/>
        <w:jc w:val="both"/>
        <w:rPr>
          <w:rFonts w:ascii="Times New Roman" w:hAnsi="Times New Roman" w:cs="Times New Roman"/>
          <w:i w:val="0"/>
          <w:sz w:val="24"/>
          <w:szCs w:val="24"/>
        </w:rPr>
      </w:pPr>
      <w:bookmarkStart w:id="29" w:name="_Toc395803100"/>
      <w:bookmarkStart w:id="30" w:name="_Toc396220908"/>
      <w:r>
        <w:rPr>
          <w:rFonts w:ascii="Times New Roman" w:hAnsi="Times New Roman" w:cs="Times New Roman"/>
          <w:i w:val="0"/>
          <w:sz w:val="24"/>
          <w:szCs w:val="24"/>
        </w:rPr>
        <w:t>7.4</w:t>
      </w:r>
      <w:r w:rsidRPr="00580915">
        <w:rPr>
          <w:rFonts w:ascii="Times New Roman" w:hAnsi="Times New Roman" w:cs="Times New Roman"/>
          <w:i w:val="0"/>
          <w:sz w:val="24"/>
          <w:szCs w:val="24"/>
        </w:rPr>
        <w:t xml:space="preserve">.1 </w:t>
      </w:r>
      <w:r w:rsidRPr="009F6F3B">
        <w:rPr>
          <w:rFonts w:ascii="Times New Roman" w:hAnsi="Times New Roman" w:cs="Times New Roman"/>
          <w:i w:val="0"/>
          <w:sz w:val="24"/>
          <w:szCs w:val="24"/>
        </w:rPr>
        <w:t>Α</w:t>
      </w:r>
      <w:r>
        <w:rPr>
          <w:rFonts w:ascii="Times New Roman" w:hAnsi="Times New Roman" w:cs="Times New Roman"/>
          <w:i w:val="0"/>
          <w:sz w:val="24"/>
          <w:szCs w:val="24"/>
        </w:rPr>
        <w:t xml:space="preserve">πόλυτη </w:t>
      </w:r>
      <w:r w:rsidR="00E34910">
        <w:rPr>
          <w:rFonts w:ascii="Times New Roman" w:hAnsi="Times New Roman" w:cs="Times New Roman"/>
          <w:i w:val="0"/>
          <w:sz w:val="24"/>
          <w:szCs w:val="24"/>
        </w:rPr>
        <w:t>ισοδυναμία</w:t>
      </w:r>
      <w:r>
        <w:rPr>
          <w:rFonts w:ascii="Times New Roman" w:hAnsi="Times New Roman" w:cs="Times New Roman"/>
          <w:i w:val="0"/>
          <w:sz w:val="24"/>
          <w:szCs w:val="24"/>
        </w:rPr>
        <w:t xml:space="preserve"> αγοραστικής δύναμης</w:t>
      </w:r>
      <w:bookmarkEnd w:id="29"/>
      <w:bookmarkEnd w:id="30"/>
      <w:r>
        <w:rPr>
          <w:rFonts w:ascii="Times New Roman" w:hAnsi="Times New Roman" w:cs="Times New Roman"/>
          <w:i w:val="0"/>
          <w:sz w:val="24"/>
          <w:szCs w:val="24"/>
        </w:rPr>
        <w:t xml:space="preserve"> </w:t>
      </w:r>
    </w:p>
    <w:p w:rsidR="00C27081" w:rsidRPr="00C446F0" w:rsidRDefault="00BD38DC" w:rsidP="008F73F8">
      <w:pPr>
        <w:spacing w:line="360" w:lineRule="auto"/>
        <w:ind w:firstLine="720"/>
        <w:contextualSpacing/>
        <w:jc w:val="both"/>
      </w:pPr>
      <w:r>
        <w:t>Η απόλυτη ισοδυναμία αγοραστικής δύναμης (</w:t>
      </w:r>
      <w:r>
        <w:rPr>
          <w:lang w:val="en-US"/>
        </w:rPr>
        <w:t>absolute</w:t>
      </w:r>
      <w:r w:rsidRPr="00BD38DC">
        <w:t xml:space="preserve"> </w:t>
      </w:r>
      <w:r>
        <w:rPr>
          <w:lang w:val="en-US"/>
        </w:rPr>
        <w:t>PPP</w:t>
      </w:r>
      <w:r w:rsidRPr="00BD38DC">
        <w:t xml:space="preserve">) </w:t>
      </w:r>
      <w:r>
        <w:t>αποτελεί γενίκευση του νόμου της μιας τιμής και δηλώνει ότι το εγχώριο (γενικό) επίπεδο τιμών (Ρ) ισούται με το (γενικό) επίπεδο τιμών της αλλοδαπής (Ρ*) εκφρασμένο σε εγχώριο νόμισμα</w:t>
      </w:r>
      <w:r w:rsidR="00CD0F9F">
        <w:t>.</w:t>
      </w:r>
      <w:r>
        <w:t xml:space="preserve"> Εάν </w:t>
      </w:r>
      <w:r>
        <w:rPr>
          <w:lang w:val="en-US"/>
        </w:rPr>
        <w:t>S</w:t>
      </w:r>
      <w:r w:rsidRPr="00BD38DC">
        <w:rPr>
          <w:vertAlign w:val="subscript"/>
          <w:lang w:val="en-US"/>
        </w:rPr>
        <w:t>t</w:t>
      </w:r>
      <w:r w:rsidRPr="00BD38DC">
        <w:t xml:space="preserve"> </w:t>
      </w:r>
      <w:r>
        <w:t>η συναλλαγματική ισοτιμία εκφρασμένη με τον άμεσο τρόπο δηλαδή μια μονάδα ξένου νομίσματος εκφρασμένη σε όρους εγχώριου νομίσματος</w:t>
      </w:r>
      <w:r w:rsidR="00C446F0" w:rsidRPr="00C446F0">
        <w:t>,</w:t>
      </w:r>
      <w:r>
        <w:t xml:space="preserve"> </w:t>
      </w:r>
      <w:r w:rsidR="00C27081">
        <w:t>τότε σε ισορροπία θα πρέπει να ισχύει</w:t>
      </w:r>
      <w:r w:rsidR="00C446F0" w:rsidRPr="00C446F0">
        <w:t>:</w:t>
      </w:r>
    </w:p>
    <w:p w:rsidR="00C27081" w:rsidRDefault="00BD38DC" w:rsidP="003308DD">
      <w:pPr>
        <w:spacing w:line="360" w:lineRule="auto"/>
        <w:ind w:left="720" w:firstLine="720"/>
        <w:contextualSpacing/>
        <w:jc w:val="both"/>
      </w:pPr>
      <w:r w:rsidRPr="00BD38DC">
        <w:rPr>
          <w:position w:val="-12"/>
        </w:rPr>
        <w:object w:dxaOrig="980" w:dyaOrig="380">
          <v:shape id="_x0000_i1062" type="#_x0000_t75" style="width:49.45pt;height:19.4pt" o:ole="" fillcolor="window">
            <v:imagedata r:id="rId90" o:title=""/>
          </v:shape>
          <o:OLEObject Type="Embed" ProgID="Equation.3" ShapeID="_x0000_i1062" DrawAspect="Content" ObjectID="_1475064875" r:id="rId91"/>
        </w:object>
      </w:r>
      <w:r w:rsidR="00C27081">
        <w:t xml:space="preserve"> </w:t>
      </w:r>
    </w:p>
    <w:p w:rsidR="00871C84" w:rsidRPr="00C446F0" w:rsidRDefault="00871C84" w:rsidP="00871C84">
      <w:pPr>
        <w:spacing w:line="360" w:lineRule="auto"/>
        <w:contextualSpacing/>
        <w:jc w:val="both"/>
      </w:pPr>
      <w:r>
        <w:t>Συνεπώς, εάν γνωρίζουμε τα επίπεδα τιμών στις δύο χώρες, μπορούμε να υπολογίσουμε την τρέχουσα τιμή συναλλάγματος, δηλαδή</w:t>
      </w:r>
      <w:r w:rsidR="00C446F0" w:rsidRPr="00C446F0">
        <w:t>:</w:t>
      </w:r>
    </w:p>
    <w:p w:rsidR="00871C84" w:rsidRPr="003308DD" w:rsidRDefault="00871C84" w:rsidP="003308DD">
      <w:pPr>
        <w:spacing w:line="360" w:lineRule="auto"/>
        <w:ind w:left="720" w:firstLine="720"/>
        <w:contextualSpacing/>
        <w:jc w:val="both"/>
      </w:pPr>
      <w:r w:rsidRPr="003308DD">
        <w:rPr>
          <w:position w:val="-30"/>
        </w:rPr>
        <w:object w:dxaOrig="859" w:dyaOrig="700">
          <v:shape id="_x0000_i1063" type="#_x0000_t75" style="width:41.95pt;height:34.45pt" o:ole="" fillcolor="window">
            <v:imagedata r:id="rId92" o:title=""/>
          </v:shape>
          <o:OLEObject Type="Embed" ProgID="Equation.3" ShapeID="_x0000_i1063" DrawAspect="Content" ObjectID="_1475064876" r:id="rId93"/>
        </w:object>
      </w:r>
      <w:r w:rsidR="003308DD">
        <w:tab/>
      </w:r>
      <w:r w:rsidR="003308DD">
        <w:tab/>
      </w:r>
      <w:r w:rsidR="003308DD">
        <w:tab/>
      </w:r>
      <w:r w:rsidR="003308DD">
        <w:tab/>
      </w:r>
      <w:r w:rsidR="003308DD">
        <w:tab/>
      </w:r>
      <w:r w:rsidR="003308DD">
        <w:tab/>
      </w:r>
      <w:r w:rsidR="003308DD">
        <w:tab/>
      </w:r>
      <w:r w:rsidRPr="003308DD">
        <w:t xml:space="preserve"> (7</w:t>
      </w:r>
      <w:r w:rsidR="003308DD" w:rsidRPr="003308DD">
        <w:t>.12</w:t>
      </w:r>
      <w:r w:rsidRPr="003308DD">
        <w:t>)</w:t>
      </w:r>
    </w:p>
    <w:p w:rsidR="00C446F0" w:rsidRPr="00C446F0" w:rsidRDefault="00BD38DC" w:rsidP="00C446F0">
      <w:pPr>
        <w:spacing w:line="360" w:lineRule="auto"/>
        <w:ind w:firstLine="720"/>
        <w:contextualSpacing/>
        <w:jc w:val="both"/>
      </w:pPr>
      <w:r w:rsidRPr="00BD38DC">
        <w:t>Για παράδειγμα, αν ένα αγαθό κοστίζει $10 στις ΗΠΑ και το ίδιο αγαθό κοστίζει €10 στην Ευρώπη, τότε η ι</w:t>
      </w:r>
      <w:r w:rsidR="00871C84">
        <w:t xml:space="preserve">σοτιμία όψεως €/$ θα ισούται με ένα βάση της απόλυτης ΙΑΔ. </w:t>
      </w:r>
      <w:r w:rsidRPr="00BD38DC">
        <w:t>Στην περίπτωση που οι εκφρασμένες τιμές στο ίδιο νόμισμα διαφέρουν, τότε η ισοτιμία όψεως θα μεταβληθεί κατά τέτοιο τρόπο ώστε να αποκατασ</w:t>
      </w:r>
      <w:r w:rsidR="00871C84">
        <w:t>ταθεί η ισότητα της παραπάνω σχέσης</w:t>
      </w:r>
      <w:r w:rsidRPr="00BD38DC">
        <w:t xml:space="preserve">. </w:t>
      </w:r>
      <w:r w:rsidR="00871C84">
        <w:t xml:space="preserve">Όμως θα πρέπει να πούμε ότι πολλές φορές </w:t>
      </w:r>
      <w:r w:rsidRPr="00BD38DC">
        <w:t xml:space="preserve">η ύπαρξη δασμών, κόστους συναλλαγών και λοιπών εμπορικών </w:t>
      </w:r>
      <w:r w:rsidRPr="00BD38DC">
        <w:lastRenderedPageBreak/>
        <w:t>περιορισμών</w:t>
      </w:r>
      <w:r w:rsidR="00C446F0" w:rsidRPr="00C446F0">
        <w:t>,</w:t>
      </w:r>
      <w:r w:rsidRPr="00BD38DC">
        <w:t xml:space="preserve"> συμβάλλουν στη διαφοροποίηση των τιμών των ίδιων αγαθών</w:t>
      </w:r>
      <w:r w:rsidR="00C446F0" w:rsidRPr="00C446F0">
        <w:t>,</w:t>
      </w:r>
      <w:r w:rsidRPr="00BD38DC">
        <w:t xml:space="preserve"> με αποτέλεσμα να παρατηρούνται αποκλίσεις από το νόμο της μίας τιμής.</w:t>
      </w:r>
    </w:p>
    <w:p w:rsidR="00C446F0" w:rsidRDefault="00871C84" w:rsidP="00C446F0">
      <w:pPr>
        <w:spacing w:line="360" w:lineRule="auto"/>
        <w:ind w:firstLine="720"/>
        <w:contextualSpacing/>
        <w:jc w:val="both"/>
      </w:pPr>
      <w:r w:rsidRPr="00C446F0">
        <w:t>Σύμφωνα με τη σχέση (7</w:t>
      </w:r>
      <w:r w:rsidR="003308DD" w:rsidRPr="00C446F0">
        <w:t>.12</w:t>
      </w:r>
      <w:r w:rsidRPr="00C446F0">
        <w:t>) η ισοτιμία όψεως προσδιορίζεται από το λόγο των σχετικών τιμών</w:t>
      </w:r>
      <w:r w:rsidR="00C446F0" w:rsidRPr="00C446F0">
        <w:t xml:space="preserve"> </w:t>
      </w:r>
      <w:r w:rsidR="00C446F0">
        <w:t>και</w:t>
      </w:r>
      <w:r w:rsidRPr="00C446F0">
        <w:t xml:space="preserve"> παρουσιάζεται γραφικά στο γράφημα </w:t>
      </w:r>
      <w:r w:rsidR="00C446F0">
        <w:t xml:space="preserve">7.10 </w:t>
      </w:r>
      <w:r w:rsidRPr="00C446F0">
        <w:t>μέσω της ευθείας ΙΑΔ</w:t>
      </w:r>
      <w:r w:rsidR="00C446F0">
        <w:t>,</w:t>
      </w:r>
      <w:r w:rsidRPr="00C446F0">
        <w:t xml:space="preserve"> η κλίση της οποίας είναι P*.</w:t>
      </w:r>
      <w:r w:rsidR="00C446F0">
        <w:t xml:space="preserve"> </w:t>
      </w:r>
      <w:r w:rsidR="00C446F0" w:rsidRPr="00871C84">
        <w:t xml:space="preserve">Όλα τα σημεία που εντοπίζονται προς επάνω και αριστερά της ΙΑΔ (όπως το Β) </w:t>
      </w:r>
      <w:r w:rsidR="00C446F0">
        <w:t xml:space="preserve">αντιστοιχούν σε μια ισοτιμία </w:t>
      </w:r>
      <w:r w:rsidR="00C446F0" w:rsidRPr="00871C84">
        <w:t xml:space="preserve">όψεως που είναι μικρότερη από αυτή που </w:t>
      </w:r>
      <w:r w:rsidR="00C446F0">
        <w:t>υποστηρίζει</w:t>
      </w:r>
      <w:r w:rsidR="00C446F0" w:rsidRPr="00871C84">
        <w:t xml:space="preserve"> η θεωρία ΙΑΔ</w:t>
      </w:r>
      <w:r w:rsidR="00C446F0">
        <w:t>. Δηλαδή το εγχώριο νόμισμα θεωρείται υπερτιμημένο με βάση την ΙΑΔ</w:t>
      </w:r>
      <w:r w:rsidR="00C446F0" w:rsidRPr="00871C84">
        <w:t>.</w:t>
      </w:r>
      <w:r w:rsidR="00C446F0">
        <w:t xml:space="preserve"> Αντίστοιχα τα σημεία δεξιά της ΙΑΔ αντιστοιχούν σε μια ισοτιμία </w:t>
      </w:r>
      <w:r w:rsidR="00C446F0" w:rsidRPr="00871C84">
        <w:t xml:space="preserve">όψεως που είναι </w:t>
      </w:r>
      <w:r w:rsidR="00C446F0">
        <w:t>μεγαλύ</w:t>
      </w:r>
      <w:r w:rsidR="00C446F0" w:rsidRPr="00871C84">
        <w:t xml:space="preserve">τερη από αυτή που </w:t>
      </w:r>
      <w:r w:rsidR="00C446F0">
        <w:t>υποστηρίζει</w:t>
      </w:r>
      <w:r w:rsidR="00C446F0" w:rsidRPr="00871C84">
        <w:t xml:space="preserve"> η θεωρία ΙΑΔ.</w:t>
      </w:r>
    </w:p>
    <w:p w:rsidR="00C446F0" w:rsidRDefault="00C446F0" w:rsidP="008F73F8">
      <w:pPr>
        <w:spacing w:line="360" w:lineRule="auto"/>
        <w:contextualSpacing/>
        <w:jc w:val="center"/>
        <w:rPr>
          <w:b/>
        </w:rPr>
      </w:pPr>
    </w:p>
    <w:p w:rsidR="007607B9" w:rsidRPr="007607B9" w:rsidRDefault="007607B9" w:rsidP="008F73F8">
      <w:pPr>
        <w:spacing w:line="360" w:lineRule="auto"/>
        <w:contextualSpacing/>
        <w:jc w:val="center"/>
      </w:pPr>
      <w:r w:rsidRPr="007607B9">
        <w:rPr>
          <w:b/>
        </w:rPr>
        <w:t xml:space="preserve">Γράφημα </w:t>
      </w:r>
      <w:r w:rsidR="00C20231" w:rsidRPr="00C20231">
        <w:rPr>
          <w:b/>
        </w:rPr>
        <w:t>7.10</w:t>
      </w:r>
      <w:r>
        <w:t xml:space="preserve"> Γραφική απεικόνιση της ΙΑΔ</w:t>
      </w:r>
    </w:p>
    <w:p w:rsidR="007607B9" w:rsidRDefault="007607B9" w:rsidP="008F73F8">
      <w:pPr>
        <w:spacing w:line="360" w:lineRule="auto"/>
        <w:contextualSpacing/>
        <w:jc w:val="center"/>
      </w:pPr>
      <w:r>
        <w:rPr>
          <w:noProof/>
        </w:rPr>
        <w:drawing>
          <wp:inline distT="0" distB="0" distL="0" distR="0">
            <wp:extent cx="3230088" cy="2497761"/>
            <wp:effectExtent l="19050" t="19050" r="27940" b="17145"/>
            <wp:docPr id="47123" name="Εικόνα 4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x_5.jpg"/>
                    <pic:cNvPicPr/>
                  </pic:nvPicPr>
                  <pic:blipFill rotWithShape="1">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0101" b="31784"/>
                    <a:stretch/>
                  </pic:blipFill>
                  <pic:spPr bwMode="auto">
                    <a:xfrm>
                      <a:off x="0" y="0"/>
                      <a:ext cx="3229340" cy="2497183"/>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607B9" w:rsidRDefault="007607B9" w:rsidP="00871C84">
      <w:pPr>
        <w:spacing w:line="360" w:lineRule="auto"/>
        <w:contextualSpacing/>
        <w:jc w:val="both"/>
      </w:pPr>
    </w:p>
    <w:tbl>
      <w:tblPr>
        <w:tblStyle w:val="af3"/>
        <w:tblW w:w="0" w:type="auto"/>
        <w:tblLook w:val="04A0"/>
      </w:tblPr>
      <w:tblGrid>
        <w:gridCol w:w="8528"/>
      </w:tblGrid>
      <w:tr w:rsidR="00DF6807" w:rsidTr="00DF6807">
        <w:tc>
          <w:tcPr>
            <w:tcW w:w="8522" w:type="dxa"/>
          </w:tcPr>
          <w:p w:rsidR="00DF6807" w:rsidRPr="00E34910" w:rsidRDefault="00DF6807" w:rsidP="00DF6807">
            <w:pPr>
              <w:pStyle w:val="ae"/>
              <w:ind w:left="0"/>
              <w:jc w:val="both"/>
              <w:rPr>
                <w:rFonts w:ascii="Times New Roman" w:hAnsi="Times New Roman"/>
                <w:b/>
                <w:i/>
              </w:rPr>
            </w:pPr>
            <w:r w:rsidRPr="00E34910">
              <w:rPr>
                <w:rFonts w:ascii="Times New Roman" w:hAnsi="Times New Roman"/>
                <w:b/>
                <w:i/>
              </w:rPr>
              <w:t>Πλαίσιο 2</w:t>
            </w:r>
          </w:p>
          <w:p w:rsidR="00DF6807" w:rsidRPr="00E34910" w:rsidRDefault="00DF6807" w:rsidP="00DF6807">
            <w:pPr>
              <w:pStyle w:val="ae"/>
              <w:ind w:left="0"/>
              <w:jc w:val="both"/>
              <w:rPr>
                <w:rFonts w:ascii="Times New Roman" w:hAnsi="Times New Roman"/>
                <w:b/>
                <w:i/>
              </w:rPr>
            </w:pPr>
          </w:p>
          <w:p w:rsidR="00DF6807" w:rsidRPr="00E34910" w:rsidRDefault="00DF6807" w:rsidP="00DF6807">
            <w:pPr>
              <w:pStyle w:val="ae"/>
              <w:ind w:left="0"/>
              <w:jc w:val="both"/>
              <w:rPr>
                <w:rFonts w:ascii="Times New Roman" w:hAnsi="Times New Roman"/>
                <w:b/>
                <w:i/>
              </w:rPr>
            </w:pPr>
            <w:r w:rsidRPr="00E34910">
              <w:rPr>
                <w:rFonts w:ascii="Times New Roman" w:hAnsi="Times New Roman"/>
                <w:b/>
                <w:i/>
              </w:rPr>
              <w:t xml:space="preserve">Ο Δείκτης </w:t>
            </w:r>
            <w:r w:rsidRPr="00E34910">
              <w:rPr>
                <w:rFonts w:ascii="Times New Roman" w:hAnsi="Times New Roman"/>
                <w:b/>
                <w:i/>
                <w:lang w:val="en-US"/>
              </w:rPr>
              <w:t>Big</w:t>
            </w:r>
            <w:r w:rsidRPr="00E34910">
              <w:rPr>
                <w:rFonts w:ascii="Times New Roman" w:hAnsi="Times New Roman"/>
                <w:b/>
                <w:i/>
              </w:rPr>
              <w:t xml:space="preserve"> </w:t>
            </w:r>
            <w:r w:rsidRPr="00E34910">
              <w:rPr>
                <w:rFonts w:ascii="Times New Roman" w:hAnsi="Times New Roman"/>
                <w:b/>
                <w:i/>
                <w:lang w:val="en-US"/>
              </w:rPr>
              <w:t>Mac</w:t>
            </w:r>
            <w:r w:rsidRPr="00E34910">
              <w:rPr>
                <w:rFonts w:ascii="Times New Roman" w:hAnsi="Times New Roman"/>
                <w:b/>
                <w:i/>
              </w:rPr>
              <w:t xml:space="preserve"> </w:t>
            </w:r>
          </w:p>
          <w:p w:rsidR="00DF6807" w:rsidRPr="00DF6807" w:rsidRDefault="00DF6807" w:rsidP="00DF6807">
            <w:pPr>
              <w:pStyle w:val="ae"/>
              <w:ind w:left="0"/>
              <w:jc w:val="both"/>
              <w:rPr>
                <w:rFonts w:ascii="Times New Roman" w:hAnsi="Times New Roman"/>
                <w:b/>
                <w:sz w:val="26"/>
                <w:szCs w:val="26"/>
              </w:rPr>
            </w:pPr>
          </w:p>
          <w:p w:rsidR="00DF6807" w:rsidRPr="00F5424F" w:rsidRDefault="00DF6807" w:rsidP="00AC36DB">
            <w:pPr>
              <w:spacing w:line="360" w:lineRule="auto"/>
              <w:jc w:val="both"/>
              <w:rPr>
                <w:rFonts w:ascii="Times New Roman" w:hAnsi="Times New Roman"/>
              </w:rPr>
            </w:pPr>
            <w:r w:rsidRPr="00162DA8">
              <w:rPr>
                <w:rFonts w:ascii="Times New Roman" w:hAnsi="Times New Roman"/>
              </w:rPr>
              <w:t xml:space="preserve">Ο δείκτης </w:t>
            </w:r>
            <w:proofErr w:type="spellStart"/>
            <w:r w:rsidRPr="00162DA8">
              <w:rPr>
                <w:rFonts w:ascii="Times New Roman" w:hAnsi="Times New Roman"/>
              </w:rPr>
              <w:t>Big</w:t>
            </w:r>
            <w:proofErr w:type="spellEnd"/>
            <w:r w:rsidRPr="00162DA8">
              <w:rPr>
                <w:rFonts w:ascii="Times New Roman" w:hAnsi="Times New Roman"/>
              </w:rPr>
              <w:t xml:space="preserve"> </w:t>
            </w:r>
            <w:proofErr w:type="spellStart"/>
            <w:r w:rsidRPr="00162DA8">
              <w:rPr>
                <w:rFonts w:ascii="Times New Roman" w:hAnsi="Times New Roman"/>
              </w:rPr>
              <w:t>Mac</w:t>
            </w:r>
            <w:proofErr w:type="spellEnd"/>
            <w:r w:rsidRPr="00162DA8">
              <w:rPr>
                <w:rFonts w:ascii="Times New Roman" w:hAnsi="Times New Roman"/>
              </w:rPr>
              <w:t xml:space="preserve"> </w:t>
            </w:r>
            <w:r>
              <w:rPr>
                <w:rFonts w:ascii="Times New Roman" w:hAnsi="Times New Roman"/>
              </w:rPr>
              <w:t xml:space="preserve">επινοήθηκε από τον </w:t>
            </w:r>
            <w:proofErr w:type="spellStart"/>
            <w:r>
              <w:rPr>
                <w:rFonts w:ascii="Times New Roman" w:hAnsi="Times New Roman"/>
              </w:rPr>
              <w:t>Economist</w:t>
            </w:r>
            <w:proofErr w:type="spellEnd"/>
            <w:r>
              <w:rPr>
                <w:rFonts w:ascii="Times New Roman" w:hAnsi="Times New Roman"/>
              </w:rPr>
              <w:t xml:space="preserve"> το 1986 ως ένας μηχανισμός πρόβλεψης της κατεύθυνσης και προσεγγιστικής αποτίμησης του επιπέδου </w:t>
            </w:r>
            <w:r w:rsidRPr="00BB2059">
              <w:rPr>
                <w:rFonts w:ascii="Times New Roman" w:hAnsi="Times New Roman"/>
                <w:color w:val="000000" w:themeColor="text1"/>
              </w:rPr>
              <w:t xml:space="preserve">των νομισματικών ισοτιμιών γύρω από </w:t>
            </w:r>
            <w:r>
              <w:rPr>
                <w:rFonts w:ascii="Times New Roman" w:hAnsi="Times New Roman"/>
                <w:color w:val="000000" w:themeColor="text1"/>
              </w:rPr>
              <w:t>ένα θεωρητικό</w:t>
            </w:r>
            <w:r w:rsidRPr="00BB2059">
              <w:rPr>
                <w:rFonts w:ascii="Times New Roman" w:hAnsi="Times New Roman"/>
                <w:color w:val="000000" w:themeColor="text1"/>
              </w:rPr>
              <w:t xml:space="preserve"> επίπεδο ισορροπίας. Βασίζεται στη θεωρία της </w:t>
            </w:r>
            <w:r>
              <w:rPr>
                <w:rFonts w:ascii="Times New Roman" w:hAnsi="Times New Roman"/>
                <w:color w:val="000000" w:themeColor="text1"/>
              </w:rPr>
              <w:t>Απόλυτης Ι</w:t>
            </w:r>
            <w:r w:rsidRPr="00BB2059">
              <w:rPr>
                <w:rFonts w:ascii="Times New Roman" w:hAnsi="Times New Roman"/>
                <w:color w:val="000000" w:themeColor="text1"/>
              </w:rPr>
              <w:t>σοδυναμία</w:t>
            </w:r>
            <w:r>
              <w:rPr>
                <w:rFonts w:ascii="Times New Roman" w:hAnsi="Times New Roman"/>
                <w:color w:val="000000" w:themeColor="text1"/>
              </w:rPr>
              <w:t>ς Αγοραστικής Δ</w:t>
            </w:r>
            <w:r w:rsidRPr="00BB2059">
              <w:rPr>
                <w:rFonts w:ascii="Times New Roman" w:hAnsi="Times New Roman"/>
                <w:color w:val="000000" w:themeColor="text1"/>
              </w:rPr>
              <w:t>ύναμης (</w:t>
            </w:r>
            <w:r>
              <w:rPr>
                <w:rFonts w:ascii="Times New Roman" w:hAnsi="Times New Roman"/>
                <w:color w:val="000000" w:themeColor="text1"/>
              </w:rPr>
              <w:t>Α</w:t>
            </w:r>
            <w:proofErr w:type="spellStart"/>
            <w:r>
              <w:rPr>
                <w:rFonts w:ascii="Times New Roman" w:hAnsi="Times New Roman"/>
                <w:color w:val="000000" w:themeColor="text1"/>
                <w:lang w:val="en-US"/>
              </w:rPr>
              <w:t>bsolute</w:t>
            </w:r>
            <w:proofErr w:type="spellEnd"/>
            <w:r w:rsidRPr="00137F99">
              <w:rPr>
                <w:rFonts w:ascii="Times New Roman" w:hAnsi="Times New Roman"/>
                <w:color w:val="000000" w:themeColor="text1"/>
              </w:rPr>
              <w:t xml:space="preserve"> </w:t>
            </w:r>
            <w:r w:rsidRPr="00BB2059">
              <w:rPr>
                <w:rFonts w:ascii="Times New Roman" w:hAnsi="Times New Roman"/>
                <w:color w:val="000000" w:themeColor="text1"/>
              </w:rPr>
              <w:t xml:space="preserve">PPP), </w:t>
            </w:r>
            <w:r>
              <w:rPr>
                <w:rFonts w:ascii="Times New Roman" w:hAnsi="Times New Roman"/>
                <w:color w:val="000000" w:themeColor="text1"/>
              </w:rPr>
              <w:t xml:space="preserve">και ειδικότερα </w:t>
            </w:r>
            <w:r w:rsidRPr="00BB2059">
              <w:rPr>
                <w:rFonts w:ascii="Times New Roman" w:hAnsi="Times New Roman"/>
                <w:color w:val="000000" w:themeColor="text1"/>
              </w:rPr>
              <w:t xml:space="preserve">στην </w:t>
            </w:r>
            <w:r>
              <w:rPr>
                <w:rFonts w:ascii="Times New Roman" w:hAnsi="Times New Roman"/>
                <w:color w:val="000000" w:themeColor="text1"/>
              </w:rPr>
              <w:t>υπόθεση</w:t>
            </w:r>
            <w:r w:rsidRPr="00BB2059">
              <w:rPr>
                <w:rFonts w:ascii="Times New Roman" w:hAnsi="Times New Roman"/>
                <w:color w:val="000000" w:themeColor="text1"/>
              </w:rPr>
              <w:t xml:space="preserve"> ότι </w:t>
            </w:r>
            <w:r>
              <w:rPr>
                <w:rFonts w:ascii="Times New Roman" w:hAnsi="Times New Roman"/>
                <w:color w:val="000000" w:themeColor="text1"/>
              </w:rPr>
              <w:t>στο μακροχρόνιο ορίζοντα, σε μια ανοιχτή οικονομία με κυμαινόμενες</w:t>
            </w:r>
            <w:r w:rsidRPr="00BB2059">
              <w:rPr>
                <w:rFonts w:ascii="Times New Roman" w:hAnsi="Times New Roman"/>
                <w:color w:val="000000" w:themeColor="text1"/>
              </w:rPr>
              <w:t xml:space="preserve"> συναλλαγματικές ισοτιμίες</w:t>
            </w:r>
            <w:r>
              <w:rPr>
                <w:rFonts w:ascii="Times New Roman" w:hAnsi="Times New Roman"/>
                <w:color w:val="000000" w:themeColor="text1"/>
              </w:rPr>
              <w:t>,</w:t>
            </w:r>
            <w:r w:rsidRPr="00BB2059">
              <w:rPr>
                <w:rFonts w:ascii="Times New Roman" w:hAnsi="Times New Roman"/>
                <w:color w:val="000000" w:themeColor="text1"/>
              </w:rPr>
              <w:t xml:space="preserve"> η </w:t>
            </w:r>
            <w:r>
              <w:rPr>
                <w:rFonts w:ascii="Times New Roman" w:hAnsi="Times New Roman"/>
                <w:color w:val="000000" w:themeColor="text1"/>
              </w:rPr>
              <w:t>οικονομία</w:t>
            </w:r>
            <w:r w:rsidRPr="00BB2059">
              <w:rPr>
                <w:rFonts w:ascii="Times New Roman" w:hAnsi="Times New Roman"/>
                <w:color w:val="000000" w:themeColor="text1"/>
              </w:rPr>
              <w:t xml:space="preserve"> </w:t>
            </w:r>
            <w:r>
              <w:rPr>
                <w:rFonts w:ascii="Times New Roman" w:hAnsi="Times New Roman"/>
                <w:color w:val="000000" w:themeColor="text1"/>
              </w:rPr>
              <w:t xml:space="preserve">θα </w:t>
            </w:r>
            <w:r w:rsidRPr="00BB2059">
              <w:rPr>
                <w:rFonts w:ascii="Times New Roman" w:hAnsi="Times New Roman"/>
                <w:color w:val="000000" w:themeColor="text1"/>
              </w:rPr>
              <w:t xml:space="preserve">πρέπει να κινηθεί προς </w:t>
            </w:r>
            <w:r>
              <w:rPr>
                <w:rFonts w:ascii="Times New Roman" w:hAnsi="Times New Roman"/>
                <w:color w:val="000000" w:themeColor="text1"/>
              </w:rPr>
              <w:t>την κατεύθυνση</w:t>
            </w:r>
            <w:r w:rsidRPr="00BB2059">
              <w:rPr>
                <w:rFonts w:ascii="Times New Roman" w:hAnsi="Times New Roman"/>
                <w:color w:val="000000" w:themeColor="text1"/>
              </w:rPr>
              <w:t xml:space="preserve"> </w:t>
            </w:r>
            <w:r>
              <w:rPr>
                <w:rFonts w:ascii="Times New Roman" w:hAnsi="Times New Roman"/>
                <w:color w:val="000000" w:themeColor="text1"/>
              </w:rPr>
              <w:t>εκείνη που θα εξισών</w:t>
            </w:r>
            <w:r w:rsidRPr="00BB2059">
              <w:rPr>
                <w:rFonts w:ascii="Times New Roman" w:hAnsi="Times New Roman"/>
                <w:color w:val="000000" w:themeColor="text1"/>
              </w:rPr>
              <w:t>ει τις τιμές του ίδιου καλαθιού</w:t>
            </w:r>
            <w:r w:rsidRPr="00162DA8">
              <w:rPr>
                <w:rFonts w:ascii="Times New Roman" w:hAnsi="Times New Roman"/>
              </w:rPr>
              <w:t xml:space="preserve"> αγαθών και υπηρεσιών (σε αυτή την περίπτωση, ένα </w:t>
            </w:r>
            <w:proofErr w:type="spellStart"/>
            <w:r w:rsidRPr="00162DA8">
              <w:rPr>
                <w:rFonts w:ascii="Times New Roman" w:hAnsi="Times New Roman"/>
              </w:rPr>
              <w:t>burger</w:t>
            </w:r>
            <w:proofErr w:type="spellEnd"/>
            <w:r w:rsidRPr="00162DA8">
              <w:rPr>
                <w:rFonts w:ascii="Times New Roman" w:hAnsi="Times New Roman"/>
              </w:rPr>
              <w:t xml:space="preserve">) σε </w:t>
            </w:r>
            <w:r w:rsidR="00E34910">
              <w:rPr>
                <w:rFonts w:ascii="Times New Roman" w:hAnsi="Times New Roman"/>
              </w:rPr>
              <w:t xml:space="preserve">μια </w:t>
            </w:r>
            <w:r>
              <w:rPr>
                <w:rFonts w:ascii="Times New Roman" w:hAnsi="Times New Roman"/>
              </w:rPr>
              <w:lastRenderedPageBreak/>
              <w:t>από τις δύο χώρ</w:t>
            </w:r>
            <w:r w:rsidR="00F5424F">
              <w:rPr>
                <w:rFonts w:ascii="Times New Roman" w:hAnsi="Times New Roman"/>
              </w:rPr>
              <w:t>ες, όταν εξετάζονται ανά ζεύγη.</w:t>
            </w:r>
          </w:p>
          <w:p w:rsidR="00DF6807" w:rsidRPr="00695BBB" w:rsidRDefault="00DF6807" w:rsidP="00AC36DB">
            <w:pPr>
              <w:pStyle w:val="ae"/>
              <w:spacing w:line="360" w:lineRule="auto"/>
              <w:ind w:left="0"/>
              <w:jc w:val="both"/>
              <w:rPr>
                <w:rFonts w:ascii="Times New Roman" w:eastAsiaTheme="minorEastAsia" w:hAnsi="Times New Roman"/>
              </w:rPr>
            </w:pPr>
            <w:r w:rsidRPr="00695BBB">
              <w:rPr>
                <w:rFonts w:ascii="Times New Roman" w:eastAsiaTheme="minorEastAsia" w:hAnsi="Times New Roman"/>
              </w:rPr>
              <w:t xml:space="preserve">Κατά συνέπεια, τυχόν αποκλίσεις μεταξύ διαφόρων χωρών, όταν λαμβάνεται υπόψη η συναλλαγματική ισοτιμία, θα πρέπει να ερμηνεύονται </w:t>
            </w:r>
            <w:r>
              <w:rPr>
                <w:rFonts w:ascii="Times New Roman" w:eastAsiaTheme="minorEastAsia" w:hAnsi="Times New Roman"/>
              </w:rPr>
              <w:t>ως</w:t>
            </w:r>
            <w:r w:rsidR="00E34910">
              <w:rPr>
                <w:rFonts w:ascii="Times New Roman" w:eastAsiaTheme="minorEastAsia" w:hAnsi="Times New Roman"/>
              </w:rPr>
              <w:t xml:space="preserve"> παραβιάσεις του «νόμου της μίας τ</w:t>
            </w:r>
            <w:r w:rsidRPr="00695BBB">
              <w:rPr>
                <w:rFonts w:ascii="Times New Roman" w:eastAsiaTheme="minorEastAsia" w:hAnsi="Times New Roman"/>
              </w:rPr>
              <w:t>ιμής</w:t>
            </w:r>
            <w:r w:rsidR="00E34910">
              <w:rPr>
                <w:rFonts w:ascii="Times New Roman" w:eastAsiaTheme="minorEastAsia" w:hAnsi="Times New Roman"/>
              </w:rPr>
              <w:t>»</w:t>
            </w:r>
            <w:r>
              <w:rPr>
                <w:rFonts w:ascii="Times New Roman" w:eastAsiaTheme="minorEastAsia" w:hAnsi="Times New Roman"/>
              </w:rPr>
              <w:t>,</w:t>
            </w:r>
            <w:r w:rsidRPr="00695BBB">
              <w:rPr>
                <w:rFonts w:ascii="Times New Roman" w:eastAsiaTheme="minorEastAsia" w:hAnsi="Times New Roman"/>
              </w:rPr>
              <w:t xml:space="preserve"> πάνω στην οποία βασίζεται η </w:t>
            </w:r>
            <w:r w:rsidR="00E34910">
              <w:rPr>
                <w:rFonts w:ascii="Times New Roman" w:eastAsiaTheme="minorEastAsia" w:hAnsi="Times New Roman"/>
              </w:rPr>
              <w:t>α</w:t>
            </w:r>
            <w:r w:rsidRPr="00695BBB">
              <w:rPr>
                <w:rFonts w:ascii="Times New Roman" w:eastAsiaTheme="minorEastAsia" w:hAnsi="Times New Roman"/>
              </w:rPr>
              <w:t>πόλυτη ΙΑΔ.</w:t>
            </w:r>
            <w:r>
              <w:rPr>
                <w:rFonts w:ascii="Times New Roman" w:eastAsiaTheme="minorEastAsia" w:hAnsi="Times New Roman"/>
              </w:rPr>
              <w:t xml:space="preserve"> </w:t>
            </w:r>
            <w:r w:rsidRPr="00695BBB">
              <w:rPr>
                <w:rFonts w:ascii="Times New Roman" w:eastAsiaTheme="minorEastAsia" w:hAnsi="Times New Roman"/>
              </w:rPr>
              <w:t xml:space="preserve">Ενδεικτικοί παράγοντες που συμβάλλουν στην παραβίαση της </w:t>
            </w:r>
            <w:r w:rsidR="00E34910">
              <w:rPr>
                <w:rFonts w:ascii="Times New Roman" w:eastAsiaTheme="minorEastAsia" w:hAnsi="Times New Roman"/>
              </w:rPr>
              <w:t>α</w:t>
            </w:r>
            <w:r w:rsidRPr="00695BBB">
              <w:rPr>
                <w:rFonts w:ascii="Times New Roman" w:eastAsiaTheme="minorEastAsia" w:hAnsi="Times New Roman"/>
              </w:rPr>
              <w:t>πόλυτης ΙΑΔ είναι διαφορές σε φόρους, ενοίκια, μισθούς, βιομηχανικά έξοδα κλπ.</w:t>
            </w:r>
            <w:r>
              <w:rPr>
                <w:rFonts w:ascii="Times New Roman" w:eastAsiaTheme="minorEastAsia" w:hAnsi="Times New Roman"/>
              </w:rPr>
              <w:t xml:space="preserve"> </w:t>
            </w:r>
            <w:r w:rsidRPr="00695BBB">
              <w:rPr>
                <w:rFonts w:ascii="Times New Roman" w:eastAsiaTheme="minorEastAsia" w:hAnsi="Times New Roman"/>
              </w:rPr>
              <w:t xml:space="preserve">Επομένως, επειδή </w:t>
            </w:r>
            <w:r>
              <w:rPr>
                <w:rFonts w:ascii="Times New Roman" w:eastAsiaTheme="minorEastAsia" w:hAnsi="Times New Roman"/>
              </w:rPr>
              <w:t>αναφέρεται</w:t>
            </w:r>
            <w:r w:rsidRPr="00695BBB">
              <w:rPr>
                <w:rFonts w:ascii="Times New Roman" w:eastAsiaTheme="minorEastAsia" w:hAnsi="Times New Roman"/>
              </w:rPr>
              <w:t xml:space="preserve"> ουσιαστικά </w:t>
            </w:r>
            <w:r>
              <w:rPr>
                <w:rFonts w:ascii="Times New Roman" w:eastAsiaTheme="minorEastAsia" w:hAnsi="Times New Roman"/>
              </w:rPr>
              <w:t>σε</w:t>
            </w:r>
            <w:r w:rsidRPr="00695BBB">
              <w:rPr>
                <w:rFonts w:ascii="Times New Roman" w:eastAsiaTheme="minorEastAsia" w:hAnsi="Times New Roman"/>
              </w:rPr>
              <w:t xml:space="preserve"> ένα ομοιογενές προϊόν, ο δείκτης </w:t>
            </w:r>
            <w:r w:rsidRPr="00695BBB">
              <w:rPr>
                <w:rFonts w:ascii="Times New Roman" w:eastAsiaTheme="minorEastAsia" w:hAnsi="Times New Roman"/>
                <w:lang w:val="en-US"/>
              </w:rPr>
              <w:t>Big</w:t>
            </w:r>
            <w:r w:rsidRPr="00695BBB">
              <w:rPr>
                <w:rFonts w:ascii="Times New Roman" w:eastAsiaTheme="minorEastAsia" w:hAnsi="Times New Roman"/>
              </w:rPr>
              <w:t xml:space="preserve"> </w:t>
            </w:r>
            <w:r w:rsidRPr="00695BBB">
              <w:rPr>
                <w:rFonts w:ascii="Times New Roman" w:eastAsiaTheme="minorEastAsia" w:hAnsi="Times New Roman"/>
                <w:lang w:val="en-US"/>
              </w:rPr>
              <w:t>Mac</w:t>
            </w:r>
            <w:r w:rsidRPr="00695BBB">
              <w:rPr>
                <w:rFonts w:ascii="Times New Roman" w:eastAsiaTheme="minorEastAsia" w:hAnsi="Times New Roman"/>
              </w:rPr>
              <w:t xml:space="preserve"> ενδεχομένως να μπορεί να </w:t>
            </w:r>
            <w:r>
              <w:rPr>
                <w:rFonts w:ascii="Times New Roman" w:eastAsiaTheme="minorEastAsia" w:hAnsi="Times New Roman"/>
              </w:rPr>
              <w:t>χρησιμοποιηθεί</w:t>
            </w:r>
            <w:r w:rsidRPr="00695BBB">
              <w:rPr>
                <w:rFonts w:ascii="Times New Roman" w:eastAsiaTheme="minorEastAsia" w:hAnsi="Times New Roman"/>
              </w:rPr>
              <w:t xml:space="preserve"> </w:t>
            </w:r>
            <w:r>
              <w:rPr>
                <w:rFonts w:ascii="Times New Roman" w:eastAsiaTheme="minorEastAsia" w:hAnsi="Times New Roman"/>
              </w:rPr>
              <w:t xml:space="preserve">και </w:t>
            </w:r>
            <w:r w:rsidRPr="00695BBB">
              <w:rPr>
                <w:rFonts w:ascii="Times New Roman" w:eastAsiaTheme="minorEastAsia" w:hAnsi="Times New Roman"/>
              </w:rPr>
              <w:t xml:space="preserve">ως ένα εργαλείο προβλέψεων της κίνησης της ονομαστικής συναλλαγματικής ισοτιμίας μακροπρόθεσμα. </w:t>
            </w:r>
          </w:p>
          <w:p w:rsidR="00DF6807" w:rsidRPr="00AC36DB" w:rsidRDefault="00DF6807" w:rsidP="00AC36DB">
            <w:pPr>
              <w:spacing w:line="360" w:lineRule="auto"/>
              <w:jc w:val="both"/>
              <w:rPr>
                <w:rFonts w:ascii="Times New Roman" w:eastAsiaTheme="minorEastAsia" w:hAnsi="Times New Roman"/>
                <w:color w:val="000000" w:themeColor="text1"/>
              </w:rPr>
            </w:pPr>
            <w:r w:rsidRPr="00AC36DB">
              <w:rPr>
                <w:rFonts w:ascii="Times New Roman" w:eastAsiaTheme="minorEastAsia" w:hAnsi="Times New Roman"/>
                <w:color w:val="000000" w:themeColor="text1"/>
              </w:rPr>
              <w:t xml:space="preserve">Από μια πρακτική σκοπιά, η συναλλαγματική ισοτιμία με βάση τις τιμές του </w:t>
            </w:r>
            <w:r w:rsidRPr="00AC36DB">
              <w:rPr>
                <w:rFonts w:ascii="Times New Roman" w:eastAsiaTheme="minorEastAsia" w:hAnsi="Times New Roman"/>
                <w:color w:val="000000" w:themeColor="text1"/>
                <w:lang w:val="en-US"/>
              </w:rPr>
              <w:t>Big</w:t>
            </w:r>
            <w:r w:rsidRPr="00AC36DB">
              <w:rPr>
                <w:rFonts w:ascii="Times New Roman" w:eastAsiaTheme="minorEastAsia" w:hAnsi="Times New Roman"/>
                <w:color w:val="000000" w:themeColor="text1"/>
              </w:rPr>
              <w:t xml:space="preserve"> </w:t>
            </w:r>
            <w:r w:rsidRPr="00AC36DB">
              <w:rPr>
                <w:rFonts w:ascii="Times New Roman" w:eastAsiaTheme="minorEastAsia" w:hAnsi="Times New Roman"/>
                <w:color w:val="000000" w:themeColor="text1"/>
                <w:lang w:val="en-US"/>
              </w:rPr>
              <w:t>Mac</w:t>
            </w:r>
            <w:r w:rsidRPr="00AC36DB">
              <w:rPr>
                <w:rFonts w:ascii="Times New Roman" w:eastAsiaTheme="minorEastAsia" w:hAnsi="Times New Roman"/>
                <w:color w:val="000000" w:themeColor="text1"/>
              </w:rPr>
              <w:t xml:space="preserve">, είναι η ισοτιμία που εξισώνει την αξία του </w:t>
            </w:r>
            <w:r w:rsidRPr="00AC36DB">
              <w:rPr>
                <w:rFonts w:ascii="Times New Roman" w:eastAsiaTheme="minorEastAsia" w:hAnsi="Times New Roman"/>
                <w:color w:val="000000" w:themeColor="text1"/>
                <w:lang w:val="en-US"/>
              </w:rPr>
              <w:t>Big</w:t>
            </w:r>
            <w:r w:rsidRPr="00AC36DB">
              <w:rPr>
                <w:rFonts w:ascii="Times New Roman" w:eastAsiaTheme="minorEastAsia" w:hAnsi="Times New Roman"/>
                <w:color w:val="000000" w:themeColor="text1"/>
              </w:rPr>
              <w:t xml:space="preserve"> </w:t>
            </w:r>
            <w:r w:rsidRPr="00AC36DB">
              <w:rPr>
                <w:rFonts w:ascii="Times New Roman" w:eastAsiaTheme="minorEastAsia" w:hAnsi="Times New Roman"/>
                <w:color w:val="000000" w:themeColor="text1"/>
                <w:lang w:val="en-US"/>
              </w:rPr>
              <w:t>Mac</w:t>
            </w:r>
            <w:r w:rsidRPr="00AC36DB">
              <w:rPr>
                <w:rFonts w:ascii="Times New Roman" w:eastAsiaTheme="minorEastAsia" w:hAnsi="Times New Roman"/>
                <w:color w:val="000000" w:themeColor="text1"/>
              </w:rPr>
              <w:t xml:space="preserve"> σε κάθε χώρα, όταν εκφράζεται το κόστος σε δολάρια. Το πλεονέκτημα χρήσης του </w:t>
            </w:r>
            <w:r w:rsidRPr="00AC36DB">
              <w:rPr>
                <w:rFonts w:ascii="Times New Roman" w:eastAsiaTheme="minorEastAsia" w:hAnsi="Times New Roman"/>
                <w:color w:val="000000" w:themeColor="text1"/>
                <w:lang w:val="en-US"/>
              </w:rPr>
              <w:t>Big</w:t>
            </w:r>
            <w:r w:rsidRPr="00AC36DB">
              <w:rPr>
                <w:rFonts w:ascii="Times New Roman" w:eastAsiaTheme="minorEastAsia" w:hAnsi="Times New Roman"/>
                <w:color w:val="000000" w:themeColor="text1"/>
              </w:rPr>
              <w:t xml:space="preserve"> </w:t>
            </w:r>
            <w:r w:rsidRPr="00AC36DB">
              <w:rPr>
                <w:rFonts w:ascii="Times New Roman" w:eastAsiaTheme="minorEastAsia" w:hAnsi="Times New Roman"/>
                <w:color w:val="000000" w:themeColor="text1"/>
                <w:lang w:val="en-US"/>
              </w:rPr>
              <w:t>Mac</w:t>
            </w:r>
            <w:r w:rsidRPr="00AC36DB">
              <w:rPr>
                <w:rFonts w:ascii="Times New Roman" w:eastAsiaTheme="minorEastAsia" w:hAnsi="Times New Roman"/>
                <w:color w:val="000000" w:themeColor="text1"/>
              </w:rPr>
              <w:t xml:space="preserve"> είναι ότι η υλική σύνθεση του δεν αλλάζει (εκτός ελαχίστων εξαιρέσεων). Επιπλέον, η εταιρία </w:t>
            </w:r>
            <w:r w:rsidRPr="00AC36DB">
              <w:rPr>
                <w:rFonts w:ascii="Times New Roman" w:eastAsiaTheme="minorEastAsia" w:hAnsi="Times New Roman"/>
                <w:color w:val="000000" w:themeColor="text1"/>
                <w:lang w:val="en-US"/>
              </w:rPr>
              <w:t>McDonalds</w:t>
            </w:r>
            <w:r w:rsidRPr="00AC36DB">
              <w:rPr>
                <w:rFonts w:ascii="Times New Roman" w:eastAsiaTheme="minorEastAsia" w:hAnsi="Times New Roman"/>
                <w:color w:val="000000" w:themeColor="text1"/>
              </w:rPr>
              <w:t xml:space="preserve"> αναθέτει τα </w:t>
            </w:r>
            <w:r w:rsidRPr="00AC36DB">
              <w:rPr>
                <w:rFonts w:ascii="Times New Roman" w:eastAsiaTheme="minorEastAsia" w:hAnsi="Times New Roman"/>
                <w:color w:val="000000" w:themeColor="text1"/>
                <w:lang w:val="en-US"/>
              </w:rPr>
              <w:t>logistics</w:t>
            </w:r>
            <w:r w:rsidRPr="00AC36DB">
              <w:rPr>
                <w:rFonts w:ascii="Times New Roman" w:eastAsiaTheme="minorEastAsia" w:hAnsi="Times New Roman"/>
                <w:color w:val="000000" w:themeColor="text1"/>
              </w:rPr>
              <w:t xml:space="preserve"> σε τοπικούς προμηθευτές κάθε χώρας προκειμένου να μειώσει τα μεταφορικά έξοδα και διάφορα άλλα συναφή έξοδα. Οπότε, χρησιμοποιώντας την τιμή ενός προϊόντος ως έναν αντιπροσωπευτικό δείκτη τιμών το οποίο με τη σειρά του αντανακλάει την διαχρονική κίνηση της αγοραστικής δύναμης μπορούμε να προβούμε σε εκτιμήσεις σχετικές με τιμές νομισμάτων. </w:t>
            </w:r>
          </w:p>
          <w:p w:rsidR="00DF6807" w:rsidRDefault="00DF6807" w:rsidP="00AC36DB">
            <w:pPr>
              <w:spacing w:line="360" w:lineRule="auto"/>
              <w:jc w:val="both"/>
              <w:rPr>
                <w:rFonts w:ascii="Times New Roman" w:hAnsi="Times New Roman"/>
              </w:rPr>
            </w:pPr>
            <w:r w:rsidRPr="00100280">
              <w:rPr>
                <w:rFonts w:ascii="Times New Roman" w:hAnsi="Times New Roman"/>
              </w:rPr>
              <w:t xml:space="preserve">Για παράδειγμα, η μέση τιμή ενός </w:t>
            </w:r>
            <w:proofErr w:type="spellStart"/>
            <w:r w:rsidRPr="00100280">
              <w:rPr>
                <w:rFonts w:ascii="Times New Roman" w:hAnsi="Times New Roman"/>
              </w:rPr>
              <w:t>Big</w:t>
            </w:r>
            <w:proofErr w:type="spellEnd"/>
            <w:r w:rsidRPr="00100280">
              <w:rPr>
                <w:rFonts w:ascii="Times New Roman" w:hAnsi="Times New Roman"/>
              </w:rPr>
              <w:t xml:space="preserve"> </w:t>
            </w:r>
            <w:proofErr w:type="spellStart"/>
            <w:r w:rsidRPr="00100280">
              <w:rPr>
                <w:rFonts w:ascii="Times New Roman" w:hAnsi="Times New Roman"/>
              </w:rPr>
              <w:t>Mac</w:t>
            </w:r>
            <w:proofErr w:type="spellEnd"/>
            <w:r w:rsidRPr="00100280">
              <w:rPr>
                <w:rFonts w:ascii="Times New Roman" w:hAnsi="Times New Roman"/>
              </w:rPr>
              <w:t xml:space="preserve"> στην Αμερική τον Ιούλιο του 2014 ήταν 4,79 δολάρια. Στην Κίνα ήταν μόνο 2,73 δολάρια </w:t>
            </w:r>
            <w:r>
              <w:rPr>
                <w:rFonts w:ascii="Times New Roman" w:hAnsi="Times New Roman"/>
              </w:rPr>
              <w:t xml:space="preserve">εκφρασμένο </w:t>
            </w:r>
            <w:r w:rsidRPr="00100280">
              <w:rPr>
                <w:rFonts w:ascii="Times New Roman" w:hAnsi="Times New Roman"/>
              </w:rPr>
              <w:t xml:space="preserve">σε συναλλαγματικές ισοτιμίες της </w:t>
            </w:r>
            <w:r>
              <w:rPr>
                <w:rFonts w:ascii="Times New Roman" w:hAnsi="Times New Roman"/>
              </w:rPr>
              <w:t xml:space="preserve"> τρέχουσας </w:t>
            </w:r>
            <w:r w:rsidRPr="00100280">
              <w:rPr>
                <w:rFonts w:ascii="Times New Roman" w:hAnsi="Times New Roman"/>
              </w:rPr>
              <w:t xml:space="preserve">αγοράς. Έτσι, η ο πρώτος δείκτης του </w:t>
            </w:r>
            <w:proofErr w:type="spellStart"/>
            <w:r w:rsidRPr="00100280">
              <w:rPr>
                <w:rFonts w:ascii="Times New Roman" w:hAnsi="Times New Roman"/>
              </w:rPr>
              <w:t>Big</w:t>
            </w:r>
            <w:proofErr w:type="spellEnd"/>
            <w:r w:rsidRPr="00100280">
              <w:rPr>
                <w:rFonts w:ascii="Times New Roman" w:hAnsi="Times New Roman"/>
              </w:rPr>
              <w:t xml:space="preserve"> </w:t>
            </w:r>
            <w:proofErr w:type="spellStart"/>
            <w:r w:rsidRPr="00100280">
              <w:rPr>
                <w:rFonts w:ascii="Times New Roman" w:hAnsi="Times New Roman"/>
              </w:rPr>
              <w:t>Mac</w:t>
            </w:r>
            <w:proofErr w:type="spellEnd"/>
            <w:r w:rsidRPr="00100280">
              <w:rPr>
                <w:rFonts w:ascii="Times New Roman" w:hAnsi="Times New Roman"/>
              </w:rPr>
              <w:t xml:space="preserve"> λέει ότι το </w:t>
            </w:r>
            <w:proofErr w:type="spellStart"/>
            <w:r w:rsidRPr="00100280">
              <w:rPr>
                <w:rFonts w:ascii="Times New Roman" w:hAnsi="Times New Roman"/>
              </w:rPr>
              <w:t>γουάν</w:t>
            </w:r>
            <w:proofErr w:type="spellEnd"/>
            <w:r w:rsidRPr="00100280">
              <w:rPr>
                <w:rFonts w:ascii="Times New Roman" w:hAnsi="Times New Roman"/>
              </w:rPr>
              <w:t xml:space="preserve"> ήταν υποτιμημένο </w:t>
            </w:r>
            <w:r>
              <w:rPr>
                <w:rFonts w:ascii="Times New Roman" w:hAnsi="Times New Roman"/>
              </w:rPr>
              <w:t xml:space="preserve">ως προς το δολάριο </w:t>
            </w:r>
            <w:r w:rsidRPr="00100280">
              <w:rPr>
                <w:rFonts w:ascii="Times New Roman" w:hAnsi="Times New Roman"/>
              </w:rPr>
              <w:t xml:space="preserve">κατά 43% </w:t>
            </w:r>
            <w:r>
              <w:rPr>
                <w:rFonts w:ascii="Times New Roman" w:hAnsi="Times New Roman"/>
              </w:rPr>
              <w:t>τη συγκεκριμένη χρονική στιγμή</w:t>
            </w:r>
            <w:r w:rsidRPr="00100280">
              <w:rPr>
                <w:rFonts w:ascii="Times New Roman" w:hAnsi="Times New Roman"/>
              </w:rPr>
              <w:t>. </w:t>
            </w:r>
            <w:r>
              <w:rPr>
                <w:rFonts w:ascii="Times New Roman" w:hAnsi="Times New Roman"/>
              </w:rPr>
              <w:t xml:space="preserve">Το αποτέλεσμα αυτό είναι ιδιαίτερα </w:t>
            </w:r>
            <w:proofErr w:type="spellStart"/>
            <w:r>
              <w:rPr>
                <w:rFonts w:ascii="Times New Roman" w:hAnsi="Times New Roman"/>
              </w:rPr>
              <w:t>ανθετικό</w:t>
            </w:r>
            <w:proofErr w:type="spellEnd"/>
            <w:r>
              <w:rPr>
                <w:rFonts w:ascii="Times New Roman" w:hAnsi="Times New Roman"/>
              </w:rPr>
              <w:t xml:space="preserve"> τα τελευταία χρόνια και αυτό δεν αποτελεί έκπληξη. Το νόμισμα της Κίνας θεωρείται από τα πιο χειραγωγημένα νομίσματα και όπως φαίνεται από το παρακάτω γράφημα, τα </w:t>
            </w:r>
            <w:r w:rsidRPr="00A2460D">
              <w:rPr>
                <w:rFonts w:ascii="Times New Roman" w:hAnsi="Times New Roman"/>
                <w:color w:val="000000" w:themeColor="text1"/>
              </w:rPr>
              <w:t>τελευταία 8 χρόνια</w:t>
            </w:r>
            <w:r>
              <w:rPr>
                <w:rFonts w:ascii="Times New Roman" w:hAnsi="Times New Roman"/>
              </w:rPr>
              <w:t xml:space="preserve"> είναι συνεχώς υποτιμημένο σε σχέση με το αμερικάνικο δολάριο, αν και πρόσφατα έχει παρατηρηθεί μια αντιστροφή της τάσης αυτής, ως αποτέλεσμα της αλλαγής στάσης της Κίνας που επιτρέπει τη </w:t>
            </w:r>
            <w:proofErr w:type="spellStart"/>
            <w:r>
              <w:rPr>
                <w:rFonts w:ascii="Times New Roman" w:hAnsi="Times New Roman"/>
              </w:rPr>
              <w:t>σταδιάκή</w:t>
            </w:r>
            <w:proofErr w:type="spellEnd"/>
            <w:r>
              <w:rPr>
                <w:rFonts w:ascii="Times New Roman" w:hAnsi="Times New Roman"/>
              </w:rPr>
              <w:t xml:space="preserve"> ανατίμηση του νομίσματος της.</w:t>
            </w:r>
          </w:p>
          <w:p w:rsidR="00DF6807" w:rsidRDefault="00DF6807" w:rsidP="00AC36DB">
            <w:pPr>
              <w:pStyle w:val="ae"/>
              <w:spacing w:line="360" w:lineRule="auto"/>
              <w:ind w:left="0"/>
              <w:jc w:val="both"/>
              <w:rPr>
                <w:rFonts w:ascii="Times New Roman" w:hAnsi="Times New Roman"/>
              </w:rPr>
            </w:pPr>
            <w:r w:rsidRPr="00EE68A1">
              <w:rPr>
                <w:rFonts w:ascii="Times New Roman" w:hAnsi="Times New Roman"/>
                <w:szCs w:val="26"/>
              </w:rPr>
              <w:t xml:space="preserve">Ωστόσο, ο δείκτης </w:t>
            </w:r>
            <w:r w:rsidRPr="00EE68A1">
              <w:rPr>
                <w:rFonts w:ascii="Times New Roman" w:hAnsi="Times New Roman"/>
                <w:szCs w:val="26"/>
                <w:lang w:val="en-US"/>
              </w:rPr>
              <w:t>Big</w:t>
            </w:r>
            <w:r w:rsidRPr="00EE68A1">
              <w:rPr>
                <w:rFonts w:ascii="Times New Roman" w:hAnsi="Times New Roman"/>
                <w:szCs w:val="26"/>
              </w:rPr>
              <w:t xml:space="preserve"> </w:t>
            </w:r>
            <w:r w:rsidRPr="00EE68A1">
              <w:rPr>
                <w:rFonts w:ascii="Times New Roman" w:hAnsi="Times New Roman"/>
                <w:szCs w:val="26"/>
                <w:lang w:val="en-US"/>
              </w:rPr>
              <w:t>Mac</w:t>
            </w:r>
            <w:r w:rsidRPr="00EE68A1">
              <w:rPr>
                <w:rFonts w:ascii="Times New Roman" w:hAnsi="Times New Roman"/>
                <w:szCs w:val="26"/>
              </w:rPr>
              <w:t xml:space="preserve"> δεν είναι χρήσιμος μόνο σε περιπτώσεις συναλλαγματικού πολέμου. </w:t>
            </w:r>
            <w:r>
              <w:rPr>
                <w:rFonts w:ascii="Times New Roman" w:hAnsi="Times New Roman"/>
                <w:szCs w:val="26"/>
              </w:rPr>
              <w:t>Με</w:t>
            </w:r>
            <w:r w:rsidR="00EE02CF">
              <w:rPr>
                <w:rFonts w:ascii="Times New Roman" w:hAnsi="Times New Roman"/>
                <w:szCs w:val="26"/>
              </w:rPr>
              <w:t>τά το ξέσπασμα της κρίσης ακινή</w:t>
            </w:r>
            <w:r>
              <w:rPr>
                <w:rFonts w:ascii="Times New Roman" w:hAnsi="Times New Roman"/>
                <w:szCs w:val="26"/>
              </w:rPr>
              <w:t xml:space="preserve">των στις </w:t>
            </w:r>
            <w:r>
              <w:rPr>
                <w:rFonts w:ascii="Times New Roman" w:hAnsi="Times New Roman"/>
                <w:szCs w:val="20"/>
              </w:rPr>
              <w:t>Η.Π.Α.</w:t>
            </w:r>
            <w:r>
              <w:rPr>
                <w:rFonts w:ascii="Times New Roman" w:hAnsi="Times New Roman"/>
                <w:szCs w:val="26"/>
              </w:rPr>
              <w:t xml:space="preserve">, πολλές κεντρικές τράπεζες </w:t>
            </w:r>
            <w:r w:rsidRPr="00784A03">
              <w:rPr>
                <w:rFonts w:ascii="Times New Roman" w:hAnsi="Times New Roman"/>
                <w:szCs w:val="26"/>
              </w:rPr>
              <w:t>(</w:t>
            </w:r>
            <w:r>
              <w:rPr>
                <w:rFonts w:ascii="Times New Roman" w:hAnsi="Times New Roman"/>
                <w:szCs w:val="26"/>
                <w:lang w:val="en-US"/>
              </w:rPr>
              <w:t>FED</w:t>
            </w:r>
            <w:r w:rsidRPr="00784A03">
              <w:rPr>
                <w:rFonts w:ascii="Times New Roman" w:hAnsi="Times New Roman"/>
                <w:szCs w:val="26"/>
              </w:rPr>
              <w:t xml:space="preserve">, </w:t>
            </w:r>
            <w:r>
              <w:rPr>
                <w:rFonts w:ascii="Times New Roman" w:hAnsi="Times New Roman"/>
                <w:szCs w:val="26"/>
                <w:lang w:val="en-US"/>
              </w:rPr>
              <w:t>EKT</w:t>
            </w:r>
            <w:r w:rsidRPr="00784A03">
              <w:rPr>
                <w:rFonts w:ascii="Times New Roman" w:hAnsi="Times New Roman"/>
                <w:szCs w:val="26"/>
              </w:rPr>
              <w:t xml:space="preserve">, </w:t>
            </w:r>
            <w:r>
              <w:rPr>
                <w:rFonts w:ascii="Times New Roman" w:hAnsi="Times New Roman"/>
                <w:szCs w:val="26"/>
              </w:rPr>
              <w:t>κλπ) προσπαθούν να επηρεάσουν την τιμή του εθνικού νομίσματός τους μέσω της αγοράς κρατικών ομολόγων (</w:t>
            </w:r>
            <w:r>
              <w:rPr>
                <w:rFonts w:ascii="Times New Roman" w:hAnsi="Times New Roman"/>
                <w:szCs w:val="26"/>
                <w:lang w:val="en-US"/>
              </w:rPr>
              <w:t>quantitative</w:t>
            </w:r>
            <w:r w:rsidRPr="00784A03">
              <w:rPr>
                <w:rFonts w:ascii="Times New Roman" w:hAnsi="Times New Roman"/>
                <w:szCs w:val="26"/>
              </w:rPr>
              <w:t xml:space="preserve"> </w:t>
            </w:r>
            <w:r>
              <w:rPr>
                <w:rFonts w:ascii="Times New Roman" w:hAnsi="Times New Roman"/>
                <w:szCs w:val="26"/>
                <w:lang w:val="en-US"/>
              </w:rPr>
              <w:t>easing</w:t>
            </w:r>
            <w:r w:rsidRPr="00784A03">
              <w:rPr>
                <w:rFonts w:ascii="Times New Roman" w:hAnsi="Times New Roman"/>
                <w:szCs w:val="26"/>
              </w:rPr>
              <w:t xml:space="preserve">) </w:t>
            </w:r>
            <w:r>
              <w:rPr>
                <w:rFonts w:ascii="Times New Roman" w:hAnsi="Times New Roman"/>
                <w:szCs w:val="26"/>
              </w:rPr>
              <w:t>προκειμένου να παρέχουν ρευστότητα στην πραγματική οικονομία αλλά και να διατηρούν την ανταγωνιστικότητα της παραγωγικής βάσης κάθε χώρας.</w:t>
            </w:r>
          </w:p>
          <w:p w:rsidR="00DF6807" w:rsidRDefault="00DF6807" w:rsidP="00DF6807">
            <w:pPr>
              <w:pStyle w:val="ae"/>
              <w:ind w:left="0"/>
              <w:jc w:val="both"/>
              <w:rPr>
                <w:rFonts w:ascii="Times New Roman" w:hAnsi="Times New Roman"/>
                <w:b/>
                <w:sz w:val="26"/>
                <w:szCs w:val="26"/>
              </w:rPr>
            </w:pPr>
            <w:r w:rsidRPr="004B7D67">
              <w:rPr>
                <w:noProof/>
              </w:rPr>
              <w:lastRenderedPageBreak/>
              <w:drawing>
                <wp:inline distT="0" distB="0" distL="0" distR="0">
                  <wp:extent cx="5276850" cy="3838575"/>
                  <wp:effectExtent l="0" t="0" r="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DF6807" w:rsidRDefault="00DF6807" w:rsidP="00DF6807">
            <w:pPr>
              <w:pStyle w:val="ae"/>
              <w:ind w:left="0"/>
              <w:jc w:val="both"/>
              <w:rPr>
                <w:rFonts w:ascii="Times New Roman" w:hAnsi="Times New Roman"/>
                <w:b/>
                <w:sz w:val="26"/>
                <w:szCs w:val="26"/>
              </w:rPr>
            </w:pPr>
          </w:p>
          <w:p w:rsidR="00DF6807" w:rsidRPr="00784A03" w:rsidRDefault="00DF6807" w:rsidP="00AC36DB">
            <w:pPr>
              <w:pStyle w:val="ae"/>
              <w:spacing w:line="360" w:lineRule="auto"/>
              <w:ind w:left="0"/>
              <w:jc w:val="both"/>
              <w:rPr>
                <w:rFonts w:ascii="Times New Roman" w:hAnsi="Times New Roman"/>
                <w:szCs w:val="26"/>
              </w:rPr>
            </w:pPr>
            <w:r>
              <w:rPr>
                <w:rFonts w:ascii="Times New Roman" w:hAnsi="Times New Roman"/>
                <w:szCs w:val="26"/>
              </w:rPr>
              <w:t>Οι προσπάθειες αυτές δεν είναι πάντοτε, απόλυτα επιτυχείς. Ενδεικτικά, το αμερικάνικο δολάριο φαίνεται να έχει ενισχυθεί σημαντικά έναντι αρκετών σχετικά ισχυρών νομισμάτων, όπως το ευρώ και το ιαπωνικό γιεν. Η επιστροφή του ευρώ σε πιο λογικά επίπεδα – σε σχέση με την υπερτίμηση των προηγούμενων ετών – οφείλεται, βέβαια εν μέρει και στις κρίσεις χρέους διαφόρων χωρών-μελών του ευρώ αλλά και στην πρόσφατη κρίση της Ουκρανίας. Από την άλλη, η υποτίμηση του γιεν ήταν αποτέλεσμα της διοχέτευσης ρευστότητας από την ιαπωνική κεντρική τράπεζα.</w:t>
            </w:r>
          </w:p>
          <w:p w:rsidR="00910FBD" w:rsidRDefault="00910FBD" w:rsidP="00F5424F">
            <w:pPr>
              <w:spacing w:line="360" w:lineRule="auto"/>
              <w:jc w:val="both"/>
              <w:rPr>
                <w:rFonts w:ascii="Times New Roman" w:hAnsi="Times New Roman"/>
              </w:rPr>
            </w:pPr>
          </w:p>
          <w:p w:rsidR="00DF6807" w:rsidRPr="00F5424F" w:rsidRDefault="00DF6807" w:rsidP="00F5424F">
            <w:pPr>
              <w:spacing w:line="360" w:lineRule="auto"/>
              <w:jc w:val="both"/>
              <w:rPr>
                <w:rFonts w:ascii="Times New Roman" w:hAnsi="Times New Roman"/>
                <w:szCs w:val="20"/>
              </w:rPr>
            </w:pPr>
            <w:r>
              <w:rPr>
                <w:rFonts w:ascii="Times New Roman" w:hAnsi="Times New Roman"/>
              </w:rPr>
              <w:t xml:space="preserve">Για να γίνουν πιο κατανοητά όλα τα παραπάνω, παρακάτω αναλύουμε βήμα προς βήμα πως μπορούμε να διαπιστώσουμε πότε και πόσο ένα νόμισμα είναι υπερτιμημένο ή υποτιμημένο σε σχέση με ένα άλλο, με βάση τις τιμές ενός ομοιογενούς καλαθιού αγαθών σε διάφορες χώρες. Στην </w:t>
            </w:r>
            <w:proofErr w:type="spellStart"/>
            <w:r>
              <w:rPr>
                <w:rFonts w:ascii="Times New Roman" w:hAnsi="Times New Roman"/>
              </w:rPr>
              <w:t>περιπτωσή</w:t>
            </w:r>
            <w:proofErr w:type="spellEnd"/>
            <w:r>
              <w:rPr>
                <w:rFonts w:ascii="Times New Roman" w:hAnsi="Times New Roman"/>
              </w:rPr>
              <w:t xml:space="preserve"> μας χρησιμοποιούμε το </w:t>
            </w:r>
            <w:r>
              <w:rPr>
                <w:rFonts w:ascii="Times New Roman" w:hAnsi="Times New Roman"/>
                <w:lang w:val="en-US"/>
              </w:rPr>
              <w:t>Big</w:t>
            </w:r>
            <w:r w:rsidRPr="0001704D">
              <w:rPr>
                <w:rFonts w:ascii="Times New Roman" w:hAnsi="Times New Roman"/>
              </w:rPr>
              <w:t xml:space="preserve"> </w:t>
            </w:r>
            <w:r>
              <w:rPr>
                <w:rFonts w:ascii="Times New Roman" w:hAnsi="Times New Roman"/>
                <w:lang w:val="en-US"/>
              </w:rPr>
              <w:t>Mac</w:t>
            </w:r>
            <w:r w:rsidRPr="0001704D">
              <w:rPr>
                <w:rFonts w:ascii="Times New Roman" w:hAnsi="Times New Roman"/>
              </w:rPr>
              <w:t xml:space="preserve"> </w:t>
            </w:r>
            <w:r>
              <w:rPr>
                <w:rFonts w:ascii="Times New Roman" w:hAnsi="Times New Roman"/>
                <w:lang w:val="en-US"/>
              </w:rPr>
              <w:t>burger</w:t>
            </w:r>
            <w:r w:rsidRPr="0001704D">
              <w:rPr>
                <w:rFonts w:ascii="Times New Roman" w:hAnsi="Times New Roman"/>
              </w:rPr>
              <w:t xml:space="preserve"> </w:t>
            </w:r>
            <w:r>
              <w:rPr>
                <w:rFonts w:ascii="Times New Roman" w:hAnsi="Times New Roman"/>
              </w:rPr>
              <w:t xml:space="preserve">λόγω εύκολης πρόσβασης στα απαραίτητα δεδομένα για τις χώρες του </w:t>
            </w:r>
            <w:r>
              <w:rPr>
                <w:rFonts w:ascii="Times New Roman" w:hAnsi="Times New Roman"/>
                <w:szCs w:val="20"/>
              </w:rPr>
              <w:t>Ηνωμένου Βασιλείου, τον Καναδά, την Ιαπωνία, το Μεξικό και τις Η.Π.Α. που αποτελούν το νόμισμα βάσης</w:t>
            </w:r>
            <w:r w:rsidRPr="00F615E1">
              <w:rPr>
                <w:rFonts w:ascii="Times New Roman" w:hAnsi="Times New Roman"/>
                <w:szCs w:val="20"/>
              </w:rPr>
              <w:t>.</w:t>
            </w:r>
            <w:r>
              <w:rPr>
                <w:rFonts w:ascii="Times New Roman" w:hAnsi="Times New Roman"/>
                <w:szCs w:val="20"/>
              </w:rPr>
              <w:t xml:space="preserve"> </w:t>
            </w:r>
          </w:p>
          <w:p w:rsidR="00DF6807" w:rsidRDefault="00DF6807" w:rsidP="00AC36DB">
            <w:pPr>
              <w:spacing w:line="360" w:lineRule="auto"/>
              <w:jc w:val="both"/>
              <w:rPr>
                <w:rFonts w:ascii="Times New Roman" w:hAnsi="Times New Roman"/>
                <w:szCs w:val="20"/>
              </w:rPr>
            </w:pPr>
            <w:r>
              <w:rPr>
                <w:rFonts w:ascii="Times New Roman" w:hAnsi="Times New Roman"/>
                <w:szCs w:val="20"/>
              </w:rPr>
              <w:t>Ο</w:t>
            </w:r>
            <w:r w:rsidRPr="00415D0E">
              <w:rPr>
                <w:rFonts w:ascii="Times New Roman" w:hAnsi="Times New Roman"/>
                <w:szCs w:val="20"/>
              </w:rPr>
              <w:t xml:space="preserve"> κάτωθι πίνακας παρουσιάζει τις τιμές του </w:t>
            </w:r>
            <w:r>
              <w:rPr>
                <w:rFonts w:ascii="Times New Roman" w:hAnsi="Times New Roman"/>
                <w:szCs w:val="20"/>
                <w:lang w:val="en-US"/>
              </w:rPr>
              <w:t>Big</w:t>
            </w:r>
            <w:r w:rsidRPr="0001704D">
              <w:rPr>
                <w:rFonts w:ascii="Times New Roman" w:hAnsi="Times New Roman"/>
                <w:szCs w:val="20"/>
              </w:rPr>
              <w:t xml:space="preserve"> </w:t>
            </w:r>
            <w:r>
              <w:rPr>
                <w:rFonts w:ascii="Times New Roman" w:hAnsi="Times New Roman"/>
                <w:szCs w:val="20"/>
                <w:lang w:val="en-US"/>
              </w:rPr>
              <w:t>Mac</w:t>
            </w:r>
            <w:r w:rsidRPr="00415D0E">
              <w:rPr>
                <w:rFonts w:ascii="Times New Roman" w:hAnsi="Times New Roman"/>
                <w:szCs w:val="20"/>
              </w:rPr>
              <w:t xml:space="preserve"> </w:t>
            </w:r>
            <w:r>
              <w:rPr>
                <w:rFonts w:ascii="Times New Roman" w:hAnsi="Times New Roman"/>
                <w:szCs w:val="20"/>
              </w:rPr>
              <w:t xml:space="preserve">στην τοπική οικονομία </w:t>
            </w:r>
            <w:r w:rsidRPr="00415D0E">
              <w:rPr>
                <w:rFonts w:ascii="Times New Roman" w:hAnsi="Times New Roman"/>
                <w:szCs w:val="20"/>
              </w:rPr>
              <w:t xml:space="preserve">(δεύτερη στήλη), την </w:t>
            </w:r>
            <w:r>
              <w:rPr>
                <w:rFonts w:ascii="Times New Roman" w:hAnsi="Times New Roman"/>
                <w:szCs w:val="20"/>
              </w:rPr>
              <w:t xml:space="preserve">τιμή τους συναλλάγματος </w:t>
            </w:r>
            <w:r w:rsidRPr="00415D0E">
              <w:rPr>
                <w:rFonts w:ascii="Times New Roman" w:hAnsi="Times New Roman"/>
                <w:szCs w:val="20"/>
              </w:rPr>
              <w:t xml:space="preserve">(τρίτη στήλη), την τιμή του </w:t>
            </w:r>
            <w:r>
              <w:rPr>
                <w:rFonts w:ascii="Times New Roman" w:hAnsi="Times New Roman"/>
                <w:szCs w:val="20"/>
              </w:rPr>
              <w:t>τοπικού</w:t>
            </w:r>
            <w:r w:rsidRPr="00415D0E">
              <w:rPr>
                <w:rFonts w:ascii="Times New Roman" w:hAnsi="Times New Roman"/>
                <w:szCs w:val="20"/>
              </w:rPr>
              <w:t xml:space="preserve"> </w:t>
            </w:r>
            <w:r w:rsidRPr="00415D0E">
              <w:rPr>
                <w:rFonts w:ascii="Times New Roman" w:hAnsi="Times New Roman"/>
                <w:szCs w:val="20"/>
                <w:lang w:val="en-US"/>
              </w:rPr>
              <w:t>Big</w:t>
            </w:r>
            <w:r w:rsidRPr="00456C23">
              <w:rPr>
                <w:rFonts w:ascii="Times New Roman" w:hAnsi="Times New Roman"/>
                <w:szCs w:val="20"/>
              </w:rPr>
              <w:t xml:space="preserve"> </w:t>
            </w:r>
            <w:r w:rsidRPr="00415D0E">
              <w:rPr>
                <w:rFonts w:ascii="Times New Roman" w:hAnsi="Times New Roman"/>
                <w:szCs w:val="20"/>
                <w:lang w:val="en-US"/>
              </w:rPr>
              <w:t>Mac</w:t>
            </w:r>
            <w:r w:rsidRPr="00415D0E">
              <w:rPr>
                <w:rFonts w:ascii="Times New Roman" w:hAnsi="Times New Roman"/>
                <w:szCs w:val="20"/>
              </w:rPr>
              <w:t xml:space="preserve"> </w:t>
            </w:r>
            <w:r>
              <w:rPr>
                <w:rFonts w:ascii="Times New Roman" w:hAnsi="Times New Roman"/>
                <w:szCs w:val="20"/>
              </w:rPr>
              <w:t>εκφρασμένο σε αμερικάνικα δολάρια</w:t>
            </w:r>
            <w:r w:rsidR="00910FBD">
              <w:rPr>
                <w:rFonts w:ascii="Times New Roman" w:hAnsi="Times New Roman"/>
                <w:szCs w:val="20"/>
              </w:rPr>
              <w:t xml:space="preserve"> </w:t>
            </w:r>
            <w:r w:rsidRPr="00415D0E">
              <w:rPr>
                <w:rFonts w:ascii="Times New Roman" w:hAnsi="Times New Roman"/>
                <w:szCs w:val="20"/>
              </w:rPr>
              <w:t xml:space="preserve">(τέταρτη στήλη), την </w:t>
            </w:r>
            <w:r>
              <w:rPr>
                <w:rFonts w:ascii="Times New Roman" w:hAnsi="Times New Roman"/>
                <w:szCs w:val="20"/>
              </w:rPr>
              <w:t>υπονοούμενη τιμής της συναλλαγματικής ισοτιμίας με βάση την απόλυτη</w:t>
            </w:r>
            <w:r w:rsidRPr="00456C23">
              <w:rPr>
                <w:rFonts w:ascii="Times New Roman" w:hAnsi="Times New Roman"/>
                <w:szCs w:val="20"/>
              </w:rPr>
              <w:t xml:space="preserve"> </w:t>
            </w:r>
            <w:r w:rsidRPr="00415D0E">
              <w:rPr>
                <w:rFonts w:ascii="Times New Roman" w:hAnsi="Times New Roman"/>
                <w:szCs w:val="20"/>
                <w:lang w:val="en-US"/>
              </w:rPr>
              <w:t>PPP</w:t>
            </w:r>
            <w:r>
              <w:rPr>
                <w:rFonts w:ascii="Times New Roman" w:hAnsi="Times New Roman"/>
                <w:szCs w:val="20"/>
              </w:rPr>
              <w:t xml:space="preserve"> (π</w:t>
            </w:r>
            <w:r w:rsidRPr="00415D0E">
              <w:rPr>
                <w:rFonts w:ascii="Times New Roman" w:hAnsi="Times New Roman"/>
                <w:szCs w:val="20"/>
              </w:rPr>
              <w:t xml:space="preserve">έμπτη στήλη) και στην τελευταία </w:t>
            </w:r>
            <w:r w:rsidRPr="00415D0E">
              <w:rPr>
                <w:rFonts w:ascii="Times New Roman" w:hAnsi="Times New Roman"/>
                <w:szCs w:val="20"/>
              </w:rPr>
              <w:lastRenderedPageBreak/>
              <w:t xml:space="preserve">στήλη την </w:t>
            </w:r>
            <w:r>
              <w:rPr>
                <w:rFonts w:ascii="Times New Roman" w:hAnsi="Times New Roman"/>
                <w:szCs w:val="20"/>
              </w:rPr>
              <w:t xml:space="preserve">απαραίτητη </w:t>
            </w:r>
            <w:r w:rsidRPr="00415D0E">
              <w:rPr>
                <w:rFonts w:ascii="Times New Roman" w:hAnsi="Times New Roman"/>
                <w:szCs w:val="20"/>
              </w:rPr>
              <w:t xml:space="preserve">υποτίμηση ή ανατίμηση του </w:t>
            </w:r>
            <w:r>
              <w:rPr>
                <w:rFonts w:ascii="Times New Roman" w:hAnsi="Times New Roman"/>
                <w:szCs w:val="20"/>
              </w:rPr>
              <w:t xml:space="preserve">εκάστοτε τοπικού </w:t>
            </w:r>
            <w:r w:rsidRPr="00415D0E">
              <w:rPr>
                <w:rFonts w:ascii="Times New Roman" w:hAnsi="Times New Roman"/>
                <w:szCs w:val="20"/>
              </w:rPr>
              <w:t>νομίσματος έναντι του δολαρίου</w:t>
            </w:r>
            <w:r>
              <w:rPr>
                <w:rFonts w:ascii="Times New Roman" w:hAnsi="Times New Roman"/>
                <w:szCs w:val="20"/>
              </w:rPr>
              <w:t xml:space="preserve"> για τον μήνα Ιούλιο του 2014</w:t>
            </w:r>
            <w:r w:rsidRPr="00415D0E">
              <w:rPr>
                <w:rFonts w:ascii="Times New Roman" w:hAnsi="Times New Roman"/>
                <w:szCs w:val="20"/>
              </w:rPr>
              <w:t>.</w:t>
            </w:r>
          </w:p>
          <w:p w:rsidR="00DF6807" w:rsidRPr="0053050D" w:rsidRDefault="00DF6807" w:rsidP="00DF6807">
            <w:pPr>
              <w:jc w:val="both"/>
              <w:rPr>
                <w:rFonts w:ascii="Times New Roman" w:hAnsi="Times New Roman"/>
                <w:szCs w:val="20"/>
              </w:rPr>
            </w:pPr>
          </w:p>
          <w:tbl>
            <w:tblPr>
              <w:tblW w:w="8199" w:type="dxa"/>
              <w:tblInd w:w="103" w:type="dxa"/>
              <w:tblLook w:val="04A0"/>
            </w:tblPr>
            <w:tblGrid>
              <w:gridCol w:w="1154"/>
              <w:gridCol w:w="1068"/>
              <w:gridCol w:w="1617"/>
              <w:gridCol w:w="994"/>
              <w:gridCol w:w="1220"/>
              <w:gridCol w:w="2146"/>
            </w:tblGrid>
            <w:tr w:rsidR="00DF6807" w:rsidRPr="00F63F1D" w:rsidTr="006E6DC8">
              <w:trPr>
                <w:trHeight w:val="264"/>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07" w:rsidRPr="0001704D" w:rsidRDefault="00DF6807" w:rsidP="006E6DC8">
                  <w:pPr>
                    <w:jc w:val="center"/>
                    <w:rPr>
                      <w:b/>
                      <w:bCs/>
                      <w:sz w:val="18"/>
                      <w:szCs w:val="20"/>
                    </w:rPr>
                  </w:pPr>
                  <w:r w:rsidRPr="0001704D">
                    <w:rPr>
                      <w:b/>
                      <w:bCs/>
                      <w:sz w:val="18"/>
                      <w:szCs w:val="20"/>
                    </w:rPr>
                    <w:t>Χώρα</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F6807" w:rsidRPr="0001704D" w:rsidRDefault="00DF6807" w:rsidP="006E6DC8">
                  <w:pPr>
                    <w:jc w:val="center"/>
                    <w:rPr>
                      <w:b/>
                      <w:bCs/>
                      <w:sz w:val="18"/>
                      <w:szCs w:val="18"/>
                    </w:rPr>
                  </w:pPr>
                  <w:r w:rsidRPr="0001704D">
                    <w:rPr>
                      <w:b/>
                      <w:bCs/>
                      <w:sz w:val="18"/>
                      <w:szCs w:val="18"/>
                    </w:rPr>
                    <w:t>Τοπική Τιμή</w:t>
                  </w:r>
                  <w:r w:rsidRPr="0001704D">
                    <w:rPr>
                      <w:b/>
                      <w:bCs/>
                      <w:sz w:val="18"/>
                      <w:szCs w:val="18"/>
                      <w:lang w:val="en-US"/>
                    </w:rPr>
                    <w:t xml:space="preserve">       </w:t>
                  </w:r>
                  <w:r w:rsidRPr="0001704D">
                    <w:rPr>
                      <w:b/>
                      <w:bCs/>
                      <w:sz w:val="18"/>
                      <w:szCs w:val="18"/>
                    </w:rPr>
                    <w:t>(</w:t>
                  </w:r>
                  <w:r w:rsidRPr="0001704D">
                    <w:rPr>
                      <w:b/>
                      <w:bCs/>
                      <w:sz w:val="18"/>
                      <w:szCs w:val="18"/>
                      <w:lang w:val="en-US"/>
                    </w:rPr>
                    <w:t>Big Mac)</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DF6807" w:rsidRDefault="00DF6807" w:rsidP="006E6DC8">
                  <w:pPr>
                    <w:jc w:val="center"/>
                    <w:rPr>
                      <w:b/>
                      <w:bCs/>
                      <w:sz w:val="18"/>
                      <w:szCs w:val="18"/>
                    </w:rPr>
                  </w:pPr>
                  <w:r w:rsidRPr="0001704D">
                    <w:rPr>
                      <w:b/>
                      <w:bCs/>
                      <w:sz w:val="18"/>
                      <w:szCs w:val="18"/>
                    </w:rPr>
                    <w:t xml:space="preserve">Τιμή </w:t>
                  </w:r>
                  <w:r>
                    <w:rPr>
                      <w:b/>
                      <w:bCs/>
                      <w:sz w:val="18"/>
                      <w:szCs w:val="18"/>
                    </w:rPr>
                    <w:t>Ονομαστικής</w:t>
                  </w:r>
                </w:p>
                <w:p w:rsidR="00DF6807" w:rsidRPr="0001704D" w:rsidRDefault="00DF6807" w:rsidP="006E6DC8">
                  <w:pPr>
                    <w:jc w:val="center"/>
                    <w:rPr>
                      <w:b/>
                      <w:bCs/>
                      <w:sz w:val="18"/>
                      <w:szCs w:val="18"/>
                    </w:rPr>
                  </w:pPr>
                  <w:r w:rsidRPr="0001704D">
                    <w:rPr>
                      <w:b/>
                      <w:bCs/>
                      <w:sz w:val="18"/>
                      <w:szCs w:val="18"/>
                    </w:rPr>
                    <w:t>Συναλλαγματικής Ισοτιμίας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DF6807" w:rsidRPr="00FA79BE" w:rsidRDefault="00DF6807" w:rsidP="006E6DC8">
                  <w:pPr>
                    <w:jc w:val="center"/>
                    <w:rPr>
                      <w:b/>
                      <w:bCs/>
                      <w:sz w:val="18"/>
                      <w:szCs w:val="18"/>
                    </w:rPr>
                  </w:pPr>
                  <w:r w:rsidRPr="0001704D">
                    <w:rPr>
                      <w:b/>
                      <w:bCs/>
                      <w:sz w:val="18"/>
                      <w:szCs w:val="18"/>
                    </w:rPr>
                    <w:t>Τιμή</w:t>
                  </w:r>
                  <w:r>
                    <w:rPr>
                      <w:b/>
                      <w:bCs/>
                      <w:sz w:val="18"/>
                      <w:szCs w:val="18"/>
                    </w:rPr>
                    <w:t xml:space="preserve">    </w:t>
                  </w:r>
                  <w:r w:rsidRPr="0001704D">
                    <w:rPr>
                      <w:b/>
                      <w:bCs/>
                      <w:sz w:val="18"/>
                      <w:szCs w:val="18"/>
                    </w:rPr>
                    <w:t>(</w:t>
                  </w:r>
                  <w:r w:rsidRPr="0001704D">
                    <w:rPr>
                      <w:b/>
                      <w:bCs/>
                      <w:sz w:val="18"/>
                      <w:szCs w:val="18"/>
                      <w:lang w:val="en-US"/>
                    </w:rPr>
                    <w:t>Big</w:t>
                  </w:r>
                  <w:r w:rsidRPr="00FA79BE">
                    <w:rPr>
                      <w:b/>
                      <w:bCs/>
                      <w:sz w:val="18"/>
                      <w:szCs w:val="18"/>
                    </w:rPr>
                    <w:t xml:space="preserve"> </w:t>
                  </w:r>
                  <w:r w:rsidRPr="0001704D">
                    <w:rPr>
                      <w:b/>
                      <w:bCs/>
                      <w:sz w:val="18"/>
                      <w:szCs w:val="18"/>
                      <w:lang w:val="en-US"/>
                    </w:rPr>
                    <w:t>Mac</w:t>
                  </w:r>
                  <w:r w:rsidRPr="00FA79BE">
                    <w:rPr>
                      <w:b/>
                      <w:bCs/>
                      <w:sz w:val="18"/>
                      <w:szCs w:val="18"/>
                    </w:rPr>
                    <w:t>)</w:t>
                  </w:r>
                  <w:r w:rsidRPr="0001704D">
                    <w:rPr>
                      <w:b/>
                      <w:bCs/>
                      <w:sz w:val="18"/>
                      <w:szCs w:val="18"/>
                    </w:rPr>
                    <w:t xml:space="preserve"> </w:t>
                  </w:r>
                  <w:r>
                    <w:rPr>
                      <w:b/>
                      <w:bCs/>
                      <w:sz w:val="18"/>
                      <w:szCs w:val="18"/>
                    </w:rPr>
                    <w:t xml:space="preserve">     σε Όρους </w:t>
                  </w:r>
                  <w:r w:rsidRPr="0001704D">
                    <w:rPr>
                      <w:b/>
                      <w:bCs/>
                      <w:sz w:val="18"/>
                      <w:szCs w:val="18"/>
                    </w:rPr>
                    <w:t>Δολαρίου</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F6807" w:rsidRPr="00FA79BE" w:rsidRDefault="00DF6807" w:rsidP="006E6DC8">
                  <w:pPr>
                    <w:jc w:val="center"/>
                    <w:rPr>
                      <w:b/>
                      <w:bCs/>
                      <w:sz w:val="18"/>
                      <w:szCs w:val="18"/>
                    </w:rPr>
                  </w:pPr>
                  <w:r>
                    <w:rPr>
                      <w:b/>
                      <w:bCs/>
                      <w:sz w:val="18"/>
                      <w:szCs w:val="18"/>
                    </w:rPr>
                    <w:t>Θεωρητική</w:t>
                  </w:r>
                  <w:r w:rsidRPr="0001704D">
                    <w:rPr>
                      <w:b/>
                      <w:bCs/>
                      <w:sz w:val="18"/>
                      <w:szCs w:val="18"/>
                    </w:rPr>
                    <w:t xml:space="preserve"> </w:t>
                  </w:r>
                  <w:r>
                    <w:rPr>
                      <w:b/>
                      <w:bCs/>
                      <w:sz w:val="18"/>
                      <w:szCs w:val="18"/>
                      <w:lang w:val="en-US"/>
                    </w:rPr>
                    <w:t xml:space="preserve">PPP </w:t>
                  </w:r>
                  <w:r>
                    <w:rPr>
                      <w:b/>
                      <w:bCs/>
                      <w:sz w:val="18"/>
                      <w:szCs w:val="18"/>
                    </w:rPr>
                    <w:t>Ισοτιμία</w:t>
                  </w:r>
                </w:p>
              </w:tc>
              <w:tc>
                <w:tcPr>
                  <w:tcW w:w="2146" w:type="dxa"/>
                  <w:tcBorders>
                    <w:top w:val="single" w:sz="4" w:space="0" w:color="auto"/>
                    <w:left w:val="nil"/>
                    <w:bottom w:val="single" w:sz="4" w:space="0" w:color="auto"/>
                    <w:right w:val="single" w:sz="4" w:space="0" w:color="auto"/>
                  </w:tcBorders>
                  <w:shd w:val="clear" w:color="auto" w:fill="auto"/>
                  <w:noWrap/>
                  <w:vAlign w:val="center"/>
                  <w:hideMark/>
                </w:tcPr>
                <w:p w:rsidR="00DF6807" w:rsidRPr="0001704D" w:rsidRDefault="00DF6807" w:rsidP="006E6DC8">
                  <w:pPr>
                    <w:jc w:val="center"/>
                    <w:rPr>
                      <w:b/>
                      <w:bCs/>
                      <w:sz w:val="18"/>
                      <w:szCs w:val="18"/>
                    </w:rPr>
                  </w:pPr>
                  <w:r w:rsidRPr="0001704D">
                    <w:rPr>
                      <w:b/>
                      <w:bCs/>
                      <w:sz w:val="18"/>
                      <w:szCs w:val="18"/>
                    </w:rPr>
                    <w:t>Υπερτίμηση/</w:t>
                  </w:r>
                  <w:r w:rsidR="00705A35">
                    <w:rPr>
                      <w:b/>
                      <w:bCs/>
                      <w:sz w:val="18"/>
                      <w:szCs w:val="18"/>
                    </w:rPr>
                    <w:t>Υπο</w:t>
                  </w:r>
                  <w:r w:rsidRPr="0001704D">
                    <w:rPr>
                      <w:b/>
                      <w:bCs/>
                      <w:sz w:val="18"/>
                      <w:szCs w:val="18"/>
                    </w:rPr>
                    <w:t xml:space="preserve">τίμηση </w:t>
                  </w:r>
                  <w:r>
                    <w:rPr>
                      <w:b/>
                      <w:bCs/>
                      <w:sz w:val="18"/>
                      <w:szCs w:val="18"/>
                    </w:rPr>
                    <w:t xml:space="preserve">Τοπικού Νομίσματος </w:t>
                  </w:r>
                  <w:r w:rsidRPr="0001704D">
                    <w:rPr>
                      <w:b/>
                      <w:bCs/>
                      <w:sz w:val="18"/>
                      <w:szCs w:val="18"/>
                    </w:rPr>
                    <w:t>Έναντι του Δολαρίου</w:t>
                  </w:r>
                </w:p>
              </w:tc>
            </w:tr>
            <w:tr w:rsidR="006E6DC8" w:rsidRPr="00F63F1D" w:rsidTr="006E6DC8">
              <w:trPr>
                <w:trHeight w:val="264"/>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6E6DC8" w:rsidRPr="0053050D" w:rsidRDefault="006E6DC8" w:rsidP="006E6DC8">
                  <w:pPr>
                    <w:jc w:val="center"/>
                    <w:rPr>
                      <w:b/>
                      <w:szCs w:val="20"/>
                    </w:rPr>
                  </w:pPr>
                  <w:r>
                    <w:rPr>
                      <w:b/>
                      <w:szCs w:val="20"/>
                    </w:rPr>
                    <w:t xml:space="preserve">Ηνωμένο </w:t>
                  </w:r>
                  <w:proofErr w:type="spellStart"/>
                  <w:r>
                    <w:rPr>
                      <w:b/>
                      <w:szCs w:val="20"/>
                    </w:rPr>
                    <w:t>Βασίλεο</w:t>
                  </w:r>
                  <w:proofErr w:type="spellEnd"/>
                </w:p>
              </w:tc>
              <w:tc>
                <w:tcPr>
                  <w:tcW w:w="1068"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21</w:t>
                  </w:r>
                </w:p>
              </w:tc>
              <w:tc>
                <w:tcPr>
                  <w:tcW w:w="1617"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8,17</w:t>
                  </w:r>
                </w:p>
              </w:tc>
              <w:tc>
                <w:tcPr>
                  <w:tcW w:w="994"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2,57</w:t>
                  </w:r>
                </w:p>
              </w:tc>
              <w:tc>
                <w:tcPr>
                  <w:tcW w:w="1220"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4,38</w:t>
                  </w:r>
                </w:p>
              </w:tc>
              <w:tc>
                <w:tcPr>
                  <w:tcW w:w="2146"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-46,39%</w:t>
                  </w:r>
                </w:p>
              </w:tc>
            </w:tr>
            <w:tr w:rsidR="006E6DC8" w:rsidRPr="00F63F1D" w:rsidTr="006E6DC8">
              <w:trPr>
                <w:trHeight w:val="264"/>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6E6DC8" w:rsidRPr="0053050D" w:rsidRDefault="006E6DC8" w:rsidP="006E6DC8">
                  <w:pPr>
                    <w:jc w:val="center"/>
                    <w:rPr>
                      <w:b/>
                      <w:szCs w:val="20"/>
                    </w:rPr>
                  </w:pPr>
                  <w:r>
                    <w:rPr>
                      <w:b/>
                      <w:szCs w:val="20"/>
                    </w:rPr>
                    <w:t>Καναδάς</w:t>
                  </w:r>
                </w:p>
              </w:tc>
              <w:tc>
                <w:tcPr>
                  <w:tcW w:w="1068"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5,1</w:t>
                  </w:r>
                </w:p>
              </w:tc>
              <w:tc>
                <w:tcPr>
                  <w:tcW w:w="1617"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1,06</w:t>
                  </w:r>
                </w:p>
              </w:tc>
              <w:tc>
                <w:tcPr>
                  <w:tcW w:w="994"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4,81</w:t>
                  </w:r>
                </w:p>
              </w:tc>
              <w:tc>
                <w:tcPr>
                  <w:tcW w:w="1220"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1,06</w:t>
                  </w:r>
                </w:p>
              </w:tc>
              <w:tc>
                <w:tcPr>
                  <w:tcW w:w="2146"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0,34%</w:t>
                  </w:r>
                </w:p>
              </w:tc>
            </w:tr>
            <w:tr w:rsidR="006E6DC8" w:rsidRPr="00F63F1D" w:rsidTr="006E6DC8">
              <w:trPr>
                <w:trHeight w:val="264"/>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6E6DC8" w:rsidRPr="0053050D" w:rsidRDefault="006E6DC8" w:rsidP="006E6DC8">
                  <w:pPr>
                    <w:jc w:val="center"/>
                    <w:rPr>
                      <w:b/>
                      <w:szCs w:val="20"/>
                    </w:rPr>
                  </w:pPr>
                  <w:r>
                    <w:rPr>
                      <w:b/>
                      <w:szCs w:val="20"/>
                    </w:rPr>
                    <w:t>Ιαπωνία</w:t>
                  </w:r>
                </w:p>
              </w:tc>
              <w:tc>
                <w:tcPr>
                  <w:tcW w:w="1068"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13</w:t>
                  </w:r>
                </w:p>
              </w:tc>
              <w:tc>
                <w:tcPr>
                  <w:tcW w:w="1617"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2,22</w:t>
                  </w:r>
                </w:p>
              </w:tc>
              <w:tc>
                <w:tcPr>
                  <w:tcW w:w="994"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5,86</w:t>
                  </w:r>
                </w:p>
              </w:tc>
              <w:tc>
                <w:tcPr>
                  <w:tcW w:w="1220"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2,71</w:t>
                  </w:r>
                </w:p>
              </w:tc>
              <w:tc>
                <w:tcPr>
                  <w:tcW w:w="2146"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22,12%</w:t>
                  </w:r>
                </w:p>
              </w:tc>
            </w:tr>
            <w:tr w:rsidR="006E6DC8" w:rsidRPr="00F63F1D" w:rsidTr="006E6DC8">
              <w:trPr>
                <w:trHeight w:val="264"/>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6E6DC8" w:rsidRPr="0053050D" w:rsidRDefault="006E6DC8" w:rsidP="006E6DC8">
                  <w:pPr>
                    <w:jc w:val="center"/>
                    <w:rPr>
                      <w:b/>
                      <w:szCs w:val="20"/>
                    </w:rPr>
                  </w:pPr>
                  <w:r>
                    <w:rPr>
                      <w:b/>
                      <w:szCs w:val="20"/>
                    </w:rPr>
                    <w:t>Μεξικό</w:t>
                  </w:r>
                </w:p>
              </w:tc>
              <w:tc>
                <w:tcPr>
                  <w:tcW w:w="1068"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2,89</w:t>
                  </w:r>
                </w:p>
              </w:tc>
              <w:tc>
                <w:tcPr>
                  <w:tcW w:w="1617" w:type="dxa"/>
                  <w:tcBorders>
                    <w:top w:val="nil"/>
                    <w:left w:val="nil"/>
                    <w:bottom w:val="single" w:sz="4" w:space="0" w:color="auto"/>
                    <w:right w:val="single" w:sz="4" w:space="0" w:color="auto"/>
                  </w:tcBorders>
                  <w:shd w:val="clear" w:color="auto" w:fill="auto"/>
                  <w:noWrap/>
                  <w:vAlign w:val="center"/>
                  <w:hideMark/>
                </w:tcPr>
                <w:p w:rsidR="006E6DC8" w:rsidRDefault="006E6DC8" w:rsidP="006E6DC8">
                  <w:pPr>
                    <w:jc w:val="center"/>
                    <w:rPr>
                      <w:rFonts w:ascii="Arial" w:hAnsi="Arial" w:cs="Arial"/>
                      <w:sz w:val="20"/>
                      <w:szCs w:val="20"/>
                    </w:rPr>
                  </w:pPr>
                  <w:r>
                    <w:rPr>
                      <w:rFonts w:ascii="Arial" w:hAnsi="Arial" w:cs="Arial"/>
                      <w:sz w:val="20"/>
                      <w:szCs w:val="20"/>
                    </w:rPr>
                    <w:t>0,59</w:t>
                  </w:r>
                </w:p>
              </w:tc>
              <w:tc>
                <w:tcPr>
                  <w:tcW w:w="994"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4,90</w:t>
                  </w:r>
                </w:p>
              </w:tc>
              <w:tc>
                <w:tcPr>
                  <w:tcW w:w="1220"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0,60</w:t>
                  </w:r>
                </w:p>
              </w:tc>
              <w:tc>
                <w:tcPr>
                  <w:tcW w:w="2146" w:type="dxa"/>
                  <w:tcBorders>
                    <w:top w:val="nil"/>
                    <w:left w:val="nil"/>
                    <w:bottom w:val="single" w:sz="4" w:space="0" w:color="auto"/>
                    <w:right w:val="single" w:sz="4" w:space="0" w:color="auto"/>
                  </w:tcBorders>
                  <w:shd w:val="clear" w:color="auto" w:fill="auto"/>
                  <w:noWrap/>
                  <w:vAlign w:val="center"/>
                </w:tcPr>
                <w:p w:rsidR="006E6DC8" w:rsidRDefault="006E6DC8" w:rsidP="006E6DC8">
                  <w:pPr>
                    <w:jc w:val="center"/>
                    <w:rPr>
                      <w:rFonts w:ascii="Arial" w:hAnsi="Arial" w:cs="Arial"/>
                      <w:sz w:val="20"/>
                      <w:szCs w:val="20"/>
                    </w:rPr>
                  </w:pPr>
                  <w:r>
                    <w:rPr>
                      <w:rFonts w:ascii="Arial" w:hAnsi="Arial" w:cs="Arial"/>
                      <w:sz w:val="20"/>
                      <w:szCs w:val="20"/>
                    </w:rPr>
                    <w:t>2,15%</w:t>
                  </w:r>
                </w:p>
              </w:tc>
            </w:tr>
            <w:tr w:rsidR="00877EFB" w:rsidRPr="00F63F1D" w:rsidTr="006E6DC8">
              <w:trPr>
                <w:trHeight w:val="264"/>
              </w:trPr>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877EFB" w:rsidRPr="0053050D" w:rsidRDefault="00877EFB" w:rsidP="006E6DC8">
                  <w:pPr>
                    <w:jc w:val="center"/>
                    <w:rPr>
                      <w:b/>
                      <w:szCs w:val="20"/>
                    </w:rPr>
                  </w:pPr>
                  <w:r>
                    <w:rPr>
                      <w:b/>
                      <w:szCs w:val="20"/>
                    </w:rPr>
                    <w:t>Η.Π.Α.</w:t>
                  </w:r>
                </w:p>
              </w:tc>
              <w:tc>
                <w:tcPr>
                  <w:tcW w:w="1068" w:type="dxa"/>
                  <w:tcBorders>
                    <w:top w:val="nil"/>
                    <w:left w:val="nil"/>
                    <w:bottom w:val="single" w:sz="4" w:space="0" w:color="auto"/>
                    <w:right w:val="single" w:sz="4" w:space="0" w:color="auto"/>
                  </w:tcBorders>
                  <w:shd w:val="clear" w:color="auto" w:fill="auto"/>
                  <w:noWrap/>
                  <w:vAlign w:val="center"/>
                  <w:hideMark/>
                </w:tcPr>
                <w:p w:rsidR="00877EFB" w:rsidRDefault="00877EFB" w:rsidP="006E6DC8">
                  <w:pPr>
                    <w:jc w:val="center"/>
                    <w:rPr>
                      <w:rFonts w:ascii="Arial" w:hAnsi="Arial" w:cs="Arial"/>
                      <w:sz w:val="20"/>
                      <w:szCs w:val="20"/>
                    </w:rPr>
                  </w:pPr>
                  <w:r>
                    <w:rPr>
                      <w:rFonts w:ascii="Arial" w:hAnsi="Arial" w:cs="Arial"/>
                      <w:sz w:val="20"/>
                      <w:szCs w:val="20"/>
                    </w:rPr>
                    <w:t>4,795</w:t>
                  </w:r>
                </w:p>
              </w:tc>
              <w:tc>
                <w:tcPr>
                  <w:tcW w:w="5977" w:type="dxa"/>
                  <w:gridSpan w:val="4"/>
                  <w:tcBorders>
                    <w:top w:val="nil"/>
                    <w:left w:val="nil"/>
                    <w:bottom w:val="single" w:sz="4" w:space="0" w:color="auto"/>
                    <w:right w:val="single" w:sz="4" w:space="0" w:color="auto"/>
                  </w:tcBorders>
                  <w:shd w:val="clear" w:color="auto" w:fill="auto"/>
                  <w:noWrap/>
                  <w:vAlign w:val="center"/>
                </w:tcPr>
                <w:p w:rsidR="00877EFB" w:rsidRDefault="00877EFB" w:rsidP="006E6DC8">
                  <w:pPr>
                    <w:jc w:val="center"/>
                    <w:rPr>
                      <w:rFonts w:ascii="Arial" w:hAnsi="Arial" w:cs="Arial"/>
                      <w:sz w:val="20"/>
                      <w:szCs w:val="20"/>
                    </w:rPr>
                  </w:pPr>
                </w:p>
              </w:tc>
            </w:tr>
          </w:tbl>
          <w:p w:rsidR="00DF6807" w:rsidRPr="00F63F1D" w:rsidRDefault="00DF6807" w:rsidP="00DF6807">
            <w:pPr>
              <w:jc w:val="both"/>
              <w:rPr>
                <w:rFonts w:ascii="Times New Roman" w:hAnsi="Times New Roman"/>
                <w:sz w:val="20"/>
                <w:szCs w:val="20"/>
              </w:rPr>
            </w:pPr>
          </w:p>
          <w:p w:rsidR="00DF6807" w:rsidRDefault="00DF6807" w:rsidP="00DF6807">
            <w:pPr>
              <w:jc w:val="both"/>
              <w:rPr>
                <w:rFonts w:ascii="Times New Roman" w:hAnsi="Times New Roman"/>
                <w:szCs w:val="20"/>
              </w:rPr>
            </w:pPr>
            <w:r>
              <w:rPr>
                <w:rFonts w:ascii="Times New Roman" w:hAnsi="Times New Roman"/>
                <w:szCs w:val="20"/>
              </w:rPr>
              <w:t>Όπου:</w:t>
            </w:r>
          </w:p>
          <w:p w:rsidR="00DF6807" w:rsidRDefault="00DF6807" w:rsidP="00DF6807">
            <w:pPr>
              <w:jc w:val="both"/>
              <w:rPr>
                <w:rFonts w:ascii="Times New Roman" w:hAnsi="Times New Roman"/>
                <w:szCs w:val="20"/>
              </w:rPr>
            </w:pPr>
          </w:p>
          <w:p w:rsidR="00DF6807" w:rsidRPr="00DF6807" w:rsidRDefault="00DF6807" w:rsidP="00DF6807">
            <w:pPr>
              <w:jc w:val="both"/>
              <w:rPr>
                <w:oMath/>
                <w:rFonts w:ascii="Cambria Math" w:hAnsi="Cambria Math"/>
              </w:rPr>
            </w:pPr>
            <m:oMathPara>
              <m:oMathParaPr>
                <m:jc m:val="left"/>
              </m:oMathParaPr>
              <m:oMath>
                <m:r>
                  <m:rPr>
                    <m:sty m:val="p"/>
                  </m:rPr>
                  <w:rPr>
                    <w:rFonts w:ascii="Cambria Math" w:hAnsi="Cambria Math"/>
                  </w:rPr>
                  <m:t>Τιμή της Συναλλαγματικής Ισοτιμίας=Ορίζεται στην Τρέχουσα Αγορά Συναλλάγματος</m:t>
                </m:r>
                <m:r>
                  <m:rPr>
                    <m:sty m:val="p"/>
                  </m:rPr>
                  <w:rPr>
                    <w:rFonts w:ascii="Cambria Math" w:hAnsi="Times New Roman"/>
                  </w:rPr>
                  <m:t xml:space="preserve"> </m:t>
                </m:r>
              </m:oMath>
            </m:oMathPara>
          </w:p>
          <w:p w:rsidR="00DF6807" w:rsidRPr="00DF6807" w:rsidRDefault="00DF6807" w:rsidP="00DF6807">
            <w:pPr>
              <w:jc w:val="both"/>
              <w:rPr>
                <w:rFonts w:ascii="Times New Roman" w:hAnsi="Times New Roman"/>
              </w:rPr>
            </w:pPr>
          </w:p>
          <w:p w:rsidR="00DF6807" w:rsidRPr="00DF6807" w:rsidRDefault="00DF6807" w:rsidP="00DF6807">
            <w:pPr>
              <w:jc w:val="both"/>
              <w:rPr>
                <w:oMath/>
                <w:rFonts w:ascii="Cambria Math" w:eastAsiaTheme="minorEastAsia" w:hAnsi="Cambria Math"/>
              </w:rPr>
            </w:pPr>
            <m:oMathPara>
              <m:oMathParaPr>
                <m:jc m:val="left"/>
              </m:oMathParaPr>
              <m:oMath>
                <m:r>
                  <m:rPr>
                    <m:sty m:val="p"/>
                  </m:rPr>
                  <w:rPr>
                    <w:rFonts w:ascii="Cambria Math" w:hAnsi="Cambria Math"/>
                  </w:rPr>
                  <m:t xml:space="preserve">Τιμή </m:t>
                </m:r>
                <m:r>
                  <m:rPr>
                    <m:sty m:val="p"/>
                  </m:rPr>
                  <w:rPr>
                    <w:rFonts w:ascii="Cambria Math" w:hAnsi="Cambria Math"/>
                    <w:lang w:val="en-US"/>
                  </w:rPr>
                  <m:t xml:space="preserve">Big Mac </m:t>
                </m:r>
                <m:r>
                  <m:rPr>
                    <m:sty m:val="p"/>
                  </m:rPr>
                  <w:rPr>
                    <w:rFonts w:ascii="Cambria Math" w:hAnsi="Cambria Math"/>
                  </w:rPr>
                  <m:t xml:space="preserve">σε όρους Δολαρίου </m:t>
                </m:r>
                <m:d>
                  <m:dPr>
                    <m:ctrlPr>
                      <w:rPr>
                        <w:rFonts w:ascii="Cambria Math" w:hAnsi="Cambria Math"/>
                      </w:rPr>
                    </m:ctrlPr>
                  </m:dPr>
                  <m:e>
                    <m:r>
                      <m:rPr>
                        <m:sty m:val="p"/>
                      </m:rPr>
                      <w:rPr>
                        <w:rFonts w:ascii="Cambria Math" w:hAnsi="Cambria Math"/>
                        <w:lang w:val="en-US"/>
                      </w:rPr>
                      <m:t>$</m:t>
                    </m:r>
                  </m:e>
                </m:d>
                <m:r>
                  <m:rPr>
                    <m:sty m:val="p"/>
                  </m:rPr>
                  <w:rPr>
                    <w:rFonts w:ascii="Cambria Math" w:hAnsi="Cambria Math"/>
                  </w:rPr>
                  <m:t xml:space="preserve">= Τοπική Τιμή </m:t>
                </m:r>
                <m:r>
                  <m:rPr>
                    <m:sty m:val="p"/>
                  </m:rPr>
                  <w:rPr>
                    <w:rFonts w:ascii="Cambria Math" w:hAnsi="Cambria Math"/>
                    <w:lang w:val="en-US"/>
                  </w:rPr>
                  <m:t>Big</m:t>
                </m:r>
                <m:r>
                  <m:rPr>
                    <m:sty m:val="p"/>
                  </m:rPr>
                  <w:rPr>
                    <w:rFonts w:ascii="Cambria Math" w:hAnsi="Cambria Math"/>
                  </w:rPr>
                  <m:t xml:space="preserve"> </m:t>
                </m:r>
                <m:r>
                  <m:rPr>
                    <m:sty m:val="p"/>
                  </m:rPr>
                  <w:rPr>
                    <w:rFonts w:ascii="Cambria Math" w:hAnsi="Cambria Math"/>
                    <w:lang w:val="en-US"/>
                  </w:rPr>
                  <m:t xml:space="preserve">Mac </m:t>
                </m:r>
                <m:r>
                  <m:rPr>
                    <m:sty m:val="p"/>
                  </m:rPr>
                  <w:rPr>
                    <w:rFonts w:ascii="Cambria Math" w:hAnsi="Cambria Math"/>
                  </w:rPr>
                  <m:t xml:space="preserve">/ Τιμή Συναλλάγματος </m:t>
                </m:r>
              </m:oMath>
            </m:oMathPara>
          </w:p>
          <w:p w:rsidR="00DF6807" w:rsidRPr="00DF6807" w:rsidRDefault="00DF6807" w:rsidP="00DF6807">
            <w:pPr>
              <w:jc w:val="both"/>
              <w:rPr>
                <w:oMath/>
                <w:rFonts w:ascii="Cambria Math" w:hAnsi="Cambria Math"/>
              </w:rPr>
            </w:pPr>
          </w:p>
          <w:p w:rsidR="00DF6807" w:rsidRPr="00DF6807" w:rsidRDefault="00DF6807" w:rsidP="00DF6807">
            <w:pPr>
              <w:jc w:val="both"/>
              <w:rPr>
                <w:rFonts w:ascii="Times New Roman" w:hAnsi="Times New Roman"/>
              </w:rPr>
            </w:pPr>
            <m:oMath>
              <m:r>
                <m:rPr>
                  <m:sty m:val="p"/>
                </m:rPr>
                <w:rPr>
                  <w:rFonts w:ascii="Cambria Math" w:hAnsi="Cambria Math"/>
                </w:rPr>
                <m:t xml:space="preserve">Θεωρητική Ισοτιμία= Τοπική Τιμή </m:t>
              </m:r>
              <m:r>
                <m:rPr>
                  <m:sty m:val="p"/>
                </m:rPr>
                <w:rPr>
                  <w:rFonts w:ascii="Cambria Math" w:hAnsi="Cambria Math"/>
                  <w:lang w:val="en-US"/>
                </w:rPr>
                <m:t>Big</m:t>
              </m:r>
              <m:r>
                <m:rPr>
                  <m:sty m:val="p"/>
                </m:rPr>
                <w:rPr>
                  <w:rFonts w:ascii="Cambria Math" w:hAnsi="Cambria Math"/>
                </w:rPr>
                <m:t xml:space="preserve"> </m:t>
              </m:r>
              <m:r>
                <m:rPr>
                  <m:sty m:val="p"/>
                </m:rPr>
                <w:rPr>
                  <w:rFonts w:ascii="Cambria Math" w:hAnsi="Cambria Math"/>
                  <w:lang w:val="en-US"/>
                </w:rPr>
                <m:t>Mac</m:t>
              </m:r>
              <m:r>
                <m:rPr>
                  <m:sty m:val="p"/>
                </m:rPr>
                <w:rPr>
                  <w:rFonts w:ascii="Cambria Math" w:hAnsi="Cambria Math"/>
                </w:rPr>
                <m:t xml:space="preserve"> / Τιμή </m:t>
              </m:r>
              <m:r>
                <m:rPr>
                  <m:sty m:val="p"/>
                </m:rPr>
                <w:rPr>
                  <w:rFonts w:ascii="Cambria Math" w:hAnsi="Cambria Math"/>
                  <w:lang w:val="en-US"/>
                </w:rPr>
                <m:t>Big</m:t>
              </m:r>
              <m:r>
                <m:rPr>
                  <m:sty m:val="p"/>
                </m:rPr>
                <w:rPr>
                  <w:rFonts w:ascii="Cambria Math" w:hAnsi="Cambria Math"/>
                </w:rPr>
                <m:t xml:space="preserve"> </m:t>
              </m:r>
              <m:r>
                <m:rPr>
                  <m:sty m:val="p"/>
                </m:rPr>
                <w:rPr>
                  <w:rFonts w:ascii="Cambria Math" w:hAnsi="Cambria Math"/>
                  <w:lang w:val="en-US"/>
                </w:rPr>
                <m:t>Mac</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Η.Π.Α.</m:t>
                  </m:r>
                </m:e>
              </m:d>
              <m:r>
                <m:rPr>
                  <m:sty m:val="p"/>
                </m:rPr>
                <w:rPr>
                  <w:rFonts w:ascii="Cambria Math" w:hAnsi="Cambria Math"/>
                </w:rPr>
                <m:t xml:space="preserve"> </m:t>
              </m:r>
            </m:oMath>
            <w:r w:rsidRPr="00DF6807">
              <w:rPr>
                <w:rFonts w:ascii="Times New Roman" w:eastAsiaTheme="minorEastAsia" w:hAnsi="Times New Roman"/>
              </w:rPr>
              <w:t xml:space="preserve"> </w:t>
            </w:r>
          </w:p>
          <w:p w:rsidR="00DF6807" w:rsidRPr="00DF6807" w:rsidRDefault="00DF6807" w:rsidP="00DF6807">
            <w:pPr>
              <w:jc w:val="both"/>
              <w:rPr>
                <w:rFonts w:ascii="Times New Roman" w:hAnsi="Times New Roman"/>
              </w:rPr>
            </w:pPr>
          </w:p>
          <w:p w:rsidR="00DF6807" w:rsidRPr="00DF6807" w:rsidRDefault="00DF6807" w:rsidP="00DF6807">
            <w:pPr>
              <w:jc w:val="both"/>
              <w:rPr>
                <w:rFonts w:ascii="Times New Roman" w:hAnsi="Times New Roman"/>
              </w:rPr>
            </w:pPr>
            <m:oMathPara>
              <m:oMathParaPr>
                <m:jc m:val="left"/>
              </m:oMathParaPr>
              <m:oMath>
                <m:r>
                  <m:rPr>
                    <m:sty m:val="p"/>
                  </m:rPr>
                  <w:rPr>
                    <w:rFonts w:ascii="Cambria Math" w:hAnsi="Cambria Math"/>
                  </w:rPr>
                  <m:t>% Ανατίμηση/ Υποτίμηση=</m:t>
                </m:r>
                <m:d>
                  <m:dPr>
                    <m:ctrlPr>
                      <w:rPr>
                        <w:rFonts w:ascii="Cambria Math" w:hAnsi="Cambria Math"/>
                        <w:lang w:val="en-US"/>
                      </w:rPr>
                    </m:ctrlPr>
                  </m:dPr>
                  <m:e>
                    <m:r>
                      <m:rPr>
                        <m:sty m:val="p"/>
                      </m:rPr>
                      <w:rPr>
                        <w:rFonts w:ascii="Cambria Math" w:hAnsi="Cambria Math"/>
                        <w:lang w:val="en-US"/>
                      </w:rPr>
                      <m:t>Θεωρητικ</m:t>
                    </m:r>
                    <m:r>
                      <m:rPr>
                        <m:sty m:val="p"/>
                      </m:rPr>
                      <w:rPr>
                        <w:rFonts w:ascii="Cambria Math" w:hAnsi="Cambria Math"/>
                      </w:rPr>
                      <m:t xml:space="preserve">ή </m:t>
                    </m:r>
                    <m:r>
                      <m:rPr>
                        <m:sty m:val="p"/>
                      </m:rPr>
                      <w:rPr>
                        <w:rFonts w:ascii="Cambria Math" w:hAnsi="Cambria Math"/>
                        <w:lang w:val="en-US"/>
                      </w:rPr>
                      <m:t>Ισοτιμ</m:t>
                    </m:r>
                    <m:r>
                      <m:rPr>
                        <m:sty m:val="p"/>
                      </m:rPr>
                      <w:rPr>
                        <w:rFonts w:ascii="Cambria Math" w:hAnsi="Cambria Math"/>
                      </w:rPr>
                      <m:t>ί</m:t>
                    </m:r>
                    <m:r>
                      <m:rPr>
                        <m:sty m:val="p"/>
                      </m:rPr>
                      <w:rPr>
                        <w:rFonts w:ascii="Cambria Math" w:hAnsi="Cambria Math"/>
                        <w:lang w:val="en-US"/>
                      </w:rPr>
                      <m:t>α</m:t>
                    </m:r>
                    <m:r>
                      <m:rPr>
                        <m:sty m:val="p"/>
                      </m:rPr>
                      <w:rPr>
                        <w:rFonts w:ascii="Cambria Math" w:hAnsi="Cambria Math"/>
                      </w:rPr>
                      <m:t>/Ονομαστική Ισοτιμία</m:t>
                    </m:r>
                  </m:e>
                </m:d>
                <m:r>
                  <m:rPr>
                    <m:sty m:val="p"/>
                  </m:rPr>
                  <w:rPr>
                    <w:rFonts w:ascii="Cambria Math" w:hAnsi="Cambria Math"/>
                  </w:rPr>
                  <m:t>-1</m:t>
                </m:r>
              </m:oMath>
            </m:oMathPara>
          </w:p>
          <w:p w:rsidR="00DF6807" w:rsidRDefault="00DF6807" w:rsidP="00DF6807">
            <w:pPr>
              <w:jc w:val="both"/>
              <w:rPr>
                <w:rFonts w:ascii="Times New Roman" w:hAnsi="Times New Roman"/>
              </w:rPr>
            </w:pPr>
          </w:p>
          <w:p w:rsidR="00DF6807" w:rsidRDefault="00DF6807" w:rsidP="00AC36DB">
            <w:pPr>
              <w:spacing w:line="360" w:lineRule="auto"/>
              <w:jc w:val="both"/>
              <w:rPr>
                <w:rFonts w:ascii="Times New Roman" w:hAnsi="Times New Roman"/>
              </w:rPr>
            </w:pPr>
            <w:r>
              <w:rPr>
                <w:rFonts w:ascii="Times New Roman" w:hAnsi="Times New Roman"/>
              </w:rPr>
              <w:t xml:space="preserve">Με βάση τα πιο πρόσφατα δεδομένα του </w:t>
            </w:r>
            <w:r>
              <w:rPr>
                <w:rFonts w:ascii="Times New Roman" w:hAnsi="Times New Roman"/>
                <w:lang w:val="en-US"/>
              </w:rPr>
              <w:t>Economist</w:t>
            </w:r>
            <w:r w:rsidRPr="00A2460D">
              <w:rPr>
                <w:rFonts w:ascii="Times New Roman" w:hAnsi="Times New Roman"/>
              </w:rPr>
              <w:t xml:space="preserve"> </w:t>
            </w:r>
            <w:r>
              <w:rPr>
                <w:rFonts w:ascii="Times New Roman" w:hAnsi="Times New Roman"/>
              </w:rPr>
              <w:t xml:space="preserve">το παρακάτω </w:t>
            </w:r>
            <w:r w:rsidRPr="003971C0">
              <w:rPr>
                <w:rFonts w:ascii="Times New Roman" w:hAnsi="Times New Roman"/>
              </w:rPr>
              <w:t xml:space="preserve">ιστόγραμμα </w:t>
            </w:r>
            <w:r>
              <w:rPr>
                <w:rFonts w:ascii="Times New Roman" w:hAnsi="Times New Roman"/>
              </w:rPr>
              <w:t xml:space="preserve">μας πληροφορεί για </w:t>
            </w:r>
            <w:r w:rsidRPr="003971C0">
              <w:rPr>
                <w:rFonts w:ascii="Times New Roman" w:hAnsi="Times New Roman"/>
              </w:rPr>
              <w:t xml:space="preserve">τις χώρες οι οποίες σύμφωνα με τον δείκτη </w:t>
            </w:r>
            <w:r w:rsidRPr="003971C0">
              <w:rPr>
                <w:rFonts w:ascii="Times New Roman" w:hAnsi="Times New Roman"/>
                <w:lang w:val="en-US"/>
              </w:rPr>
              <w:t>Big</w:t>
            </w:r>
            <w:r>
              <w:rPr>
                <w:rFonts w:ascii="Times New Roman" w:hAnsi="Times New Roman"/>
              </w:rPr>
              <w:t xml:space="preserve"> </w:t>
            </w:r>
            <w:r w:rsidRPr="003971C0">
              <w:rPr>
                <w:rFonts w:ascii="Times New Roman" w:hAnsi="Times New Roman"/>
                <w:lang w:val="en-US"/>
              </w:rPr>
              <w:t>Mac</w:t>
            </w:r>
            <w:r w:rsidRPr="003971C0">
              <w:rPr>
                <w:rFonts w:ascii="Times New Roman" w:hAnsi="Times New Roman"/>
              </w:rPr>
              <w:t xml:space="preserve"> έχουν </w:t>
            </w:r>
            <w:r>
              <w:rPr>
                <w:rFonts w:ascii="Times New Roman" w:hAnsi="Times New Roman"/>
              </w:rPr>
              <w:t>ανατιμημένο ή υποτιμημένο νόμισμα σε σχέση με το αμερικάνικο δολάριο.</w:t>
            </w:r>
          </w:p>
          <w:p w:rsidR="00DF6807" w:rsidRDefault="00DF6807" w:rsidP="00DF6807">
            <w:pPr>
              <w:ind w:right="-58"/>
              <w:jc w:val="both"/>
              <w:rPr>
                <w:rFonts w:ascii="Times New Roman" w:hAnsi="Times New Roman"/>
                <w:b/>
                <w:sz w:val="32"/>
              </w:rPr>
            </w:pPr>
            <w:r w:rsidRPr="00EB2822">
              <w:rPr>
                <w:b/>
                <w:noProof/>
                <w:sz w:val="32"/>
              </w:rPr>
              <w:lastRenderedPageBreak/>
              <w:drawing>
                <wp:inline distT="0" distB="0" distL="0" distR="0">
                  <wp:extent cx="5088835" cy="6615485"/>
                  <wp:effectExtent l="0" t="0" r="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DF6807" w:rsidRDefault="00DF6807" w:rsidP="00DF6807">
            <w:pPr>
              <w:jc w:val="both"/>
              <w:rPr>
                <w:rFonts w:ascii="Times New Roman" w:hAnsi="Times New Roman"/>
              </w:rPr>
            </w:pPr>
          </w:p>
          <w:p w:rsidR="00DF6807" w:rsidRPr="00F5424F" w:rsidRDefault="00DF6807" w:rsidP="00AC36DB">
            <w:pPr>
              <w:spacing w:line="360" w:lineRule="auto"/>
              <w:jc w:val="both"/>
              <w:rPr>
                <w:rFonts w:ascii="Times New Roman" w:hAnsi="Times New Roman"/>
              </w:rPr>
            </w:pPr>
            <w:r>
              <w:rPr>
                <w:rFonts w:ascii="Times New Roman" w:hAnsi="Times New Roman"/>
              </w:rPr>
              <w:t>Τέλος, σ</w:t>
            </w:r>
            <w:r w:rsidR="00705A35">
              <w:rPr>
                <w:rFonts w:ascii="Times New Roman" w:hAnsi="Times New Roman"/>
              </w:rPr>
              <w:t>το</w:t>
            </w:r>
            <w:r w:rsidRPr="00100280">
              <w:rPr>
                <w:rFonts w:ascii="Times New Roman" w:hAnsi="Times New Roman"/>
              </w:rPr>
              <w:t xml:space="preserve"> </w:t>
            </w:r>
            <w:r>
              <w:rPr>
                <w:rFonts w:ascii="Times New Roman" w:hAnsi="Times New Roman"/>
              </w:rPr>
              <w:t>διάγραμμα διασπ</w:t>
            </w:r>
            <w:r w:rsidR="00910FBD">
              <w:rPr>
                <w:rFonts w:ascii="Times New Roman" w:hAnsi="Times New Roman"/>
              </w:rPr>
              <w:t>ο</w:t>
            </w:r>
            <w:r>
              <w:rPr>
                <w:rFonts w:ascii="Times New Roman" w:hAnsi="Times New Roman"/>
              </w:rPr>
              <w:t>ράς που ακολουθεί</w:t>
            </w:r>
            <w:r w:rsidRPr="00100280">
              <w:rPr>
                <w:rFonts w:ascii="Times New Roman" w:hAnsi="Times New Roman"/>
              </w:rPr>
              <w:t xml:space="preserve"> </w:t>
            </w:r>
            <w:r>
              <w:rPr>
                <w:rFonts w:ascii="Times New Roman" w:hAnsi="Times New Roman"/>
              </w:rPr>
              <w:t>αποτυπώνεται</w:t>
            </w:r>
            <w:r w:rsidRPr="00100280">
              <w:rPr>
                <w:rFonts w:ascii="Times New Roman" w:hAnsi="Times New Roman"/>
              </w:rPr>
              <w:t xml:space="preserve"> </w:t>
            </w:r>
            <w:r>
              <w:rPr>
                <w:rFonts w:ascii="Times New Roman" w:hAnsi="Times New Roman"/>
              </w:rPr>
              <w:t>για επιλεγμένες</w:t>
            </w:r>
            <w:r w:rsidRPr="00100280">
              <w:rPr>
                <w:rFonts w:ascii="Times New Roman" w:hAnsi="Times New Roman"/>
              </w:rPr>
              <w:t xml:space="preserve"> χώρες </w:t>
            </w:r>
            <w:r>
              <w:rPr>
                <w:rFonts w:ascii="Times New Roman" w:hAnsi="Times New Roman"/>
              </w:rPr>
              <w:t xml:space="preserve"> με βάση πραγματικά δεδομένα η σχέση του</w:t>
            </w:r>
            <w:r w:rsidRPr="003971C0">
              <w:rPr>
                <w:rFonts w:ascii="Times New Roman" w:hAnsi="Times New Roman"/>
              </w:rPr>
              <w:t xml:space="preserve"> </w:t>
            </w:r>
            <w:r>
              <w:rPr>
                <w:rFonts w:ascii="Times New Roman" w:hAnsi="Times New Roman"/>
              </w:rPr>
              <w:t xml:space="preserve">κατά κεφαλήν ΑΕΠ και της τιμή του </w:t>
            </w:r>
            <w:r>
              <w:rPr>
                <w:rFonts w:ascii="Times New Roman" w:hAnsi="Times New Roman"/>
                <w:lang w:val="en-US"/>
              </w:rPr>
              <w:t>Big</w:t>
            </w:r>
            <w:r w:rsidRPr="001630D2">
              <w:rPr>
                <w:rFonts w:ascii="Times New Roman" w:hAnsi="Times New Roman"/>
              </w:rPr>
              <w:t xml:space="preserve"> </w:t>
            </w:r>
            <w:r>
              <w:rPr>
                <w:rFonts w:ascii="Times New Roman" w:hAnsi="Times New Roman"/>
                <w:lang w:val="en-US"/>
              </w:rPr>
              <w:t>Mac</w:t>
            </w:r>
            <w:r w:rsidRPr="001630D2">
              <w:rPr>
                <w:rFonts w:ascii="Times New Roman" w:hAnsi="Times New Roman"/>
              </w:rPr>
              <w:t xml:space="preserve"> </w:t>
            </w:r>
            <w:r>
              <w:rPr>
                <w:rFonts w:ascii="Times New Roman" w:hAnsi="Times New Roman"/>
              </w:rPr>
              <w:t xml:space="preserve">σε </w:t>
            </w:r>
            <w:proofErr w:type="spellStart"/>
            <w:r>
              <w:rPr>
                <w:rFonts w:ascii="Times New Roman" w:hAnsi="Times New Roman"/>
              </w:rPr>
              <w:t>αμερικανικα</w:t>
            </w:r>
            <w:proofErr w:type="spellEnd"/>
            <w:r>
              <w:rPr>
                <w:rFonts w:ascii="Times New Roman" w:hAnsi="Times New Roman"/>
              </w:rPr>
              <w:t xml:space="preserve"> </w:t>
            </w:r>
            <w:proofErr w:type="spellStart"/>
            <w:r>
              <w:rPr>
                <w:rFonts w:ascii="Times New Roman" w:hAnsi="Times New Roman"/>
              </w:rPr>
              <w:t>δολαρία</w:t>
            </w:r>
            <w:proofErr w:type="spellEnd"/>
            <w:r>
              <w:rPr>
                <w:rFonts w:ascii="Times New Roman" w:hAnsi="Times New Roman"/>
              </w:rPr>
              <w:t xml:space="preserve"> </w:t>
            </w:r>
            <w:r w:rsidRPr="003971C0">
              <w:rPr>
                <w:rFonts w:ascii="Times New Roman" w:hAnsi="Times New Roman"/>
              </w:rPr>
              <w:t>για το έτος 201</w:t>
            </w:r>
            <w:r>
              <w:rPr>
                <w:rFonts w:ascii="Times New Roman" w:hAnsi="Times New Roman"/>
              </w:rPr>
              <w:t>4</w:t>
            </w:r>
            <w:r w:rsidRPr="003971C0">
              <w:rPr>
                <w:rFonts w:ascii="Times New Roman" w:hAnsi="Times New Roman"/>
              </w:rPr>
              <w:t>.</w:t>
            </w:r>
            <w:r>
              <w:rPr>
                <w:rFonts w:ascii="Times New Roman" w:hAnsi="Times New Roman"/>
              </w:rPr>
              <w:t xml:space="preserve"> Το κατά κεφαλήν ΑΕΠ και η τιμή του δολαρίου αντλήθηκαν από τον </w:t>
            </w:r>
            <w:proofErr w:type="spellStart"/>
            <w:r>
              <w:rPr>
                <w:rFonts w:ascii="Times New Roman" w:hAnsi="Times New Roman"/>
              </w:rPr>
              <w:t>ιστότοπο</w:t>
            </w:r>
            <w:proofErr w:type="spellEnd"/>
            <w:r>
              <w:rPr>
                <w:rFonts w:ascii="Times New Roman" w:hAnsi="Times New Roman"/>
              </w:rPr>
              <w:t xml:space="preserve"> του ΟΟΣΑ</w:t>
            </w:r>
            <w:r>
              <w:rPr>
                <w:rStyle w:val="ac"/>
                <w:rFonts w:ascii="Times New Roman" w:hAnsi="Times New Roman"/>
              </w:rPr>
              <w:footnoteReference w:id="3"/>
            </w:r>
            <w:r>
              <w:rPr>
                <w:rFonts w:ascii="Times New Roman" w:hAnsi="Times New Roman"/>
              </w:rPr>
              <w:t xml:space="preserve"> και τον </w:t>
            </w:r>
            <w:proofErr w:type="spellStart"/>
            <w:r>
              <w:rPr>
                <w:rFonts w:ascii="Times New Roman" w:hAnsi="Times New Roman"/>
              </w:rPr>
              <w:t>ιστότοπο</w:t>
            </w:r>
            <w:proofErr w:type="spellEnd"/>
            <w:r>
              <w:rPr>
                <w:rFonts w:ascii="Times New Roman" w:hAnsi="Times New Roman"/>
              </w:rPr>
              <w:t xml:space="preserve"> του </w:t>
            </w:r>
            <w:r>
              <w:rPr>
                <w:rFonts w:ascii="Times New Roman" w:hAnsi="Times New Roman"/>
                <w:lang w:val="en-US"/>
              </w:rPr>
              <w:t>Economist</w:t>
            </w:r>
            <w:r>
              <w:rPr>
                <w:rStyle w:val="ac"/>
                <w:rFonts w:ascii="Times New Roman" w:hAnsi="Times New Roman"/>
                <w:lang w:val="en-US"/>
              </w:rPr>
              <w:footnoteReference w:id="4"/>
            </w:r>
            <w:r w:rsidRPr="00167DBD">
              <w:rPr>
                <w:rFonts w:ascii="Times New Roman" w:hAnsi="Times New Roman"/>
              </w:rPr>
              <w:t xml:space="preserve"> </w:t>
            </w:r>
            <w:r w:rsidR="00F5424F">
              <w:rPr>
                <w:rFonts w:ascii="Times New Roman" w:hAnsi="Times New Roman"/>
              </w:rPr>
              <w:t>αντίστοιχα.</w:t>
            </w:r>
          </w:p>
          <w:p w:rsidR="00DF6807" w:rsidRPr="00637349" w:rsidRDefault="00DF6807" w:rsidP="00DF6807">
            <w:pPr>
              <w:jc w:val="both"/>
              <w:rPr>
                <w:rFonts w:ascii="Times New Roman" w:hAnsi="Times New Roman"/>
              </w:rPr>
            </w:pPr>
          </w:p>
          <w:p w:rsidR="00DF6807" w:rsidRPr="00E47376" w:rsidRDefault="00DF6807" w:rsidP="00AC36DB">
            <w:pPr>
              <w:spacing w:line="360" w:lineRule="auto"/>
              <w:jc w:val="both"/>
              <w:rPr>
                <w:rFonts w:ascii="Times New Roman" w:hAnsi="Times New Roman"/>
              </w:rPr>
            </w:pPr>
            <w:r>
              <w:rPr>
                <w:rFonts w:ascii="Times New Roman" w:hAnsi="Times New Roman"/>
              </w:rPr>
              <w:lastRenderedPageBreak/>
              <w:t>Παρατηρούμε ότι ο βαθμός προσαρμοστικότητας είναι ικανοποιητικός (</w:t>
            </w:r>
            <w:r w:rsidRPr="00F0106D">
              <w:rPr>
                <w:rFonts w:ascii="Times New Roman" w:hAnsi="Times New Roman"/>
              </w:rPr>
              <w:t xml:space="preserve">αφού ο προσαρμοσμένος συντελεστής είναι </w:t>
            </w:r>
            <w:r w:rsidRPr="00F0106D">
              <w:rPr>
                <w:rFonts w:ascii="Times New Roman" w:hAnsi="Times New Roman"/>
                <w:lang w:val="en-US"/>
              </w:rPr>
              <w:t>R</w:t>
            </w:r>
            <w:r w:rsidRPr="00F0106D">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 xml:space="preserve">= 69%) που υποδηλώνει ότι παρότι ο δείκτης </w:t>
            </w:r>
            <w:r>
              <w:rPr>
                <w:rFonts w:ascii="Times New Roman" w:hAnsi="Times New Roman"/>
                <w:lang w:val="en-US"/>
              </w:rPr>
              <w:t>Big</w:t>
            </w:r>
            <w:r w:rsidRPr="00E47376">
              <w:rPr>
                <w:rFonts w:ascii="Times New Roman" w:hAnsi="Times New Roman"/>
              </w:rPr>
              <w:t xml:space="preserve"> </w:t>
            </w:r>
            <w:r>
              <w:rPr>
                <w:rFonts w:ascii="Times New Roman" w:hAnsi="Times New Roman"/>
                <w:lang w:val="en-US"/>
              </w:rPr>
              <w:t>Mac</w:t>
            </w:r>
            <w:r w:rsidRPr="00E47376">
              <w:rPr>
                <w:rFonts w:ascii="Times New Roman" w:hAnsi="Times New Roman"/>
              </w:rPr>
              <w:t xml:space="preserve"> </w:t>
            </w:r>
            <w:r>
              <w:rPr>
                <w:rFonts w:ascii="Times New Roman" w:hAnsi="Times New Roman"/>
              </w:rPr>
              <w:t>είναι απλο</w:t>
            </w:r>
            <w:r w:rsidR="00910FBD">
              <w:rPr>
                <w:rFonts w:ascii="Times New Roman" w:hAnsi="Times New Roman"/>
              </w:rPr>
              <w:t>ϊ</w:t>
            </w:r>
            <w:r>
              <w:rPr>
                <w:rFonts w:ascii="Times New Roman" w:hAnsi="Times New Roman"/>
              </w:rPr>
              <w:t xml:space="preserve">κό μέγεθος, η συσχέτιση με την κατά κεφαλή δαπάνη είναι αρκετά ισχυρή. Συνεπώς, μπορεί να χρησιμοποιείται τουλάχιστον για περιγραφικούς σκοπούς αν και όπως επισημαίνεται από τον </w:t>
            </w:r>
            <w:r>
              <w:rPr>
                <w:rFonts w:ascii="Times New Roman" w:hAnsi="Times New Roman"/>
                <w:lang w:val="en-US"/>
              </w:rPr>
              <w:t>Economist</w:t>
            </w:r>
            <w:r w:rsidRPr="00E47376">
              <w:rPr>
                <w:rFonts w:ascii="Times New Roman" w:hAnsi="Times New Roman"/>
              </w:rPr>
              <w:t xml:space="preserve">, </w:t>
            </w:r>
            <w:r>
              <w:rPr>
                <w:rFonts w:ascii="Times New Roman" w:hAnsi="Times New Roman"/>
              </w:rPr>
              <w:t>δεν είναι αυτός ο σκοπός του.</w:t>
            </w:r>
          </w:p>
          <w:p w:rsidR="00DF6807" w:rsidRDefault="00DF6807" w:rsidP="00DF6807">
            <w:pPr>
              <w:jc w:val="both"/>
              <w:rPr>
                <w:rFonts w:ascii="Times New Roman" w:hAnsi="Times New Roman"/>
                <w:lang w:val="en-US"/>
              </w:rPr>
            </w:pPr>
            <w:r w:rsidRPr="009A06A7">
              <w:rPr>
                <w:noProof/>
              </w:rPr>
              <w:drawing>
                <wp:inline distT="0" distB="0" distL="0" distR="0">
                  <wp:extent cx="5210064" cy="4572000"/>
                  <wp:effectExtent l="0" t="0" r="0"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DF6807" w:rsidRDefault="00DF6807" w:rsidP="00DF6807">
            <w:pPr>
              <w:jc w:val="both"/>
              <w:rPr>
                <w:rFonts w:ascii="Times New Roman" w:hAnsi="Times New Roman"/>
                <w:szCs w:val="20"/>
                <w:lang w:val="en-US"/>
              </w:rPr>
            </w:pPr>
          </w:p>
          <w:p w:rsidR="00DF6807" w:rsidRDefault="00DF6807" w:rsidP="00DF6807">
            <w:pPr>
              <w:jc w:val="both"/>
              <w:rPr>
                <w:rFonts w:ascii="Times New Roman" w:hAnsi="Times New Roman"/>
                <w:b/>
                <w:sz w:val="26"/>
                <w:szCs w:val="26"/>
              </w:rPr>
            </w:pPr>
          </w:p>
        </w:tc>
      </w:tr>
    </w:tbl>
    <w:p w:rsidR="00DF6807" w:rsidRPr="00D965EA" w:rsidRDefault="00DF6807" w:rsidP="00DF6807">
      <w:pPr>
        <w:rPr>
          <w:b/>
          <w:sz w:val="28"/>
        </w:rPr>
      </w:pPr>
    </w:p>
    <w:p w:rsidR="00910FBD" w:rsidRDefault="00910FBD" w:rsidP="00E34910">
      <w:pPr>
        <w:pStyle w:val="2"/>
        <w:spacing w:before="0" w:after="0" w:line="360" w:lineRule="auto"/>
        <w:jc w:val="both"/>
        <w:rPr>
          <w:rFonts w:ascii="Times New Roman" w:hAnsi="Times New Roman" w:cs="Times New Roman"/>
          <w:i w:val="0"/>
          <w:sz w:val="24"/>
          <w:szCs w:val="24"/>
        </w:rPr>
      </w:pPr>
    </w:p>
    <w:p w:rsidR="00E34910" w:rsidRDefault="00E34910" w:rsidP="00E34910">
      <w:pPr>
        <w:pStyle w:val="2"/>
        <w:spacing w:before="0" w:after="0" w:line="360" w:lineRule="auto"/>
        <w:jc w:val="both"/>
        <w:rPr>
          <w:rFonts w:ascii="Times New Roman" w:hAnsi="Times New Roman" w:cs="Times New Roman"/>
          <w:i w:val="0"/>
          <w:sz w:val="24"/>
          <w:szCs w:val="24"/>
        </w:rPr>
      </w:pPr>
      <w:bookmarkStart w:id="31" w:name="_Toc396220909"/>
      <w:r>
        <w:rPr>
          <w:rFonts w:ascii="Times New Roman" w:hAnsi="Times New Roman" w:cs="Times New Roman"/>
          <w:i w:val="0"/>
          <w:sz w:val="24"/>
          <w:szCs w:val="24"/>
        </w:rPr>
        <w:t>7.4.2</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Σχετική ισοδυναμία αγοραστικής δύναμης</w:t>
      </w:r>
      <w:bookmarkEnd w:id="31"/>
      <w:r>
        <w:rPr>
          <w:rFonts w:ascii="Times New Roman" w:hAnsi="Times New Roman" w:cs="Times New Roman"/>
          <w:i w:val="0"/>
          <w:sz w:val="24"/>
          <w:szCs w:val="24"/>
        </w:rPr>
        <w:t xml:space="preserve"> </w:t>
      </w:r>
    </w:p>
    <w:p w:rsidR="00871C84" w:rsidRPr="004266F7" w:rsidRDefault="007607B9" w:rsidP="003308DD">
      <w:pPr>
        <w:spacing w:line="360" w:lineRule="auto"/>
        <w:ind w:firstLine="720"/>
        <w:contextualSpacing/>
        <w:jc w:val="both"/>
      </w:pPr>
      <w:r>
        <w:t>Μια άλλη δημοφιλής εκδοχή της ΙΑΔ είναι η σχετική</w:t>
      </w:r>
      <w:r w:rsidR="00871C84" w:rsidRPr="00871C84">
        <w:t xml:space="preserve"> ΙΑΔ</w:t>
      </w:r>
      <w:r w:rsidR="004266F7" w:rsidRPr="004266F7">
        <w:t xml:space="preserve"> (</w:t>
      </w:r>
      <w:r w:rsidR="004266F7">
        <w:rPr>
          <w:lang w:val="en-US"/>
        </w:rPr>
        <w:t>Relative</w:t>
      </w:r>
      <w:r w:rsidR="004266F7" w:rsidRPr="004266F7">
        <w:t xml:space="preserve"> </w:t>
      </w:r>
      <w:r w:rsidR="004266F7">
        <w:rPr>
          <w:lang w:val="en-US"/>
        </w:rPr>
        <w:t>PPP</w:t>
      </w:r>
      <w:r w:rsidR="004266F7" w:rsidRPr="004266F7">
        <w:t>)</w:t>
      </w:r>
      <w:r w:rsidR="00871C84" w:rsidRPr="00871C84">
        <w:t xml:space="preserve"> </w:t>
      </w:r>
      <w:r w:rsidR="00C446F0">
        <w:t xml:space="preserve">που </w:t>
      </w:r>
      <w:r w:rsidR="00871C84" w:rsidRPr="00871C84">
        <w:t xml:space="preserve">προκύπτει εάν </w:t>
      </w:r>
      <w:proofErr w:type="spellStart"/>
      <w:r w:rsidR="00871C84" w:rsidRPr="00871C84">
        <w:t>λογαριθμίσουμε</w:t>
      </w:r>
      <w:proofErr w:type="spellEnd"/>
      <w:r w:rsidR="00871C84" w:rsidRPr="00871C84">
        <w:t xml:space="preserve"> τη </w:t>
      </w:r>
      <w:r w:rsidR="00871C84" w:rsidRPr="003308DD">
        <w:t xml:space="preserve">σχέση </w:t>
      </w:r>
      <w:r w:rsidR="004266F7" w:rsidRPr="003308DD">
        <w:t>(7</w:t>
      </w:r>
      <w:r w:rsidR="003308DD" w:rsidRPr="003308DD">
        <w:t>.12</w:t>
      </w:r>
      <w:r w:rsidR="004266F7" w:rsidRPr="003308DD">
        <w:t xml:space="preserve">) </w:t>
      </w:r>
      <w:r w:rsidR="00871C84" w:rsidRPr="003308DD">
        <w:t xml:space="preserve">και </w:t>
      </w:r>
      <w:r w:rsidR="00871C84" w:rsidRPr="00871C84">
        <w:t>πάρουμε τις πρώτες διαφορές:</w:t>
      </w:r>
    </w:p>
    <w:p w:rsidR="00871C84" w:rsidRPr="004266F7" w:rsidRDefault="007607B9" w:rsidP="003308DD">
      <w:pPr>
        <w:spacing w:line="360" w:lineRule="auto"/>
        <w:ind w:left="720" w:firstLine="720"/>
        <w:contextualSpacing/>
        <w:jc w:val="both"/>
      </w:pPr>
      <w:r w:rsidRPr="007607B9">
        <w:rPr>
          <w:position w:val="-12"/>
        </w:rPr>
        <w:object w:dxaOrig="2400" w:dyaOrig="380">
          <v:shape id="_x0000_i1064" type="#_x0000_t75" style="width:117.1pt;height:19.4pt" o:ole="" fillcolor="window">
            <v:imagedata r:id="rId98" o:title=""/>
          </v:shape>
          <o:OLEObject Type="Embed" ProgID="Equation.3" ShapeID="_x0000_i1064" DrawAspect="Content" ObjectID="_1475064877" r:id="rId99"/>
        </w:object>
      </w:r>
      <w:r w:rsidR="006B61E9">
        <w:t xml:space="preserve">  ή </w:t>
      </w:r>
      <w:r w:rsidR="00887D83" w:rsidRPr="006B61E9">
        <w:rPr>
          <w:position w:val="-12"/>
        </w:rPr>
        <w:object w:dxaOrig="1380" w:dyaOrig="380">
          <v:shape id="_x0000_i1065" type="#_x0000_t75" style="width:67.6pt;height:19.4pt" o:ole="" fillcolor="window">
            <v:imagedata r:id="rId100" o:title=""/>
          </v:shape>
          <o:OLEObject Type="Embed" ProgID="Equation.3" ShapeID="_x0000_i1065" DrawAspect="Content" ObjectID="_1475064878" r:id="rId101"/>
        </w:object>
      </w:r>
      <w:r w:rsidR="006B61E9">
        <w:t xml:space="preserve">               </w:t>
      </w:r>
    </w:p>
    <w:p w:rsidR="00C27081" w:rsidRPr="00C446F0" w:rsidRDefault="006B61E9" w:rsidP="006B61E9">
      <w:pPr>
        <w:spacing w:line="360" w:lineRule="auto"/>
        <w:contextualSpacing/>
        <w:jc w:val="both"/>
      </w:pPr>
      <w:r w:rsidRPr="00C446F0">
        <w:t xml:space="preserve">Όπου </w:t>
      </w:r>
      <w:r w:rsidR="00521EF7" w:rsidRPr="00C446F0">
        <w:t>%</w:t>
      </w:r>
      <w:r w:rsidRPr="00C446F0">
        <w:rPr>
          <w:lang w:val="en-US"/>
        </w:rPr>
        <w:t>s</w:t>
      </w:r>
      <w:r w:rsidRPr="00C446F0">
        <w:t>=Δ</w:t>
      </w:r>
      <w:proofErr w:type="spellStart"/>
      <w:r w:rsidRPr="00C446F0">
        <w:rPr>
          <w:lang w:val="en-US"/>
        </w:rPr>
        <w:t>lnS</w:t>
      </w:r>
      <w:proofErr w:type="spellEnd"/>
      <w:r w:rsidRPr="00C446F0">
        <w:t xml:space="preserve"> είναι ο ποσοστιαίος ρυθμός μεταβολής της συναλλαγματικής ισοτιμίας, π υποδηλώνει το ρυθμό του πληθωρισμού στην εγχώρια οικονομία και π*</w:t>
      </w:r>
      <w:r w:rsidR="00C446F0">
        <w:t xml:space="preserve"> ο ρυθμός πληθωρισμού</w:t>
      </w:r>
      <w:r w:rsidRPr="00C446F0">
        <w:t xml:space="preserve"> στην ξένη οικονομία. Σύμφωνα λοιπόν με την σχετική ΙΑΔ ο </w:t>
      </w:r>
      <w:r w:rsidRPr="00C446F0">
        <w:lastRenderedPageBreak/>
        <w:t>ρυθμός μεταβολής της ονομαστικής ισοτιμίας όψεως ισούται με το διαφορικό πληθωρισμό. Εάν για παράδειγμα</w:t>
      </w:r>
      <w:r w:rsidR="00C446F0">
        <w:t>,</w:t>
      </w:r>
      <w:r w:rsidRPr="00C446F0">
        <w:t xml:space="preserve"> ο πληθωρισμός της Ευρωζώνης είναι 2% και των ΗΠΑ 4%, η ισοτιμία εκφράζεται με τον άμεσο τρόπο</w:t>
      </w:r>
      <w:r w:rsidR="00C446F0">
        <w:t>,</w:t>
      </w:r>
      <w:r w:rsidRPr="00C446F0">
        <w:t xml:space="preserve"> και ο εγχώριος επενδυτής είναι ο Ευρωπαίος</w:t>
      </w:r>
      <w:r w:rsidR="00C446F0">
        <w:t>, τότε</w:t>
      </w:r>
      <w:r w:rsidRPr="00C446F0">
        <w:t xml:space="preserve"> προκύπτει ότι το δολάριο αναμένεται να υποτιμηθεί έναντι του ευρώ κατά 2%. </w:t>
      </w:r>
    </w:p>
    <w:p w:rsidR="00C27081" w:rsidRDefault="006B61E9" w:rsidP="00C446F0">
      <w:pPr>
        <w:spacing w:line="360" w:lineRule="auto"/>
        <w:ind w:firstLine="720"/>
        <w:contextualSpacing/>
        <w:jc w:val="both"/>
      </w:pPr>
      <w:r>
        <w:t>Με άλλα λόγια, η</w:t>
      </w:r>
      <w:r w:rsidR="00C27081">
        <w:t xml:space="preserve"> θεωρία </w:t>
      </w:r>
      <w:r>
        <w:t>της σχετικής</w:t>
      </w:r>
      <w:r w:rsidR="00C27081">
        <w:t xml:space="preserve"> ισοτιμίας των αγοραστικών δυνάμεων υποστηρίζει ότι οι μεταβολές των συναλλαγματικών ισοτιμιών είναι αποτέλεσμα κυρίως των αποκλίσεων στα ποσοστά πληθωρισμού μεταξύ των </w:t>
      </w:r>
      <w:r w:rsidR="00C446F0">
        <w:t>δύο</w:t>
      </w:r>
      <w:r w:rsidR="00C27081">
        <w:t xml:space="preserve"> χωρών. Εάν</w:t>
      </w:r>
      <w:r>
        <w:t xml:space="preserve"> για παράδειγμα ο εγχώριος πληθωρισμός είναι μεγαλύτερος από τον πληθωρισμό στην αλλοδαπή</w:t>
      </w:r>
      <w:r w:rsidR="00C27081">
        <w:t xml:space="preserve"> </w:t>
      </w:r>
      <w:r>
        <w:t>(</w:t>
      </w:r>
      <w:r w:rsidRPr="006B61E9">
        <w:rPr>
          <w:position w:val="-12"/>
        </w:rPr>
        <w:object w:dxaOrig="780" w:dyaOrig="380">
          <v:shape id="_x0000_i1066" type="#_x0000_t75" style="width:37.55pt;height:19.4pt" o:ole="" fillcolor="window">
            <v:imagedata r:id="rId102" o:title=""/>
          </v:shape>
          <o:OLEObject Type="Embed" ProgID="Equation.3" ShapeID="_x0000_i1066" DrawAspect="Content" ObjectID="_1475064879" r:id="rId103"/>
        </w:object>
      </w:r>
      <w:r>
        <w:t>)</w:t>
      </w:r>
      <w:r w:rsidR="00C27081">
        <w:t>, τότε</w:t>
      </w:r>
      <w:r>
        <w:t xml:space="preserve"> αναμένεται το ξένο νόμισμα να ανατιμηθεί έναντι του εγχώριου</w:t>
      </w:r>
      <w:r w:rsidR="00C27081">
        <w:t xml:space="preserve"> </w:t>
      </w:r>
      <w:r>
        <w:t>(</w:t>
      </w:r>
      <w:r w:rsidR="00C446F0">
        <w:t>%</w:t>
      </w:r>
      <w:r w:rsidRPr="006B61E9">
        <w:rPr>
          <w:position w:val="-12"/>
        </w:rPr>
        <w:object w:dxaOrig="620" w:dyaOrig="360">
          <v:shape id="_x0000_i1067" type="#_x0000_t75" style="width:34.45pt;height:19.4pt" o:ole="" fillcolor="window">
            <v:imagedata r:id="rId104" o:title=""/>
          </v:shape>
          <o:OLEObject Type="Embed" ProgID="Equation.3" ShapeID="_x0000_i1067" DrawAspect="Content" ObjectID="_1475064880" r:id="rId105"/>
        </w:object>
      </w:r>
      <w:r>
        <w:t xml:space="preserve">) ώστε η εγχώρια </w:t>
      </w:r>
      <w:r w:rsidR="00C446F0">
        <w:t xml:space="preserve">οικονομία </w:t>
      </w:r>
      <w:r>
        <w:t>να μην απολέσει μέρος της ανταγωνιστικότητας της</w:t>
      </w:r>
      <w:r w:rsidR="00C27081">
        <w:t xml:space="preserve">. </w:t>
      </w:r>
      <w:r>
        <w:t xml:space="preserve">Αυτό μπορεί να εξηγηθεί από το γεγονός ότι </w:t>
      </w:r>
      <w:r w:rsidR="003A3838">
        <w:t xml:space="preserve">με </w:t>
      </w:r>
      <w:r w:rsidR="003A3838" w:rsidRPr="006B61E9">
        <w:rPr>
          <w:position w:val="-12"/>
        </w:rPr>
        <w:object w:dxaOrig="780" w:dyaOrig="380">
          <v:shape id="_x0000_i1068" type="#_x0000_t75" style="width:37.55pt;height:19.4pt" o:ole="" fillcolor="window">
            <v:imagedata r:id="rId102" o:title=""/>
          </v:shape>
          <o:OLEObject Type="Embed" ProgID="Equation.3" ShapeID="_x0000_i1068" DrawAspect="Content" ObjectID="_1475064881" r:id="rId106"/>
        </w:object>
      </w:r>
      <w:r w:rsidR="00C27081">
        <w:t>, τα εισαγόμενα αγαθά είναι περισσότερο φθηνά από</w:t>
      </w:r>
      <w:r>
        <w:t xml:space="preserve"> τα </w:t>
      </w:r>
      <w:proofErr w:type="spellStart"/>
      <w:r>
        <w:t>εγχωρίως</w:t>
      </w:r>
      <w:proofErr w:type="spellEnd"/>
      <w:r>
        <w:t xml:space="preserve"> παραγόμενα, με απο</w:t>
      </w:r>
      <w:r w:rsidR="00C27081">
        <w:t>τέλεσμα τη μείωση των εξαγωγών και την αύξηση των εισαγωγών, προκαλώντας έτσι υπερβάλλουσα ζήτηση του ξένου νομίσματος και αναζωπύρωση των υποτιμητικών προσδοκιών. Στην αντίθετη περίπτωση, δηλαδή</w:t>
      </w:r>
      <w:r w:rsidR="00C446F0">
        <w:t xml:space="preserve"> όταν</w:t>
      </w:r>
      <w:r w:rsidR="00C27081">
        <w:t xml:space="preserve"> </w:t>
      </w:r>
      <w:r w:rsidR="008A4AD6" w:rsidRPr="008A4AD6">
        <w:rPr>
          <w:position w:val="-12"/>
        </w:rPr>
        <w:object w:dxaOrig="760" w:dyaOrig="380">
          <v:shape id="_x0000_i1069" type="#_x0000_t75" style="width:37.55pt;height:19.4pt" o:ole="" fillcolor="window">
            <v:imagedata r:id="rId107" o:title=""/>
          </v:shape>
          <o:OLEObject Type="Embed" ProgID="Equation.3" ShapeID="_x0000_i1069" DrawAspect="Content" ObjectID="_1475064882" r:id="rId108"/>
        </w:object>
      </w:r>
      <w:r w:rsidR="00C27081">
        <w:t xml:space="preserve">, τότε </w:t>
      </w:r>
      <w:r w:rsidR="008A4AD6">
        <w:t>αναμένεται υποτίμηση του ξένου έναντι του εγχώριου</w:t>
      </w:r>
      <w:r w:rsidR="00C446F0">
        <w:t>,</w:t>
      </w:r>
      <w:r w:rsidR="008A4AD6">
        <w:t xml:space="preserve"> δηλαδή</w:t>
      </w:r>
      <w:r w:rsidR="00306A7C">
        <w:t xml:space="preserve"> </w:t>
      </w:r>
      <w:r w:rsidR="008A4AD6" w:rsidRPr="008A4AD6">
        <w:rPr>
          <w:position w:val="-12"/>
        </w:rPr>
        <w:object w:dxaOrig="620" w:dyaOrig="360">
          <v:shape id="_x0000_i1070" type="#_x0000_t75" style="width:30.05pt;height:19.4pt" o:ole="" fillcolor="window">
            <v:imagedata r:id="rId109" o:title=""/>
          </v:shape>
          <o:OLEObject Type="Embed" ProgID="Equation.3" ShapeID="_x0000_i1070" DrawAspect="Content" ObjectID="_1475064883" r:id="rId110"/>
        </w:object>
      </w:r>
      <w:r w:rsidR="008A4AD6">
        <w:t xml:space="preserve">. Στην περίπτωση όπου </w:t>
      </w:r>
      <w:r w:rsidR="008A4AD6" w:rsidRPr="008A4AD6">
        <w:rPr>
          <w:position w:val="-12"/>
        </w:rPr>
        <w:object w:dxaOrig="780" w:dyaOrig="380">
          <v:shape id="_x0000_i1071" type="#_x0000_t75" style="width:37.55pt;height:19.4pt" o:ole="" fillcolor="window">
            <v:imagedata r:id="rId111" o:title=""/>
          </v:shape>
          <o:OLEObject Type="Embed" ProgID="Equation.3" ShapeID="_x0000_i1071" DrawAspect="Content" ObjectID="_1475064884" r:id="rId112"/>
        </w:object>
      </w:r>
      <w:r w:rsidR="00C446F0">
        <w:t>,</w:t>
      </w:r>
      <w:r w:rsidR="00C27081">
        <w:t xml:space="preserve"> τότε </w:t>
      </w:r>
      <w:r w:rsidR="008A4AD6">
        <w:t xml:space="preserve">δεν αναμένεται μεταβολή της συναλλαγματικής ισοτιμίας, δηλαδή ο ρυθμός μεταβολής </w:t>
      </w:r>
      <w:r w:rsidR="00C27081">
        <w:t xml:space="preserve"> </w:t>
      </w:r>
      <w:r w:rsidR="00C446F0">
        <w:t>%</w:t>
      </w:r>
      <w:r w:rsidR="008A4AD6" w:rsidRPr="008A4AD6">
        <w:rPr>
          <w:position w:val="-12"/>
        </w:rPr>
        <w:object w:dxaOrig="620" w:dyaOrig="360">
          <v:shape id="_x0000_i1072" type="#_x0000_t75" style="width:34.45pt;height:19.4pt" o:ole="" fillcolor="window">
            <v:imagedata r:id="rId113" o:title=""/>
          </v:shape>
          <o:OLEObject Type="Embed" ProgID="Equation.3" ShapeID="_x0000_i1072" DrawAspect="Content" ObjectID="_1475064885" r:id="rId114"/>
        </w:object>
      </w:r>
      <w:r w:rsidR="00C27081">
        <w:t>.</w:t>
      </w:r>
    </w:p>
    <w:p w:rsidR="00AC36DB" w:rsidRDefault="00AC36DB" w:rsidP="00C446F0">
      <w:pPr>
        <w:spacing w:line="360" w:lineRule="auto"/>
        <w:ind w:firstLine="720"/>
        <w:contextualSpacing/>
        <w:jc w:val="both"/>
      </w:pPr>
    </w:p>
    <w:tbl>
      <w:tblPr>
        <w:tblStyle w:val="af3"/>
        <w:tblW w:w="0" w:type="auto"/>
        <w:tblLook w:val="04A0"/>
      </w:tblPr>
      <w:tblGrid>
        <w:gridCol w:w="8528"/>
      </w:tblGrid>
      <w:tr w:rsidR="00222088" w:rsidRPr="00222088" w:rsidTr="00222088">
        <w:tc>
          <w:tcPr>
            <w:tcW w:w="8528" w:type="dxa"/>
          </w:tcPr>
          <w:p w:rsidR="008D175F" w:rsidRPr="00910FBD" w:rsidRDefault="008D175F" w:rsidP="000C4432">
            <w:pPr>
              <w:spacing w:line="276" w:lineRule="auto"/>
              <w:jc w:val="both"/>
              <w:rPr>
                <w:rFonts w:ascii="Times New Roman" w:hAnsi="Times New Roman"/>
                <w:b/>
                <w:i/>
              </w:rPr>
            </w:pPr>
            <w:r w:rsidRPr="00910FBD">
              <w:rPr>
                <w:rFonts w:ascii="Times New Roman" w:hAnsi="Times New Roman"/>
                <w:b/>
                <w:i/>
              </w:rPr>
              <w:t>Πλαίσιο 3</w:t>
            </w:r>
          </w:p>
          <w:p w:rsidR="008D175F" w:rsidRPr="00910FBD" w:rsidRDefault="008D175F" w:rsidP="000C4432">
            <w:pPr>
              <w:spacing w:line="276" w:lineRule="auto"/>
              <w:jc w:val="both"/>
              <w:rPr>
                <w:rFonts w:ascii="Times New Roman" w:hAnsi="Times New Roman"/>
                <w:i/>
              </w:rPr>
            </w:pPr>
          </w:p>
          <w:p w:rsidR="008D175F" w:rsidRPr="00910FBD" w:rsidRDefault="008D175F" w:rsidP="000C4432">
            <w:pPr>
              <w:spacing w:line="276" w:lineRule="auto"/>
              <w:jc w:val="both"/>
              <w:rPr>
                <w:rFonts w:ascii="Times New Roman" w:hAnsi="Times New Roman"/>
                <w:b/>
                <w:i/>
              </w:rPr>
            </w:pPr>
            <w:r w:rsidRPr="00910FBD">
              <w:rPr>
                <w:rFonts w:ascii="Times New Roman" w:hAnsi="Times New Roman"/>
                <w:b/>
                <w:i/>
              </w:rPr>
              <w:t>Σχετική ΙΑΔ</w:t>
            </w:r>
            <w:r w:rsidR="00222088" w:rsidRPr="00910FBD">
              <w:rPr>
                <w:rFonts w:ascii="Times New Roman" w:hAnsi="Times New Roman"/>
                <w:b/>
                <w:i/>
              </w:rPr>
              <w:t xml:space="preserve">          </w:t>
            </w:r>
          </w:p>
          <w:p w:rsidR="000C4432" w:rsidRPr="00E36943" w:rsidRDefault="000C4432" w:rsidP="008D175F">
            <w:pPr>
              <w:spacing w:line="360" w:lineRule="auto"/>
              <w:jc w:val="both"/>
              <w:rPr>
                <w:rFonts w:ascii="Times New Roman" w:hAnsi="Times New Roman"/>
              </w:rPr>
            </w:pPr>
          </w:p>
          <w:p w:rsidR="008D175F" w:rsidRPr="008D175F" w:rsidRDefault="00222088" w:rsidP="008D175F">
            <w:pPr>
              <w:spacing w:line="360" w:lineRule="auto"/>
              <w:jc w:val="both"/>
              <w:rPr>
                <w:rFonts w:ascii="Times New Roman" w:hAnsi="Times New Roman"/>
              </w:rPr>
            </w:pPr>
            <w:r w:rsidRPr="00F61CE2">
              <w:rPr>
                <w:rFonts w:ascii="Times New Roman" w:hAnsi="Times New Roman"/>
              </w:rPr>
              <w:t>Αν πάρουμε το παραπάνω θεωρητικό υπόδειγμα και εκφράσουμε τις ισοτιμίες έναντι του δολαρίου σε σχέση με το διαφορικό των πληθωρισμών μπορούμε να δούμε το ν</w:t>
            </w:r>
            <w:r w:rsidR="00910FBD">
              <w:rPr>
                <w:rFonts w:ascii="Times New Roman" w:hAnsi="Times New Roman"/>
              </w:rPr>
              <w:t>όμισμα ποιώ</w:t>
            </w:r>
            <w:r w:rsidRPr="00F61CE2">
              <w:rPr>
                <w:rFonts w:ascii="Times New Roman" w:hAnsi="Times New Roman"/>
              </w:rPr>
              <w:t xml:space="preserve">ν χωρών είναι υποτιμημένο ή ανατιμημένο και σε ποιο βαθμό, με βάση τη σχετική </w:t>
            </w:r>
            <w:r w:rsidRPr="00F61CE2">
              <w:rPr>
                <w:rFonts w:ascii="Times New Roman" w:hAnsi="Times New Roman"/>
                <w:lang w:val="en-US"/>
              </w:rPr>
              <w:t>PPP</w:t>
            </w:r>
            <w:r w:rsidRPr="00F61CE2">
              <w:rPr>
                <w:rFonts w:ascii="Times New Roman" w:hAnsi="Times New Roman"/>
              </w:rPr>
              <w:t xml:space="preserve">. Ειδικότερα, στο παρακάτω διάγραμμα διασποράς φαίνεται η σχέση μεταξύ διαφοράς </w:t>
            </w:r>
            <w:r w:rsidRPr="00F61CE2">
              <w:rPr>
                <w:rFonts w:ascii="Times New Roman" w:hAnsi="Times New Roman"/>
              </w:rPr>
              <w:lastRenderedPageBreak/>
              <w:t>πληθωρισμών (οριζόντιος άξονας) και της μέσης ποσοστιαίας μεταβολής της ονομαστικής τιμής του συναλλάγματος (κάθετος άξονας).</w:t>
            </w:r>
            <w:r w:rsidRPr="00F61CE2">
              <w:rPr>
                <w:rStyle w:val="ac"/>
                <w:rFonts w:ascii="Times New Roman" w:hAnsi="Times New Roman"/>
              </w:rPr>
              <w:footnoteReference w:id="5"/>
            </w:r>
            <w:r w:rsidRPr="00F61CE2">
              <w:rPr>
                <w:rFonts w:ascii="Times New Roman" w:hAnsi="Times New Roman"/>
              </w:rPr>
              <w:t xml:space="preserve"> Στο σχήμα είναι φανερή η θετική συσχέτιση </w:t>
            </w:r>
            <w:r w:rsidR="008D175F">
              <w:rPr>
                <w:rFonts w:ascii="Times New Roman" w:hAnsi="Times New Roman"/>
              </w:rPr>
              <w:t>μεταξύ των δύο αυτών μεταβλητών</w:t>
            </w:r>
            <w:r w:rsidRPr="00F61CE2">
              <w:rPr>
                <w:rFonts w:ascii="Times New Roman" w:hAnsi="Times New Roman"/>
              </w:rPr>
              <w:t xml:space="preserve"> όπως επίσης και ότι στις χώρες με σχετικά υψηλό πληθωρισμό το νόμισμα τους τείνει να υποτιμάται, ενώ στις χώρες με σχετικά χαμηλό πληθωρισμό το νόμισμα τους τείνει να ανατιμάται.</w:t>
            </w:r>
          </w:p>
        </w:tc>
      </w:tr>
      <w:tr w:rsidR="00222088" w:rsidRPr="00754AF6" w:rsidTr="008D175F">
        <w:trPr>
          <w:trHeight w:val="6129"/>
        </w:trPr>
        <w:tc>
          <w:tcPr>
            <w:tcW w:w="8528" w:type="dxa"/>
            <w:tcBorders>
              <w:bottom w:val="single" w:sz="4" w:space="0" w:color="auto"/>
            </w:tcBorders>
          </w:tcPr>
          <w:p w:rsidR="00222088" w:rsidRDefault="00222088" w:rsidP="00222088">
            <w:pPr>
              <w:jc w:val="both"/>
            </w:pPr>
            <w:r w:rsidRPr="00222088">
              <w:rPr>
                <w:noProof/>
              </w:rPr>
              <w:lastRenderedPageBreak/>
              <w:drawing>
                <wp:inline distT="0" distB="0" distL="0" distR="0">
                  <wp:extent cx="5143500" cy="3571875"/>
                  <wp:effectExtent l="0" t="0" r="0" b="9525"/>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754AF6" w:rsidRDefault="00754AF6" w:rsidP="00222088">
            <w:pPr>
              <w:jc w:val="both"/>
            </w:pPr>
          </w:p>
          <w:p w:rsidR="00754AF6" w:rsidRPr="00754AF6" w:rsidRDefault="00754AF6" w:rsidP="00222088">
            <w:pPr>
              <w:jc w:val="both"/>
              <w:rPr>
                <w:lang w:val="en-US"/>
              </w:rPr>
            </w:pPr>
            <w:r>
              <w:t>Πηγές</w:t>
            </w:r>
            <w:r w:rsidRPr="00754AF6">
              <w:rPr>
                <w:lang w:val="en-US"/>
              </w:rPr>
              <w:t xml:space="preserve">: </w:t>
            </w:r>
            <w:hyperlink r:id="rId116" w:history="1">
              <w:r w:rsidRPr="00BE588B">
                <w:rPr>
                  <w:rStyle w:val="-"/>
                  <w:lang w:val="en-US"/>
                </w:rPr>
                <w:t>www</w:t>
              </w:r>
              <w:r w:rsidRPr="00754AF6">
                <w:rPr>
                  <w:rStyle w:val="-"/>
                  <w:lang w:val="en-US"/>
                </w:rPr>
                <w:t>.</w:t>
              </w:r>
              <w:r w:rsidRPr="00BE588B">
                <w:rPr>
                  <w:rStyle w:val="-"/>
                  <w:lang w:val="en-US"/>
                </w:rPr>
                <w:t>oecd</w:t>
              </w:r>
              <w:r w:rsidRPr="00754AF6">
                <w:rPr>
                  <w:rStyle w:val="-"/>
                  <w:lang w:val="en-US"/>
                </w:rPr>
                <w:t>.</w:t>
              </w:r>
              <w:r w:rsidRPr="00BE588B">
                <w:rPr>
                  <w:rStyle w:val="-"/>
                  <w:lang w:val="en-US"/>
                </w:rPr>
                <w:t>or</w:t>
              </w:r>
            </w:hyperlink>
            <w:r w:rsidRPr="00754AF6">
              <w:rPr>
                <w:lang w:val="en-US"/>
              </w:rPr>
              <w:t xml:space="preserve"> </w:t>
            </w:r>
            <w:r>
              <w:rPr>
                <w:lang w:val="en-US"/>
              </w:rPr>
              <w:t>(</w:t>
            </w:r>
            <w:r>
              <w:t>ΟΟΣΑ</w:t>
            </w:r>
            <w:r>
              <w:rPr>
                <w:lang w:val="en-US"/>
              </w:rPr>
              <w:t>)</w:t>
            </w:r>
            <w:r>
              <w:t>και</w:t>
            </w:r>
            <w:r w:rsidRPr="00754AF6">
              <w:rPr>
                <w:lang w:val="en-US"/>
              </w:rPr>
              <w:t xml:space="preserve"> </w:t>
            </w:r>
            <w:hyperlink r:id="rId117" w:history="1">
              <w:r w:rsidRPr="00754AF6">
                <w:rPr>
                  <w:rStyle w:val="-"/>
                  <w:lang w:val="en-US"/>
                </w:rPr>
                <w:t>http://fx.sauder.ubc.ca/data.html</w:t>
              </w:r>
            </w:hyperlink>
            <w:r w:rsidRPr="00754AF6">
              <w:rPr>
                <w:lang w:val="en-US"/>
              </w:rPr>
              <w:t xml:space="preserve"> </w:t>
            </w:r>
            <w:r>
              <w:rPr>
                <w:lang w:val="en-US"/>
              </w:rPr>
              <w:t>(pacific ocean)</w:t>
            </w:r>
          </w:p>
        </w:tc>
      </w:tr>
    </w:tbl>
    <w:p w:rsidR="001163F2" w:rsidRPr="00754AF6" w:rsidRDefault="001163F2" w:rsidP="00C27081">
      <w:pPr>
        <w:spacing w:line="360" w:lineRule="auto"/>
        <w:contextualSpacing/>
        <w:jc w:val="both"/>
        <w:rPr>
          <w:b/>
          <w:lang w:val="en-US"/>
        </w:rPr>
      </w:pPr>
    </w:p>
    <w:p w:rsidR="008A4AD6" w:rsidRPr="00E34910" w:rsidRDefault="001163F2" w:rsidP="00C27081">
      <w:pPr>
        <w:spacing w:line="360" w:lineRule="auto"/>
        <w:contextualSpacing/>
        <w:jc w:val="both"/>
        <w:rPr>
          <w:i/>
          <w:u w:val="single"/>
        </w:rPr>
      </w:pPr>
      <w:r w:rsidRPr="00E34910">
        <w:rPr>
          <w:i/>
          <w:u w:val="single"/>
        </w:rPr>
        <w:t>Εμπειρικοί έλεγχοι και λ</w:t>
      </w:r>
      <w:r w:rsidR="008D175F" w:rsidRPr="00E34910">
        <w:rPr>
          <w:i/>
          <w:u w:val="single"/>
        </w:rPr>
        <w:t>όγοι απόρριψης της ΙΑΔ</w:t>
      </w:r>
    </w:p>
    <w:p w:rsidR="008A4AD6" w:rsidRPr="003308DD" w:rsidRDefault="001401E6" w:rsidP="001401E6">
      <w:pPr>
        <w:pStyle w:val="ae"/>
        <w:spacing w:after="200" w:line="360" w:lineRule="auto"/>
        <w:ind w:left="0"/>
        <w:contextualSpacing/>
        <w:jc w:val="both"/>
      </w:pPr>
      <w:r>
        <w:t xml:space="preserve">Πολλές μελέτες έχουν γίνει σχετικά με </w:t>
      </w:r>
      <w:proofErr w:type="spellStart"/>
      <w:r>
        <w:t>τηνς</w:t>
      </w:r>
      <w:proofErr w:type="spellEnd"/>
      <w:r>
        <w:t xml:space="preserve"> εγκυρότητα της ΙΑΔ, μεταξύ άλλων αξιόλογες είναι των </w:t>
      </w:r>
      <w:proofErr w:type="spellStart"/>
      <w:r w:rsidRPr="00C7249B">
        <w:rPr>
          <w:lang w:val="en-US"/>
        </w:rPr>
        <w:t>M</w:t>
      </w:r>
      <w:r>
        <w:rPr>
          <w:lang w:val="en-US"/>
        </w:rPr>
        <w:t>ylonidis</w:t>
      </w:r>
      <w:proofErr w:type="spellEnd"/>
      <w:r w:rsidRPr="001401E6">
        <w:t xml:space="preserve"> &amp; </w:t>
      </w:r>
      <w:proofErr w:type="spellStart"/>
      <w:r>
        <w:rPr>
          <w:lang w:val="en-US"/>
        </w:rPr>
        <w:t>Semertzidou</w:t>
      </w:r>
      <w:proofErr w:type="spellEnd"/>
      <w:r w:rsidRPr="001401E6">
        <w:t xml:space="preserve"> </w:t>
      </w:r>
      <w:r>
        <w:t>(</w:t>
      </w:r>
      <w:r w:rsidRPr="001401E6">
        <w:t>2010</w:t>
      </w:r>
      <w:r>
        <w:t>)</w:t>
      </w:r>
      <w:r w:rsidRPr="001401E6">
        <w:t xml:space="preserve">, </w:t>
      </w:r>
      <w:proofErr w:type="spellStart"/>
      <w:r>
        <w:rPr>
          <w:lang w:val="en-US"/>
        </w:rPr>
        <w:t>Mylonidis</w:t>
      </w:r>
      <w:proofErr w:type="spellEnd"/>
      <w:r w:rsidRPr="001401E6">
        <w:t xml:space="preserve"> &amp; </w:t>
      </w:r>
      <w:proofErr w:type="spellStart"/>
      <w:r>
        <w:rPr>
          <w:lang w:val="en-US"/>
        </w:rPr>
        <w:t>Paleologou</w:t>
      </w:r>
      <w:proofErr w:type="spellEnd"/>
      <w:r>
        <w:t xml:space="preserve"> (</w:t>
      </w:r>
      <w:r w:rsidRPr="001401E6">
        <w:t>2011)</w:t>
      </w:r>
      <w:r>
        <w:t>. Γενικά όμως τ</w:t>
      </w:r>
      <w:r w:rsidR="003A3838" w:rsidRPr="003308DD">
        <w:t xml:space="preserve">α ευρήματα μια μεγάλης σειράς εμπειρικών ερευνών συνοψίζονται σε έξι σημεία με έναν εξαιρετικό τρόπο από τον καθηγητή </w:t>
      </w:r>
      <w:r w:rsidR="003A3838" w:rsidRPr="003308DD">
        <w:rPr>
          <w:lang w:val="en-US"/>
        </w:rPr>
        <w:t>Keith</w:t>
      </w:r>
      <w:r w:rsidR="003A3838" w:rsidRPr="003308DD">
        <w:t xml:space="preserve"> </w:t>
      </w:r>
      <w:proofErr w:type="spellStart"/>
      <w:r w:rsidR="003A3838" w:rsidRPr="003308DD">
        <w:rPr>
          <w:lang w:val="en-US"/>
        </w:rPr>
        <w:t>Pilbeam</w:t>
      </w:r>
      <w:proofErr w:type="spellEnd"/>
      <w:r w:rsidR="003A3838" w:rsidRPr="003308DD">
        <w:t xml:space="preserve"> (</w:t>
      </w:r>
      <w:r w:rsidR="003308DD" w:rsidRPr="003308DD">
        <w:t>2006</w:t>
      </w:r>
      <w:r w:rsidR="003A3838" w:rsidRPr="003308DD">
        <w:t>)</w:t>
      </w:r>
      <w:r w:rsidR="003308DD">
        <w:t>.</w:t>
      </w:r>
      <w:r w:rsidR="003A3838" w:rsidRPr="003308DD">
        <w:t xml:space="preserve"> </w:t>
      </w:r>
    </w:p>
    <w:p w:rsidR="008A4AD6" w:rsidRDefault="003A3838" w:rsidP="006411E7">
      <w:pPr>
        <w:pStyle w:val="ae"/>
        <w:numPr>
          <w:ilvl w:val="0"/>
          <w:numId w:val="3"/>
        </w:numPr>
        <w:spacing w:before="240" w:line="360" w:lineRule="auto"/>
        <w:ind w:left="357" w:hanging="357"/>
        <w:contextualSpacing/>
        <w:jc w:val="both"/>
      </w:pPr>
      <w:r>
        <w:t>Η</w:t>
      </w:r>
      <w:r w:rsidRPr="003A3838">
        <w:t xml:space="preserve"> </w:t>
      </w:r>
      <w:r w:rsidR="008A4AD6">
        <w:t>ΙΑΔ</w:t>
      </w:r>
      <w:r w:rsidR="00120698" w:rsidRPr="003A3838">
        <w:t xml:space="preserve"> </w:t>
      </w:r>
      <w:r>
        <w:t>εμφανίζεται</w:t>
      </w:r>
      <w:r w:rsidRPr="003A3838">
        <w:t xml:space="preserve"> </w:t>
      </w:r>
      <w:r>
        <w:t>περισσότερο</w:t>
      </w:r>
      <w:r w:rsidRPr="003A3838">
        <w:t xml:space="preserve"> </w:t>
      </w:r>
      <w:r>
        <w:t>σε</w:t>
      </w:r>
      <w:r w:rsidRPr="003A3838">
        <w:t xml:space="preserve"> </w:t>
      </w:r>
      <w:r>
        <w:t>χώρες</w:t>
      </w:r>
      <w:r w:rsidRPr="003A3838">
        <w:t xml:space="preserve"> </w:t>
      </w:r>
      <w:r>
        <w:t>γεωγραφικά</w:t>
      </w:r>
      <w:r w:rsidRPr="003A3838">
        <w:t xml:space="preserve"> </w:t>
      </w:r>
      <w:r>
        <w:t>κοντά</w:t>
      </w:r>
      <w:r w:rsidRPr="003A3838">
        <w:t xml:space="preserve"> </w:t>
      </w:r>
      <w:r>
        <w:t>και</w:t>
      </w:r>
      <w:r w:rsidRPr="003A3838">
        <w:t xml:space="preserve"> </w:t>
      </w:r>
      <w:r>
        <w:t>με</w:t>
      </w:r>
      <w:r w:rsidRPr="003A3838">
        <w:t xml:space="preserve"> </w:t>
      </w:r>
      <w:r>
        <w:t>έντονους</w:t>
      </w:r>
      <w:r w:rsidRPr="003A3838">
        <w:t xml:space="preserve"> </w:t>
      </w:r>
      <w:r>
        <w:t>στενούς</w:t>
      </w:r>
      <w:r w:rsidRPr="003A3838">
        <w:t xml:space="preserve"> </w:t>
      </w:r>
      <w:r>
        <w:t>εμπορικούς</w:t>
      </w:r>
      <w:r w:rsidRPr="003A3838">
        <w:t xml:space="preserve"> </w:t>
      </w:r>
      <w:r>
        <w:t>δεσμούς</w:t>
      </w:r>
      <w:r w:rsidRPr="003A3838">
        <w:t>.</w:t>
      </w:r>
    </w:p>
    <w:p w:rsidR="008A4AD6" w:rsidRDefault="008A4AD6" w:rsidP="006411E7">
      <w:pPr>
        <w:pStyle w:val="ae"/>
        <w:numPr>
          <w:ilvl w:val="0"/>
          <w:numId w:val="3"/>
        </w:numPr>
        <w:spacing w:line="360" w:lineRule="auto"/>
        <w:contextualSpacing/>
        <w:jc w:val="both"/>
      </w:pPr>
      <w:r>
        <w:t>Σ</w:t>
      </w:r>
      <w:r w:rsidR="003A3838">
        <w:t>ημαντικές</w:t>
      </w:r>
      <w:r w:rsidR="003A3838" w:rsidRPr="003A3838">
        <w:t xml:space="preserve"> </w:t>
      </w:r>
      <w:r w:rsidR="003A3838">
        <w:t>αποκλίσεις</w:t>
      </w:r>
      <w:r w:rsidR="003A3838" w:rsidRPr="003A3838">
        <w:t xml:space="preserve"> </w:t>
      </w:r>
      <w:r w:rsidR="003A3838">
        <w:t>και</w:t>
      </w:r>
      <w:r w:rsidR="00C446F0">
        <w:t xml:space="preserve"> για</w:t>
      </w:r>
      <w:r w:rsidR="003A3838" w:rsidRPr="003A3838">
        <w:t xml:space="preserve"> </w:t>
      </w:r>
      <w:r w:rsidR="003A3838">
        <w:t>μεγάλο</w:t>
      </w:r>
      <w:r w:rsidR="003A3838" w:rsidRPr="003A3838">
        <w:t xml:space="preserve"> </w:t>
      </w:r>
      <w:r w:rsidR="003A3838">
        <w:t>χρονικό</w:t>
      </w:r>
      <w:r w:rsidR="003A3838" w:rsidRPr="003A3838">
        <w:t xml:space="preserve"> </w:t>
      </w:r>
      <w:r w:rsidR="003A3838">
        <w:t>διάστημα</w:t>
      </w:r>
      <w:r w:rsidR="003A3838" w:rsidRPr="003A3838">
        <w:t xml:space="preserve"> </w:t>
      </w:r>
      <w:r w:rsidR="003A3838">
        <w:t>από</w:t>
      </w:r>
      <w:r w:rsidR="003A3838" w:rsidRPr="003A3838">
        <w:t xml:space="preserve"> </w:t>
      </w:r>
      <w:r w:rsidR="003A3838">
        <w:t>την</w:t>
      </w:r>
      <w:r w:rsidR="003A3838" w:rsidRPr="003A3838">
        <w:t xml:space="preserve"> </w:t>
      </w:r>
      <w:r w:rsidR="003A3838">
        <w:t>ΙΑΔ</w:t>
      </w:r>
      <w:r w:rsidR="00C446F0">
        <w:t>,</w:t>
      </w:r>
      <w:r w:rsidR="003A3838" w:rsidRPr="003A3838">
        <w:t xml:space="preserve"> </w:t>
      </w:r>
      <w:r w:rsidR="003A3838">
        <w:t>εμφανίστηκαν</w:t>
      </w:r>
      <w:r w:rsidR="003A3838" w:rsidRPr="003A3838">
        <w:t xml:space="preserve"> </w:t>
      </w:r>
      <w:r w:rsidR="003A3838">
        <w:t>για</w:t>
      </w:r>
      <w:r w:rsidR="003A3838" w:rsidRPr="003A3838">
        <w:t xml:space="preserve"> </w:t>
      </w:r>
      <w:r w:rsidR="003A3838">
        <w:t>μια</w:t>
      </w:r>
      <w:r w:rsidR="003A3838" w:rsidRPr="003A3838">
        <w:t xml:space="preserve"> </w:t>
      </w:r>
      <w:r w:rsidR="003A3838">
        <w:t>σειρά</w:t>
      </w:r>
      <w:r w:rsidR="003A3838" w:rsidRPr="003A3838">
        <w:t xml:space="preserve"> </w:t>
      </w:r>
      <w:r w:rsidR="003A3838">
        <w:t>σημαντικών νομισμάτων</w:t>
      </w:r>
      <w:r w:rsidR="003A3838" w:rsidRPr="003A3838">
        <w:t xml:space="preserve"> </w:t>
      </w:r>
      <w:r w:rsidR="003A3838">
        <w:t>σε</w:t>
      </w:r>
      <w:r w:rsidR="003A3838" w:rsidRPr="003A3838">
        <w:t xml:space="preserve"> </w:t>
      </w:r>
      <w:r w:rsidR="003A3838">
        <w:t xml:space="preserve">σχέση με το δολάριο. </w:t>
      </w:r>
    </w:p>
    <w:p w:rsidR="008A4AD6" w:rsidRDefault="008A4AD6" w:rsidP="006411E7">
      <w:pPr>
        <w:pStyle w:val="ae"/>
        <w:numPr>
          <w:ilvl w:val="0"/>
          <w:numId w:val="3"/>
        </w:numPr>
        <w:spacing w:line="360" w:lineRule="auto"/>
        <w:contextualSpacing/>
        <w:jc w:val="both"/>
      </w:pPr>
      <w:r>
        <w:lastRenderedPageBreak/>
        <w:t>Ο</w:t>
      </w:r>
      <w:r w:rsidR="003A3838">
        <w:t>ι</w:t>
      </w:r>
      <w:r w:rsidR="003A3838" w:rsidRPr="003A3838">
        <w:t xml:space="preserve"> </w:t>
      </w:r>
      <w:r w:rsidR="003A3838">
        <w:t>συναλλαγματικές</w:t>
      </w:r>
      <w:r w:rsidR="003A3838" w:rsidRPr="003A3838">
        <w:t xml:space="preserve"> </w:t>
      </w:r>
      <w:r w:rsidR="003A3838">
        <w:t>ισοτιμίες</w:t>
      </w:r>
      <w:r w:rsidR="003A3838" w:rsidRPr="003A3838">
        <w:t xml:space="preserve"> </w:t>
      </w:r>
      <w:r w:rsidR="003A3838">
        <w:t>παρουσιάζουν</w:t>
      </w:r>
      <w:r w:rsidR="003A3838" w:rsidRPr="003A3838">
        <w:t xml:space="preserve"> </w:t>
      </w:r>
      <w:r w:rsidR="003A3838">
        <w:t>πολύ</w:t>
      </w:r>
      <w:r w:rsidR="003A3838" w:rsidRPr="003A3838">
        <w:t xml:space="preserve"> </w:t>
      </w:r>
      <w:r w:rsidR="003A3838">
        <w:t>μεγαλύτερη</w:t>
      </w:r>
      <w:r w:rsidR="003A3838" w:rsidRPr="003A3838">
        <w:t xml:space="preserve"> </w:t>
      </w:r>
      <w:r w:rsidR="003A3838">
        <w:t>μεταβλητότητα</w:t>
      </w:r>
      <w:r w:rsidR="003A3838" w:rsidRPr="003A3838">
        <w:t xml:space="preserve"> </w:t>
      </w:r>
      <w:r w:rsidR="003A3838">
        <w:t>από</w:t>
      </w:r>
      <w:r w:rsidR="003A3838" w:rsidRPr="003A3838">
        <w:t xml:space="preserve"> </w:t>
      </w:r>
      <w:r w:rsidR="003A3838">
        <w:t>την</w:t>
      </w:r>
      <w:r w:rsidR="003A3838" w:rsidRPr="003A3838">
        <w:t xml:space="preserve"> </w:t>
      </w:r>
      <w:r w:rsidR="003A3838">
        <w:t>μεταβλητότητα</w:t>
      </w:r>
      <w:r w:rsidR="003A3838" w:rsidRPr="003A3838">
        <w:t xml:space="preserve"> </w:t>
      </w:r>
      <w:r w:rsidR="003A3838">
        <w:t>των</w:t>
      </w:r>
      <w:r w:rsidR="003A3838" w:rsidRPr="003A3838">
        <w:t xml:space="preserve"> </w:t>
      </w:r>
      <w:r w:rsidR="003A3838">
        <w:t>εθνικών</w:t>
      </w:r>
      <w:r w:rsidR="003A3838" w:rsidRPr="003A3838">
        <w:t xml:space="preserve"> </w:t>
      </w:r>
      <w:r w:rsidR="003A3838">
        <w:t>επιπέδων</w:t>
      </w:r>
      <w:r w:rsidR="003A3838" w:rsidRPr="003A3838">
        <w:t xml:space="preserve"> </w:t>
      </w:r>
      <w:r w:rsidR="003A3838">
        <w:t>τιμών</w:t>
      </w:r>
      <w:r w:rsidR="003A3838" w:rsidRPr="003A3838">
        <w:t xml:space="preserve"> </w:t>
      </w:r>
      <w:r w:rsidR="003A3838">
        <w:t>που είναι σε αντίθεση με την υπόθεση της ΙΑΔ.</w:t>
      </w:r>
    </w:p>
    <w:p w:rsidR="008A4AD6" w:rsidRDefault="008A4AD6" w:rsidP="006411E7">
      <w:pPr>
        <w:pStyle w:val="ae"/>
        <w:numPr>
          <w:ilvl w:val="0"/>
          <w:numId w:val="3"/>
        </w:numPr>
        <w:spacing w:line="360" w:lineRule="auto"/>
        <w:contextualSpacing/>
        <w:jc w:val="both"/>
      </w:pPr>
      <w:r>
        <w:t>Η</w:t>
      </w:r>
      <w:r w:rsidR="003A3838" w:rsidRPr="003A3838">
        <w:t xml:space="preserve"> σχέση</w:t>
      </w:r>
      <w:r w:rsidR="003A3838">
        <w:t xml:space="preserve"> μεταξύ ισοτιμίας και επιπέδου </w:t>
      </w:r>
      <w:r w:rsidR="003A3838" w:rsidRPr="003A3838">
        <w:t xml:space="preserve">τιμών ισχύει </w:t>
      </w:r>
      <w:r w:rsidR="003A3838">
        <w:t>περισσότερο</w:t>
      </w:r>
      <w:r w:rsidR="003A3838" w:rsidRPr="003A3838">
        <w:t xml:space="preserve"> μακροχρόνια, αλλά όχι υποχρεωτικ</w:t>
      </w:r>
      <w:r w:rsidR="00C446F0">
        <w:t>ά</w:t>
      </w:r>
      <w:r w:rsidR="003A3838" w:rsidRPr="003A3838">
        <w:t xml:space="preserve"> βραχυχρόνια.</w:t>
      </w:r>
    </w:p>
    <w:p w:rsidR="008A4AD6" w:rsidRPr="008A4AD6" w:rsidRDefault="003A3838" w:rsidP="006411E7">
      <w:pPr>
        <w:pStyle w:val="ae"/>
        <w:numPr>
          <w:ilvl w:val="0"/>
          <w:numId w:val="3"/>
        </w:numPr>
        <w:spacing w:line="360" w:lineRule="auto"/>
        <w:contextualSpacing/>
        <w:jc w:val="both"/>
        <w:rPr>
          <w:b/>
          <w:bCs/>
        </w:rPr>
      </w:pPr>
      <w:r>
        <w:t>Η</w:t>
      </w:r>
      <w:r w:rsidRPr="003A3838">
        <w:t xml:space="preserve"> </w:t>
      </w:r>
      <w:r>
        <w:t>ΙΑΔ</w:t>
      </w:r>
      <w:r w:rsidRPr="003A3838">
        <w:t xml:space="preserve"> </w:t>
      </w:r>
      <w:r w:rsidR="008A4AD6">
        <w:t>αποτελεί</w:t>
      </w:r>
      <w:r w:rsidRPr="003A3838">
        <w:t xml:space="preserve"> </w:t>
      </w:r>
      <w:r>
        <w:t>την</w:t>
      </w:r>
      <w:r w:rsidRPr="003A3838">
        <w:t xml:space="preserve"> </w:t>
      </w:r>
      <w:r>
        <w:t>κυρίαρχη</w:t>
      </w:r>
      <w:r w:rsidRPr="003A3838">
        <w:t xml:space="preserve"> </w:t>
      </w:r>
      <w:r>
        <w:t>δύναμη</w:t>
      </w:r>
      <w:r w:rsidRPr="003A3838">
        <w:t xml:space="preserve"> </w:t>
      </w:r>
      <w:r>
        <w:t>καθορισμού</w:t>
      </w:r>
      <w:r w:rsidRPr="003A3838">
        <w:t xml:space="preserve"> </w:t>
      </w:r>
      <w:r>
        <w:t>των</w:t>
      </w:r>
      <w:r w:rsidRPr="003A3838">
        <w:t xml:space="preserve"> </w:t>
      </w:r>
      <w:r>
        <w:t>συναλλαγματικών</w:t>
      </w:r>
      <w:r w:rsidRPr="003A3838">
        <w:t xml:space="preserve"> </w:t>
      </w:r>
      <w:r>
        <w:t>ισοτιμιών</w:t>
      </w:r>
      <w:r w:rsidRPr="003A3838">
        <w:t xml:space="preserve"> </w:t>
      </w:r>
      <w:r>
        <w:t>χωρών</w:t>
      </w:r>
      <w:r w:rsidRPr="003A3838">
        <w:t xml:space="preserve"> </w:t>
      </w:r>
      <w:r>
        <w:t>που</w:t>
      </w:r>
      <w:r w:rsidRPr="003A3838">
        <w:t xml:space="preserve"> </w:t>
      </w:r>
      <w:r>
        <w:t>παρουσίαζαν εξαιρετικά υψηλό πληθωρισμό σε σχέση με τους εμπορικούς τους εταίρους</w:t>
      </w:r>
    </w:p>
    <w:p w:rsidR="003A3838" w:rsidRPr="008A4AD6" w:rsidRDefault="003A3838" w:rsidP="006411E7">
      <w:pPr>
        <w:pStyle w:val="ae"/>
        <w:numPr>
          <w:ilvl w:val="0"/>
          <w:numId w:val="3"/>
        </w:numPr>
        <w:spacing w:line="360" w:lineRule="auto"/>
        <w:contextualSpacing/>
        <w:jc w:val="both"/>
        <w:rPr>
          <w:b/>
          <w:bCs/>
        </w:rPr>
      </w:pPr>
      <w:r>
        <w:t>Η</w:t>
      </w:r>
      <w:r w:rsidRPr="003A3838">
        <w:t xml:space="preserve"> </w:t>
      </w:r>
      <w:r>
        <w:t>ΙΑΔ</w:t>
      </w:r>
      <w:r w:rsidRPr="003A3838">
        <w:t xml:space="preserve"> </w:t>
      </w:r>
      <w:r>
        <w:t>ισχύει</w:t>
      </w:r>
      <w:r w:rsidRPr="003A3838">
        <w:t xml:space="preserve"> </w:t>
      </w:r>
      <w:r>
        <w:t>περισσότερο</w:t>
      </w:r>
      <w:r w:rsidRPr="003A3838">
        <w:t xml:space="preserve"> </w:t>
      </w:r>
      <w:r>
        <w:t>στα</w:t>
      </w:r>
      <w:r w:rsidRPr="003A3838">
        <w:t xml:space="preserve"> </w:t>
      </w:r>
      <w:r>
        <w:t>εμπορεύσιμα</w:t>
      </w:r>
      <w:r w:rsidRPr="003A3838">
        <w:t xml:space="preserve"> </w:t>
      </w:r>
      <w:r>
        <w:t>παρά</w:t>
      </w:r>
      <w:r w:rsidRPr="003A3838">
        <w:t xml:space="preserve"> </w:t>
      </w:r>
      <w:r>
        <w:t>στα</w:t>
      </w:r>
      <w:r w:rsidRPr="003A3838">
        <w:t xml:space="preserve"> </w:t>
      </w:r>
      <w:r>
        <w:t>μη</w:t>
      </w:r>
      <w:r w:rsidRPr="003A3838">
        <w:t xml:space="preserve"> </w:t>
      </w:r>
      <w:r>
        <w:t>εμπορεύσιμα</w:t>
      </w:r>
      <w:r w:rsidRPr="003A3838">
        <w:t xml:space="preserve"> </w:t>
      </w:r>
      <w:r>
        <w:t xml:space="preserve">αγαθά. </w:t>
      </w:r>
    </w:p>
    <w:p w:rsidR="003308DD" w:rsidRDefault="001163F2" w:rsidP="00C446F0">
      <w:pPr>
        <w:spacing w:before="240" w:line="360" w:lineRule="auto"/>
        <w:ind w:firstLine="720"/>
        <w:contextualSpacing/>
        <w:jc w:val="both"/>
      </w:pPr>
      <w:r w:rsidRPr="001163F2">
        <w:rPr>
          <w:bCs/>
        </w:rPr>
        <w:t xml:space="preserve">Μια σειρά από πιθανούς λόγους αποτυχίας της ΙΑΔ θα παρουσιάσουμε σε αυτό το σημείο. </w:t>
      </w:r>
      <w:r w:rsidR="00997D0A" w:rsidRPr="001163F2">
        <w:t>Ένας</w:t>
      </w:r>
      <w:r w:rsidR="00997D0A">
        <w:t xml:space="preserve"> πιθανό</w:t>
      </w:r>
      <w:r w:rsidR="00BE5238">
        <w:t>ς λόγος για την κακή επίδοση της</w:t>
      </w:r>
      <w:r w:rsidR="00997D0A">
        <w:t xml:space="preserve"> ΙΑΔ σε εμπειρικές δοκιμές είναι ότι οι εμπε</w:t>
      </w:r>
      <w:r w:rsidR="00BE5238">
        <w:t>ιρικοί έλεγχοι είναι ανεπαρκείς</w:t>
      </w:r>
      <w:r w:rsidR="00997D0A">
        <w:t xml:space="preserve"> μάλλον παρά η ΙΑΔ. Δηλαδή, τα στατιστικά προβλήματα που συχνά αναφέρονται</w:t>
      </w:r>
      <w:r>
        <w:t xml:space="preserve"> στην </w:t>
      </w:r>
      <w:proofErr w:type="spellStart"/>
      <w:r>
        <w:t>υποδειγματοποίηση</w:t>
      </w:r>
      <w:proofErr w:type="spellEnd"/>
      <w:r>
        <w:t>,</w:t>
      </w:r>
      <w:r w:rsidR="00997D0A">
        <w:t xml:space="preserve"> σημαίνουν ότι οι</w:t>
      </w:r>
      <w:r>
        <w:t xml:space="preserve"> έλεγχοι</w:t>
      </w:r>
      <w:r w:rsidR="00997D0A">
        <w:t xml:space="preserve"> δεν παρέχουν μια δίκαιη αξιολόγηση της ΙΑΔ ως θεωρία των συναλλαγματικών ισοτιμιών.</w:t>
      </w:r>
      <w:r>
        <w:t xml:space="preserve"> </w:t>
      </w:r>
    </w:p>
    <w:p w:rsidR="003308DD" w:rsidRDefault="00997D0A" w:rsidP="003308DD">
      <w:pPr>
        <w:spacing w:line="360" w:lineRule="auto"/>
        <w:ind w:firstLine="720"/>
        <w:contextualSpacing/>
        <w:jc w:val="both"/>
      </w:pPr>
      <w:r>
        <w:t>Μια δεύτερη δέσμη λόγων επικεντρώνεται στα κόστη μεταφοράς και στα εμπόδια στο εμπόριο, όπως δασμοί, ποσοστώ</w:t>
      </w:r>
      <w:r w:rsidR="00BE5238">
        <w:t>σεις</w:t>
      </w:r>
      <w:r>
        <w:t xml:space="preserve"> και </w:t>
      </w:r>
      <w:r w:rsidR="00BE5238">
        <w:t>στον ανεπαρκή διεθνή ανταγωνισμό</w:t>
      </w:r>
      <w:r>
        <w:t>. Ένα τρίτο επιχείρημα είναι ότι οι τιμές στις αγορές αγαθών αλλάζουν με αργούς ρυθμούς σε απάντηση κάποιων διαταραχών, ενώ οι αγορές</w:t>
      </w:r>
      <w:r w:rsidR="00BE5238">
        <w:t xml:space="preserve"> χρήματος</w:t>
      </w:r>
      <w:r>
        <w:t xml:space="preserve"> προσαρμόζονται γρήγορα. Έτσι, οι ροές κεφαλαίων επιφέρουν αλλαγές στις συναλλαγματικές ισοτιμίες, ωθώντας τους μακριά από τ</w:t>
      </w:r>
      <w:r w:rsidR="00CD0F9F">
        <w:t>ην</w:t>
      </w:r>
      <w:r>
        <w:t xml:space="preserve"> ΙΑΔ. Αυτό θα είναι μόνο </w:t>
      </w:r>
      <w:r w:rsidR="007E547D">
        <w:t>προσωρινό καθώς αργότερα όταν</w:t>
      </w:r>
      <w:r>
        <w:t xml:space="preserve"> </w:t>
      </w:r>
      <w:r w:rsidR="007E547D">
        <w:t>οι τιμές εμπορευμάτων θα αρχίσουν να αλλάζουν θα βοηθήσουν στην αποκατάσταση της ΙΑΔ</w:t>
      </w:r>
      <w:r>
        <w:t xml:space="preserve">. Αυτό </w:t>
      </w:r>
      <w:r w:rsidR="007E547D">
        <w:t xml:space="preserve">το φαινόμενο </w:t>
      </w:r>
      <w:r>
        <w:t>είναι</w:t>
      </w:r>
      <w:r w:rsidR="007E547D">
        <w:t xml:space="preserve"> γνωστό ως «</w:t>
      </w:r>
      <w:proofErr w:type="spellStart"/>
      <w:r w:rsidR="007E547D">
        <w:t>υπερακόντιση</w:t>
      </w:r>
      <w:proofErr w:type="spellEnd"/>
      <w:r>
        <w:t xml:space="preserve"> των συναλλαγματικών ισοτιμιών».</w:t>
      </w:r>
    </w:p>
    <w:p w:rsidR="003A3838" w:rsidRDefault="001163F2" w:rsidP="008D175F">
      <w:pPr>
        <w:spacing w:line="360" w:lineRule="auto"/>
        <w:ind w:firstLine="720"/>
        <w:contextualSpacing/>
        <w:jc w:val="both"/>
      </w:pPr>
      <w:r>
        <w:t>Ενώ τέλος μ</w:t>
      </w:r>
      <w:r w:rsidR="00997D0A">
        <w:t>ια τέταρτη εξήγηση, που αναπτύχθηκε σε κάποια έκταση</w:t>
      </w:r>
      <w:r w:rsidR="007E547D">
        <w:t xml:space="preserve"> στην βιβλιογραφία</w:t>
      </w:r>
      <w:r w:rsidR="00997D0A">
        <w:t xml:space="preserve">, σχετίζεται με την αποτυχία </w:t>
      </w:r>
      <w:r w:rsidR="007E547D">
        <w:t>της ΙΑΔ να εξηγήσει</w:t>
      </w:r>
      <w:r w:rsidR="00997D0A">
        <w:t xml:space="preserve"> τις συναλλαγματικές ισοτιμίες μεταξύ των νομισμάτων των ανεπτυγμένων χωρών και των</w:t>
      </w:r>
      <w:r w:rsidR="007E547D">
        <w:t xml:space="preserve"> αναπτυσσόμενων χωρών</w:t>
      </w:r>
      <w:r>
        <w:t>. Αυτή</w:t>
      </w:r>
      <w:r w:rsidR="00997D0A">
        <w:t xml:space="preserve"> βασίζεται στην ιδέα ότι η παρ</w:t>
      </w:r>
      <w:r w:rsidR="007E547D">
        <w:t>αγωγικότητα είναι πολύ υψηλότερη στους</w:t>
      </w:r>
      <w:r w:rsidR="00997D0A">
        <w:t xml:space="preserve"> </w:t>
      </w:r>
      <w:r w:rsidR="00BE5238">
        <w:t xml:space="preserve">τομείς </w:t>
      </w:r>
      <w:r w:rsidR="00997D0A">
        <w:t>εμπορεύσιμων αγαθών</w:t>
      </w:r>
      <w:r w:rsidR="007E547D">
        <w:t xml:space="preserve"> </w:t>
      </w:r>
      <w:r w:rsidR="00997D0A">
        <w:t>των</w:t>
      </w:r>
      <w:r w:rsidR="00BE5238">
        <w:t xml:space="preserve"> πλουσιότερων</w:t>
      </w:r>
      <w:r w:rsidR="007E547D">
        <w:t xml:space="preserve"> βιομηχανικά χωρών</w:t>
      </w:r>
      <w:r w:rsidR="00BE5238">
        <w:t xml:space="preserve"> από ό</w:t>
      </w:r>
      <w:r w:rsidR="00997D0A">
        <w:t>τι</w:t>
      </w:r>
      <w:r w:rsidR="007E547D">
        <w:t xml:space="preserve"> στις φτωχότερες χώρες. Λόγω της υψηλότερης </w:t>
      </w:r>
      <w:r w:rsidR="00997D0A">
        <w:t>παραγωγικότητα</w:t>
      </w:r>
      <w:r w:rsidR="007E547D">
        <w:t>ς</w:t>
      </w:r>
      <w:r w:rsidR="00997D0A">
        <w:t>, οι εργαζόμενοι σε εμπορεύσιμους κλάδους εμπορευμάτων στις πλούσιες χώρες λαμβάνουν υψηλότερους μισθούς. Το γεγονός</w:t>
      </w:r>
      <w:r w:rsidR="007E547D">
        <w:t xml:space="preserve"> </w:t>
      </w:r>
      <w:r w:rsidR="00997D0A">
        <w:t>ότι αυτές οι υψηλότερες</w:t>
      </w:r>
      <w:r w:rsidR="007E547D">
        <w:t xml:space="preserve"> αμοιβές </w:t>
      </w:r>
      <w:r w:rsidR="007E547D">
        <w:lastRenderedPageBreak/>
        <w:t>αντισταθμίζον</w:t>
      </w:r>
      <w:r w:rsidR="00997D0A">
        <w:t>ται από την αύξηση της παραγωγικότητας σημαίνει ότι οι τιμές των εμπορεύσιμων αγαθών</w:t>
      </w:r>
      <w:r w:rsidR="007E547D">
        <w:t xml:space="preserve"> εκφρασμένες</w:t>
      </w:r>
      <w:r w:rsidR="00997D0A">
        <w:t xml:space="preserve"> σε κοινό νόμισμα δεν είναι πολύ διαφορετικές μεταξύ πλούσιων και φτωχών χωρών.</w:t>
      </w:r>
      <w:r w:rsidR="007E547D">
        <w:t xml:space="preserve"> </w:t>
      </w:r>
      <w:r w:rsidR="00997D0A">
        <w:t xml:space="preserve">Ωστόσο, τα πράγματα είναι διαφορετικά σε μη εμπορεύσιμους κλάδους εμπορευμάτων. </w:t>
      </w:r>
      <w:r w:rsidR="007E547D">
        <w:t xml:space="preserve">Οι μισθοί είναι επίσης υψηλοί σε τομείς μη εμπορεύσιμων αγαθών </w:t>
      </w:r>
      <w:r w:rsidR="00997D0A">
        <w:t>στις πλούσιες χώρες, επειδή οι εργαζόμενοι σε αυτούς τους τομείς συγκρίνουν τον εαυτό τους με τους εργαζομένους</w:t>
      </w:r>
      <w:r w:rsidR="007E547D">
        <w:t xml:space="preserve"> </w:t>
      </w:r>
      <w:r w:rsidR="00997D0A">
        <w:t xml:space="preserve">στους τομείς εμπορεύσιμων αγαθών και </w:t>
      </w:r>
      <w:r w:rsidR="007E547D">
        <w:t>ζητάνε</w:t>
      </w:r>
      <w:r w:rsidR="00997D0A">
        <w:t xml:space="preserve"> παρ</w:t>
      </w:r>
      <w:r w:rsidR="007E547D">
        <w:t xml:space="preserve">όμοιους </w:t>
      </w:r>
      <w:r w:rsidR="00997D0A">
        <w:t>μισθούς. Ομοίως, στις φτωχές χώρες, οι εργαζόμενοι σ</w:t>
      </w:r>
      <w:r w:rsidR="007E547D">
        <w:t xml:space="preserve">ε κλάδους εμπορεύσιμων και μη αγαθών </w:t>
      </w:r>
      <w:r w:rsidR="00997D0A">
        <w:t xml:space="preserve">λαμβάνουν χαμηλούς μισθούς. Ωστόσο, η διαφορά </w:t>
      </w:r>
      <w:r w:rsidR="007E547D">
        <w:t xml:space="preserve">μισθών </w:t>
      </w:r>
      <w:r w:rsidR="00997D0A">
        <w:t xml:space="preserve">μεταξύ των εργαζομένων στις πλούσιες και τις φτωχές χώρες, </w:t>
      </w:r>
      <w:r w:rsidR="007E547D">
        <w:t xml:space="preserve">στον </w:t>
      </w:r>
      <w:r w:rsidR="00997D0A">
        <w:t>τομέα των</w:t>
      </w:r>
      <w:r w:rsidR="007E547D">
        <w:t xml:space="preserve"> μη</w:t>
      </w:r>
      <w:r w:rsidR="00997D0A">
        <w:t xml:space="preserve"> εμπορεύσιμων αγαθών δεν αν</w:t>
      </w:r>
      <w:r>
        <w:t>τισταθμίζεται από την υψηλότερη</w:t>
      </w:r>
      <w:r w:rsidR="007E547D">
        <w:t xml:space="preserve"> </w:t>
      </w:r>
      <w:r>
        <w:t>παραγωγικότητα</w:t>
      </w:r>
      <w:r w:rsidR="00997D0A">
        <w:t xml:space="preserve"> στους τομείς αυτούς στις πλούσιες χώρες. Επομένως, οι τιμές των μη εμπορεύσιμων αγαθών θα είναι</w:t>
      </w:r>
      <w:r w:rsidR="007E547D">
        <w:t xml:space="preserve"> </w:t>
      </w:r>
      <w:r w:rsidR="00997D0A">
        <w:t>πολύ υψηλότερες στις πλούσιες χώρες από ότι στις φ</w:t>
      </w:r>
      <w:r w:rsidR="00CD0F9F">
        <w:t>τωχές χώρες. Ως εκ τούτου, οποιοσ</w:t>
      </w:r>
      <w:r w:rsidR="00997D0A">
        <w:t>δήποτε</w:t>
      </w:r>
      <w:r>
        <w:t xml:space="preserve"> εμπειρικός έλεγχος της ΙΑΔ σε νομίσματα μεταξύ </w:t>
      </w:r>
      <w:r w:rsidR="00997D0A">
        <w:t>των πλούσιων και των φτωχών χωρών θα αποτύχει, εάν χρησιμοποιεί έναν γενικό δείκτη τιμών, συμπεριλαμβανομένων τόσο</w:t>
      </w:r>
      <w:r>
        <w:t xml:space="preserve"> εμπορεύσιμων όσο και μη </w:t>
      </w:r>
      <w:r w:rsidR="00997D0A">
        <w:t>εμπορεύσιμων αγαθών.</w:t>
      </w:r>
      <w:r>
        <w:t xml:space="preserve"> Η φορμαλιστική παρουσίαση όλων αυτών αποτελεί το λεγόμενο </w:t>
      </w:r>
      <w:r w:rsidR="00997D0A">
        <w:t xml:space="preserve">μοντέλο </w:t>
      </w:r>
      <w:proofErr w:type="spellStart"/>
      <w:r w:rsidR="00997D0A">
        <w:t>Balassa</w:t>
      </w:r>
      <w:proofErr w:type="spellEnd"/>
      <w:r w:rsidR="00997D0A">
        <w:t>-</w:t>
      </w:r>
      <w:proofErr w:type="spellStart"/>
      <w:r w:rsidR="00997D0A">
        <w:t>Samuelson</w:t>
      </w:r>
      <w:proofErr w:type="spellEnd"/>
      <w:r w:rsidR="00D8205F">
        <w:rPr>
          <w:rStyle w:val="ac"/>
        </w:rPr>
        <w:footnoteReference w:id="6"/>
      </w:r>
      <w:r w:rsidR="008D175F">
        <w:t>.</w:t>
      </w:r>
    </w:p>
    <w:p w:rsidR="00E34910" w:rsidRDefault="00E34910" w:rsidP="008D175F">
      <w:pPr>
        <w:spacing w:line="360" w:lineRule="auto"/>
        <w:ind w:firstLine="720"/>
        <w:contextualSpacing/>
        <w:jc w:val="both"/>
      </w:pPr>
    </w:p>
    <w:tbl>
      <w:tblPr>
        <w:tblStyle w:val="af3"/>
        <w:tblW w:w="8698" w:type="dxa"/>
        <w:tblLook w:val="04A0"/>
      </w:tblPr>
      <w:tblGrid>
        <w:gridCol w:w="9265"/>
      </w:tblGrid>
      <w:tr w:rsidR="008D175F" w:rsidRPr="00314741" w:rsidTr="00E21B55">
        <w:trPr>
          <w:trHeight w:val="1199"/>
        </w:trPr>
        <w:tc>
          <w:tcPr>
            <w:tcW w:w="8698" w:type="dxa"/>
          </w:tcPr>
          <w:p w:rsidR="008D175F" w:rsidRPr="00910FBD" w:rsidRDefault="008D175F" w:rsidP="00E21B55">
            <w:pPr>
              <w:jc w:val="both"/>
              <w:rPr>
                <w:rFonts w:ascii="Times New Roman" w:hAnsi="Times New Roman"/>
                <w:b/>
              </w:rPr>
            </w:pPr>
            <w:r w:rsidRPr="00910FBD">
              <w:rPr>
                <w:rFonts w:ascii="Times New Roman" w:hAnsi="Times New Roman"/>
                <w:b/>
              </w:rPr>
              <w:t>Πλαίσιο 4</w:t>
            </w:r>
          </w:p>
          <w:p w:rsidR="008D175F" w:rsidRPr="00910FBD" w:rsidRDefault="008D175F" w:rsidP="00E21B55">
            <w:pPr>
              <w:jc w:val="both"/>
              <w:rPr>
                <w:rFonts w:ascii="Times New Roman" w:hAnsi="Times New Roman"/>
              </w:rPr>
            </w:pPr>
          </w:p>
          <w:p w:rsidR="008D175F" w:rsidRPr="00910FBD" w:rsidRDefault="008D175F" w:rsidP="00E21B55">
            <w:pPr>
              <w:jc w:val="both"/>
              <w:rPr>
                <w:rFonts w:ascii="Times New Roman" w:hAnsi="Times New Roman"/>
                <w:b/>
              </w:rPr>
            </w:pPr>
            <w:proofErr w:type="spellStart"/>
            <w:r w:rsidRPr="00910FBD">
              <w:rPr>
                <w:rFonts w:ascii="Times New Roman" w:hAnsi="Times New Roman"/>
                <w:b/>
              </w:rPr>
              <w:t>Εμπερική</w:t>
            </w:r>
            <w:proofErr w:type="spellEnd"/>
            <w:r w:rsidRPr="00910FBD">
              <w:rPr>
                <w:rFonts w:ascii="Times New Roman" w:hAnsi="Times New Roman"/>
                <w:b/>
              </w:rPr>
              <w:t xml:space="preserve"> Εφαρμογή Ελέγχου Εγκυρότητας της Απόλυτης και Σχετικής ΙΑΔ</w:t>
            </w:r>
          </w:p>
          <w:p w:rsidR="008D175F" w:rsidRPr="00896D5B" w:rsidRDefault="008D175F" w:rsidP="00E21B55">
            <w:pPr>
              <w:jc w:val="both"/>
              <w:rPr>
                <w:rFonts w:ascii="Times New Roman" w:hAnsi="Times New Roman"/>
                <w:b/>
              </w:rPr>
            </w:pPr>
          </w:p>
          <w:p w:rsidR="008D175F" w:rsidRDefault="008D175F" w:rsidP="008D175F">
            <w:pPr>
              <w:spacing w:line="360" w:lineRule="auto"/>
              <w:jc w:val="both"/>
              <w:rPr>
                <w:rFonts w:ascii="Times New Roman" w:hAnsi="Times New Roman"/>
              </w:rPr>
            </w:pPr>
            <w:r>
              <w:rPr>
                <w:rFonts w:ascii="Times New Roman" w:hAnsi="Times New Roman"/>
              </w:rPr>
              <w:t xml:space="preserve">Ο </w:t>
            </w:r>
            <w:proofErr w:type="spellStart"/>
            <w:r w:rsidR="00F5424F">
              <w:rPr>
                <w:rFonts w:ascii="Times New Roman" w:hAnsi="Times New Roman"/>
                <w:lang w:val="en-US"/>
              </w:rPr>
              <w:t>Loukopoulos</w:t>
            </w:r>
            <w:proofErr w:type="spellEnd"/>
            <w:r>
              <w:rPr>
                <w:rFonts w:ascii="Times New Roman" w:hAnsi="Times New Roman"/>
              </w:rPr>
              <w:t xml:space="preserve"> (2013) χρησιμοποιώντας </w:t>
            </w:r>
            <w:r w:rsidRPr="009C2B4D">
              <w:rPr>
                <w:rFonts w:ascii="Times New Roman" w:hAnsi="Times New Roman"/>
              </w:rPr>
              <w:t>δεδομένα πέντε συναλλαγματικών ισοτιμιών</w:t>
            </w:r>
            <w:r>
              <w:rPr>
                <w:rFonts w:ascii="Times New Roman" w:hAnsi="Times New Roman"/>
              </w:rPr>
              <w:t xml:space="preserve"> εξέτασε την εγκυρότητα της ισοδυναμίας αγοραστικής δύναμης. Τα δεδομένα των διμερών συναλλαγματικών ισοτιμιών </w:t>
            </w:r>
            <w:r w:rsidRPr="009C2B4D">
              <w:rPr>
                <w:rFonts w:ascii="Times New Roman" w:hAnsi="Times New Roman"/>
              </w:rPr>
              <w:t>αντλή</w:t>
            </w:r>
            <w:r>
              <w:rPr>
                <w:rFonts w:ascii="Times New Roman" w:hAnsi="Times New Roman"/>
              </w:rPr>
              <w:t>θηκαν</w:t>
            </w:r>
            <w:r w:rsidRPr="009C2B4D">
              <w:rPr>
                <w:rFonts w:ascii="Times New Roman" w:hAnsi="Times New Roman"/>
              </w:rPr>
              <w:t xml:space="preserve"> από την ελεύθερη βάση δεδομένων </w:t>
            </w:r>
            <w:r w:rsidRPr="009C2B4D">
              <w:rPr>
                <w:rFonts w:ascii="Times New Roman" w:hAnsi="Times New Roman"/>
                <w:i/>
                <w:lang w:val="en-US"/>
              </w:rPr>
              <w:t>pacific</w:t>
            </w:r>
            <w:r w:rsidRPr="009C2B4D">
              <w:rPr>
                <w:rFonts w:ascii="Times New Roman" w:hAnsi="Times New Roman"/>
                <w:i/>
              </w:rPr>
              <w:t>.</w:t>
            </w:r>
            <w:r w:rsidRPr="009C2B4D">
              <w:rPr>
                <w:rFonts w:ascii="Times New Roman" w:hAnsi="Times New Roman"/>
                <w:i/>
                <w:lang w:val="en-US"/>
              </w:rPr>
              <w:t>ocean</w:t>
            </w:r>
            <w:r w:rsidRPr="007768AA">
              <w:rPr>
                <w:rFonts w:ascii="Times New Roman" w:hAnsi="Times New Roman"/>
              </w:rPr>
              <w:t>.</w:t>
            </w:r>
            <w:r w:rsidRPr="009C2B4D">
              <w:rPr>
                <w:rFonts w:ascii="Times New Roman" w:hAnsi="Times New Roman"/>
                <w:b/>
              </w:rPr>
              <w:t xml:space="preserve"> </w:t>
            </w:r>
            <w:r w:rsidRPr="009C2B4D">
              <w:rPr>
                <w:rFonts w:ascii="Times New Roman" w:hAnsi="Times New Roman"/>
              </w:rPr>
              <w:t>Οι ισοτιμίες που εξετά</w:t>
            </w:r>
            <w:r>
              <w:rPr>
                <w:rFonts w:ascii="Times New Roman" w:hAnsi="Times New Roman"/>
              </w:rPr>
              <w:t>στηκαν</w:t>
            </w:r>
            <w:r w:rsidRPr="009C2B4D">
              <w:rPr>
                <w:rFonts w:ascii="Times New Roman" w:hAnsi="Times New Roman"/>
              </w:rPr>
              <w:t xml:space="preserve"> </w:t>
            </w:r>
            <w:r>
              <w:rPr>
                <w:rFonts w:ascii="Times New Roman" w:hAnsi="Times New Roman"/>
              </w:rPr>
              <w:t>είχαν</w:t>
            </w:r>
            <w:r w:rsidRPr="009C2B4D">
              <w:rPr>
                <w:rFonts w:ascii="Times New Roman" w:hAnsi="Times New Roman"/>
              </w:rPr>
              <w:t xml:space="preserve"> κοινό παρανομαστή το αμερικάνικο δολάριο ($) και στον αριθμητή </w:t>
            </w:r>
            <w:r>
              <w:rPr>
                <w:rFonts w:ascii="Times New Roman" w:hAnsi="Times New Roman"/>
              </w:rPr>
              <w:t xml:space="preserve">χρησιμοποιήθηκαν </w:t>
            </w:r>
            <w:r w:rsidRPr="009C2B4D">
              <w:rPr>
                <w:rFonts w:ascii="Times New Roman" w:hAnsi="Times New Roman"/>
              </w:rPr>
              <w:t>τα ακόλουθα νομίσματα: α) Η Βρετανική Λίρα – Στερλίνα (</w:t>
            </w:r>
            <w:r w:rsidRPr="009C2B4D">
              <w:rPr>
                <w:rFonts w:ascii="Times New Roman" w:hAnsi="Times New Roman"/>
                <w:lang w:val="en-US"/>
              </w:rPr>
              <w:t>British</w:t>
            </w:r>
            <w:r w:rsidRPr="009C2B4D">
              <w:rPr>
                <w:rFonts w:ascii="Times New Roman" w:hAnsi="Times New Roman"/>
              </w:rPr>
              <w:t xml:space="preserve"> </w:t>
            </w:r>
            <w:r w:rsidRPr="009C2B4D">
              <w:rPr>
                <w:rFonts w:ascii="Times New Roman" w:hAnsi="Times New Roman"/>
                <w:lang w:val="en-US"/>
              </w:rPr>
              <w:t>Pound</w:t>
            </w:r>
            <w:r w:rsidRPr="009C2B4D">
              <w:rPr>
                <w:rFonts w:ascii="Times New Roman" w:hAnsi="Times New Roman"/>
              </w:rPr>
              <w:t>), β) το Καναδικό δολάριο (</w:t>
            </w:r>
            <w:r w:rsidRPr="009C2B4D">
              <w:rPr>
                <w:rFonts w:ascii="Times New Roman" w:hAnsi="Times New Roman"/>
                <w:lang w:val="en-US"/>
              </w:rPr>
              <w:t>Canadian</w:t>
            </w:r>
            <w:r w:rsidRPr="009C2B4D">
              <w:rPr>
                <w:rFonts w:ascii="Times New Roman" w:hAnsi="Times New Roman"/>
              </w:rPr>
              <w:t xml:space="preserve"> </w:t>
            </w:r>
            <w:r w:rsidRPr="009C2B4D">
              <w:rPr>
                <w:rFonts w:ascii="Times New Roman" w:hAnsi="Times New Roman"/>
                <w:lang w:val="en-US"/>
              </w:rPr>
              <w:t>Dollar</w:t>
            </w:r>
            <w:r w:rsidRPr="009C2B4D">
              <w:rPr>
                <w:rFonts w:ascii="Times New Roman" w:hAnsi="Times New Roman"/>
              </w:rPr>
              <w:t>), γ) το Ιαπωνικό γιεν (</w:t>
            </w:r>
            <w:r w:rsidRPr="009C2B4D">
              <w:rPr>
                <w:rFonts w:ascii="Times New Roman" w:hAnsi="Times New Roman"/>
                <w:lang w:val="en-US"/>
              </w:rPr>
              <w:t>Japanese</w:t>
            </w:r>
            <w:r w:rsidRPr="009C2B4D">
              <w:rPr>
                <w:rFonts w:ascii="Times New Roman" w:hAnsi="Times New Roman"/>
              </w:rPr>
              <w:t xml:space="preserve"> </w:t>
            </w:r>
            <w:r w:rsidRPr="009C2B4D">
              <w:rPr>
                <w:rFonts w:ascii="Times New Roman" w:hAnsi="Times New Roman"/>
                <w:lang w:val="en-US"/>
              </w:rPr>
              <w:t>Yen</w:t>
            </w:r>
            <w:r w:rsidRPr="009C2B4D">
              <w:rPr>
                <w:rFonts w:ascii="Times New Roman" w:hAnsi="Times New Roman"/>
              </w:rPr>
              <w:t xml:space="preserve">), και δ) το Μεξικάνικο </w:t>
            </w:r>
            <w:proofErr w:type="spellStart"/>
            <w:r w:rsidRPr="009C2B4D">
              <w:rPr>
                <w:rFonts w:ascii="Times New Roman" w:hAnsi="Times New Roman"/>
              </w:rPr>
              <w:t>πέσο</w:t>
            </w:r>
            <w:proofErr w:type="spellEnd"/>
            <w:r w:rsidRPr="009C2B4D">
              <w:rPr>
                <w:rFonts w:ascii="Times New Roman" w:hAnsi="Times New Roman"/>
              </w:rPr>
              <w:t xml:space="preserve"> (</w:t>
            </w:r>
            <w:r w:rsidRPr="009C2B4D">
              <w:rPr>
                <w:rFonts w:ascii="Times New Roman" w:hAnsi="Times New Roman"/>
                <w:lang w:val="en-US"/>
              </w:rPr>
              <w:t>Mexican</w:t>
            </w:r>
            <w:r w:rsidRPr="009C2B4D">
              <w:rPr>
                <w:rFonts w:ascii="Times New Roman" w:hAnsi="Times New Roman"/>
              </w:rPr>
              <w:t xml:space="preserve"> </w:t>
            </w:r>
            <w:r w:rsidRPr="009C2B4D">
              <w:rPr>
                <w:rFonts w:ascii="Times New Roman" w:hAnsi="Times New Roman"/>
                <w:lang w:val="en-US"/>
              </w:rPr>
              <w:t>peso</w:t>
            </w:r>
            <w:r w:rsidRPr="009C2B4D">
              <w:rPr>
                <w:rFonts w:ascii="Times New Roman" w:hAnsi="Times New Roman"/>
              </w:rPr>
              <w:t xml:space="preserve">). Επίσης, από τον </w:t>
            </w:r>
            <w:proofErr w:type="spellStart"/>
            <w:r>
              <w:rPr>
                <w:rFonts w:ascii="Times New Roman" w:hAnsi="Times New Roman"/>
              </w:rPr>
              <w:t>ιστότοπο</w:t>
            </w:r>
            <w:proofErr w:type="spellEnd"/>
            <w:r>
              <w:rPr>
                <w:rFonts w:ascii="Times New Roman" w:hAnsi="Times New Roman"/>
              </w:rPr>
              <w:t xml:space="preserve"> του </w:t>
            </w:r>
            <w:r w:rsidRPr="009C2B4D">
              <w:rPr>
                <w:rFonts w:ascii="Times New Roman" w:hAnsi="Times New Roman"/>
              </w:rPr>
              <w:t>ΟΟΣΑ</w:t>
            </w:r>
            <w:r>
              <w:rPr>
                <w:rFonts w:ascii="Times New Roman" w:hAnsi="Times New Roman"/>
              </w:rPr>
              <w:t xml:space="preserve"> </w:t>
            </w:r>
            <w:r w:rsidRPr="009C2B4D">
              <w:rPr>
                <w:rFonts w:ascii="Times New Roman" w:hAnsi="Times New Roman"/>
              </w:rPr>
              <w:t xml:space="preserve">αντλήθηκαν οι δείκτες τιμών των </w:t>
            </w:r>
            <w:r>
              <w:rPr>
                <w:rFonts w:ascii="Times New Roman" w:hAnsi="Times New Roman"/>
              </w:rPr>
              <w:t>χωρών που επιλέχθηκαν με βάση την ισοτιμία τους</w:t>
            </w:r>
            <w:r w:rsidRPr="009C2B4D">
              <w:rPr>
                <w:rFonts w:ascii="Times New Roman" w:hAnsi="Times New Roman"/>
              </w:rPr>
              <w:t>. Το χρονικό διάστημα για το οποίο μελετή</w:t>
            </w:r>
            <w:r>
              <w:rPr>
                <w:rFonts w:ascii="Times New Roman" w:hAnsi="Times New Roman"/>
              </w:rPr>
              <w:t>θηκαν</w:t>
            </w:r>
            <w:r w:rsidRPr="009C2B4D">
              <w:rPr>
                <w:rFonts w:ascii="Times New Roman" w:hAnsi="Times New Roman"/>
              </w:rPr>
              <w:t xml:space="preserve"> </w:t>
            </w:r>
            <w:r>
              <w:rPr>
                <w:rFonts w:ascii="Times New Roman" w:hAnsi="Times New Roman"/>
              </w:rPr>
              <w:t>οι</w:t>
            </w:r>
            <w:r w:rsidRPr="009C2B4D">
              <w:rPr>
                <w:rFonts w:ascii="Times New Roman" w:hAnsi="Times New Roman"/>
              </w:rPr>
              <w:t xml:space="preserve"> παραπάνω συναλλαγματικές ισοτιμίες και </w:t>
            </w:r>
            <w:r>
              <w:rPr>
                <w:rFonts w:ascii="Times New Roman" w:hAnsi="Times New Roman"/>
              </w:rPr>
              <w:t>οι</w:t>
            </w:r>
            <w:r w:rsidRPr="009C2B4D">
              <w:rPr>
                <w:rFonts w:ascii="Times New Roman" w:hAnsi="Times New Roman"/>
              </w:rPr>
              <w:t xml:space="preserve"> δείκτες τιμών είναι από 01/07/1993 έως 01/05/2013. </w:t>
            </w:r>
          </w:p>
          <w:p w:rsidR="008D175F" w:rsidRDefault="008D175F" w:rsidP="008D175F">
            <w:pPr>
              <w:spacing w:line="360" w:lineRule="auto"/>
              <w:jc w:val="both"/>
              <w:rPr>
                <w:rFonts w:ascii="Times New Roman" w:hAnsi="Times New Roman"/>
              </w:rPr>
            </w:pPr>
            <w:r w:rsidRPr="009C2B4D">
              <w:rPr>
                <w:rFonts w:ascii="Times New Roman" w:hAnsi="Times New Roman"/>
              </w:rPr>
              <w:t xml:space="preserve">Η συχνότητα των δεδομένων είναι μηνιαία (239 παρατηρήσεις) και </w:t>
            </w:r>
            <w:r>
              <w:rPr>
                <w:rFonts w:ascii="Times New Roman" w:hAnsi="Times New Roman"/>
              </w:rPr>
              <w:t>οι υπολογισμοί των μεταβλητών έγιναν με βάση τις</w:t>
            </w:r>
            <w:r w:rsidRPr="009C2B4D">
              <w:rPr>
                <w:rFonts w:ascii="Times New Roman" w:hAnsi="Times New Roman"/>
              </w:rPr>
              <w:t xml:space="preserve"> άμεσες ισοτιμίες και </w:t>
            </w:r>
            <w:r>
              <w:rPr>
                <w:rFonts w:ascii="Times New Roman" w:hAnsi="Times New Roman"/>
              </w:rPr>
              <w:t xml:space="preserve">τους </w:t>
            </w:r>
            <w:r w:rsidRPr="009C2B4D">
              <w:rPr>
                <w:rFonts w:ascii="Times New Roman" w:hAnsi="Times New Roman"/>
              </w:rPr>
              <w:t xml:space="preserve">δείκτες τιμών καταναλωτή </w:t>
            </w:r>
            <w:r>
              <w:rPr>
                <w:rFonts w:ascii="Times New Roman" w:hAnsi="Times New Roman"/>
              </w:rPr>
              <w:t>σε κάθε χώρα</w:t>
            </w:r>
            <w:r w:rsidRPr="009C2B4D">
              <w:rPr>
                <w:rFonts w:ascii="Times New Roman" w:hAnsi="Times New Roman"/>
              </w:rPr>
              <w:t xml:space="preserve"> (</w:t>
            </w:r>
            <w:r w:rsidRPr="009C2B4D">
              <w:rPr>
                <w:rFonts w:ascii="Times New Roman" w:hAnsi="Times New Roman"/>
                <w:lang w:val="en-US"/>
              </w:rPr>
              <w:t>CPI</w:t>
            </w:r>
            <w:r w:rsidRPr="009C2B4D">
              <w:rPr>
                <w:rFonts w:ascii="Times New Roman" w:hAnsi="Times New Roman"/>
              </w:rPr>
              <w:t>).</w:t>
            </w:r>
            <w:r>
              <w:rPr>
                <w:rFonts w:ascii="Times New Roman" w:hAnsi="Times New Roman"/>
              </w:rPr>
              <w:t xml:space="preserve"> Οι </w:t>
            </w:r>
            <w:r>
              <w:rPr>
                <w:rFonts w:ascii="Times New Roman" w:hAnsi="Times New Roman"/>
              </w:rPr>
              <w:lastRenderedPageBreak/>
              <w:t xml:space="preserve">μεταβολές των ισοτιμιών και των δεικτών τιμών υπολογίζονται είτε με απόλυτους όρους (ως ποσοστιαία μεταβολή) είτε με τη χρήση φυσικών λογαρίθμων. Ο παρακάτω πίνακας παρουσιάζει συγκεντρωτικά τα ευρήματα της μελέτης σχετικά με το πόσο ικανοποιητικά ερμηνεύουν την πραγματικότητα οι θεωρίες που βασίζονται στην ισοδυναμία αγοραστικής δύναμης. Ειδικότερα, αναφέρονται τα βασικά υποδείγματα που χρησιμοποιήθηκαν, τα αποτελέσματα ανάλογα με τη μορφή της </w:t>
            </w:r>
            <w:r>
              <w:rPr>
                <w:rFonts w:ascii="Times New Roman" w:hAnsi="Times New Roman"/>
                <w:lang w:val="en-US"/>
              </w:rPr>
              <w:t>PPP</w:t>
            </w:r>
            <w:r w:rsidRPr="00801CEF">
              <w:rPr>
                <w:rFonts w:ascii="Times New Roman" w:hAnsi="Times New Roman"/>
              </w:rPr>
              <w:t xml:space="preserve"> </w:t>
            </w:r>
            <w:r>
              <w:rPr>
                <w:rFonts w:ascii="Times New Roman" w:hAnsi="Times New Roman"/>
              </w:rPr>
              <w:t>ανά χώρα καθώς και οι απαραίτητες βιβλιογραφικές αναφορές.</w:t>
            </w:r>
          </w:p>
          <w:p w:rsidR="008D175F" w:rsidRDefault="008D175F" w:rsidP="00E21B55">
            <w:pPr>
              <w:jc w:val="both"/>
              <w:rPr>
                <w:rFonts w:ascii="Times New Roman" w:hAnsi="Times New Roman"/>
              </w:rPr>
            </w:pPr>
          </w:p>
          <w:tbl>
            <w:tblPr>
              <w:tblStyle w:val="af3"/>
              <w:tblW w:w="9039" w:type="dxa"/>
              <w:tblLook w:val="04A0"/>
            </w:tblPr>
            <w:tblGrid>
              <w:gridCol w:w="1242"/>
              <w:gridCol w:w="709"/>
              <w:gridCol w:w="142"/>
              <w:gridCol w:w="1134"/>
              <w:gridCol w:w="1134"/>
              <w:gridCol w:w="2268"/>
              <w:gridCol w:w="142"/>
              <w:gridCol w:w="2268"/>
            </w:tblGrid>
            <w:tr w:rsidR="008D175F" w:rsidTr="00E21B55">
              <w:tc>
                <w:tcPr>
                  <w:tcW w:w="9039" w:type="dxa"/>
                  <w:gridSpan w:val="8"/>
                  <w:vAlign w:val="center"/>
                </w:tcPr>
                <w:p w:rsidR="008D175F" w:rsidRPr="00801CEF" w:rsidRDefault="008D175F" w:rsidP="00E21B55">
                  <w:pPr>
                    <w:jc w:val="center"/>
                    <w:rPr>
                      <w:rFonts w:ascii="Times New Roman" w:hAnsi="Times New Roman"/>
                      <w:b/>
                      <w:sz w:val="28"/>
                    </w:rPr>
                  </w:pPr>
                  <w:r w:rsidRPr="00801CEF">
                    <w:rPr>
                      <w:rFonts w:ascii="Times New Roman" w:hAnsi="Times New Roman"/>
                      <w:b/>
                      <w:sz w:val="28"/>
                    </w:rPr>
                    <w:t>Θεωρία Ισοδυναμίας Αγοραστικής Δύναμης</w:t>
                  </w:r>
                </w:p>
              </w:tc>
            </w:tr>
            <w:tr w:rsidR="008D175F" w:rsidTr="00E21B55">
              <w:tc>
                <w:tcPr>
                  <w:tcW w:w="1242" w:type="dxa"/>
                  <w:vAlign w:val="center"/>
                </w:tcPr>
                <w:p w:rsidR="008D175F" w:rsidRPr="00801CEF" w:rsidRDefault="008D175F" w:rsidP="00E21B55">
                  <w:pPr>
                    <w:jc w:val="center"/>
                    <w:rPr>
                      <w:rFonts w:ascii="Times New Roman" w:hAnsi="Times New Roman"/>
                      <w:b/>
                    </w:rPr>
                  </w:pPr>
                  <w:r w:rsidRPr="00801CEF">
                    <w:rPr>
                      <w:rFonts w:ascii="Times New Roman" w:hAnsi="Times New Roman"/>
                      <w:b/>
                    </w:rPr>
                    <w:t>Μορφή</w:t>
                  </w:r>
                </w:p>
              </w:tc>
              <w:tc>
                <w:tcPr>
                  <w:tcW w:w="3119" w:type="dxa"/>
                  <w:gridSpan w:val="4"/>
                  <w:vAlign w:val="center"/>
                </w:tcPr>
                <w:p w:rsidR="008D175F" w:rsidRPr="00801CEF" w:rsidRDefault="008D175F" w:rsidP="00E21B55">
                  <w:pPr>
                    <w:jc w:val="center"/>
                    <w:rPr>
                      <w:rFonts w:ascii="Times New Roman" w:hAnsi="Times New Roman"/>
                      <w:b/>
                    </w:rPr>
                  </w:pPr>
                  <w:r w:rsidRPr="00801CEF">
                    <w:rPr>
                      <w:rFonts w:ascii="Times New Roman" w:hAnsi="Times New Roman"/>
                      <w:b/>
                    </w:rPr>
                    <w:t>Απόλυτη</w:t>
                  </w:r>
                </w:p>
              </w:tc>
              <w:tc>
                <w:tcPr>
                  <w:tcW w:w="4678" w:type="dxa"/>
                  <w:gridSpan w:val="3"/>
                  <w:vAlign w:val="center"/>
                </w:tcPr>
                <w:p w:rsidR="008D175F" w:rsidRPr="00801CEF" w:rsidRDefault="008D175F" w:rsidP="00E21B55">
                  <w:pPr>
                    <w:jc w:val="center"/>
                    <w:rPr>
                      <w:rFonts w:ascii="Times New Roman" w:hAnsi="Times New Roman"/>
                      <w:b/>
                    </w:rPr>
                  </w:pPr>
                  <w:r w:rsidRPr="00801CEF">
                    <w:rPr>
                      <w:rFonts w:ascii="Times New Roman" w:hAnsi="Times New Roman"/>
                      <w:b/>
                    </w:rPr>
                    <w:t>Σχετική</w:t>
                  </w:r>
                </w:p>
              </w:tc>
            </w:tr>
            <w:tr w:rsidR="008D175F" w:rsidTr="00E21B55">
              <w:tc>
                <w:tcPr>
                  <w:tcW w:w="1242" w:type="dxa"/>
                  <w:vAlign w:val="center"/>
                </w:tcPr>
                <w:p w:rsidR="008D175F" w:rsidRPr="00801CEF" w:rsidRDefault="008D175F" w:rsidP="00E21B55">
                  <w:pPr>
                    <w:jc w:val="center"/>
                    <w:rPr>
                      <w:rFonts w:ascii="Times New Roman" w:hAnsi="Times New Roman"/>
                      <w:b/>
                    </w:rPr>
                  </w:pPr>
                  <w:r w:rsidRPr="00801CEF">
                    <w:rPr>
                      <w:rFonts w:ascii="Times New Roman" w:hAnsi="Times New Roman"/>
                      <w:b/>
                    </w:rPr>
                    <w:t>Μέθοδοι Ελέγχου</w:t>
                  </w:r>
                </w:p>
              </w:tc>
              <w:tc>
                <w:tcPr>
                  <w:tcW w:w="709" w:type="dxa"/>
                  <w:vAlign w:val="center"/>
                </w:tcPr>
                <w:p w:rsidR="008D175F" w:rsidRPr="00801CEF" w:rsidRDefault="008D175F" w:rsidP="00E21B55">
                  <w:pPr>
                    <w:jc w:val="center"/>
                    <w:rPr>
                      <w:rFonts w:ascii="Times New Roman" w:hAnsi="Times New Roman"/>
                      <w:b/>
                      <w:lang w:val="en-US"/>
                    </w:rPr>
                  </w:pPr>
                  <w:r w:rsidRPr="00801CEF">
                    <w:rPr>
                      <w:rFonts w:ascii="Times New Roman" w:hAnsi="Times New Roman"/>
                      <w:b/>
                      <w:lang w:val="en-US"/>
                    </w:rPr>
                    <w:t>ADF</w:t>
                  </w:r>
                </w:p>
              </w:tc>
              <w:tc>
                <w:tcPr>
                  <w:tcW w:w="1276" w:type="dxa"/>
                  <w:gridSpan w:val="2"/>
                  <w:vAlign w:val="center"/>
                </w:tcPr>
                <w:p w:rsidR="008D175F" w:rsidRPr="00801CEF" w:rsidRDefault="008D175F" w:rsidP="00E21B55">
                  <w:pPr>
                    <w:jc w:val="center"/>
                    <w:rPr>
                      <w:rFonts w:ascii="Times New Roman" w:hAnsi="Times New Roman"/>
                      <w:b/>
                      <w:lang w:val="en-US"/>
                    </w:rPr>
                  </w:pPr>
                  <w:r w:rsidRPr="00801CEF">
                    <w:rPr>
                      <w:rFonts w:ascii="Times New Roman" w:hAnsi="Times New Roman"/>
                      <w:b/>
                      <w:lang w:val="en-US"/>
                    </w:rPr>
                    <w:t>Engle - Granger</w:t>
                  </w:r>
                </w:p>
              </w:tc>
              <w:tc>
                <w:tcPr>
                  <w:tcW w:w="1134" w:type="dxa"/>
                  <w:vAlign w:val="center"/>
                </w:tcPr>
                <w:p w:rsidR="008D175F" w:rsidRPr="00801CEF" w:rsidRDefault="008D175F" w:rsidP="00E21B55">
                  <w:pPr>
                    <w:jc w:val="center"/>
                    <w:rPr>
                      <w:rFonts w:ascii="Times New Roman" w:hAnsi="Times New Roman"/>
                      <w:b/>
                      <w:lang w:val="en-US"/>
                    </w:rPr>
                  </w:pPr>
                  <w:r w:rsidRPr="00801CEF">
                    <w:rPr>
                      <w:rFonts w:ascii="Times New Roman" w:hAnsi="Times New Roman"/>
                      <w:b/>
                      <w:lang w:val="en-US"/>
                    </w:rPr>
                    <w:t>Johansen</w:t>
                  </w:r>
                </w:p>
              </w:tc>
              <w:tc>
                <w:tcPr>
                  <w:tcW w:w="2268" w:type="dxa"/>
                  <w:vAlign w:val="center"/>
                </w:tcPr>
                <w:p w:rsidR="008D175F" w:rsidRPr="00801CEF" w:rsidRDefault="008D175F" w:rsidP="00E21B55">
                  <w:pPr>
                    <w:jc w:val="center"/>
                    <w:rPr>
                      <w:rFonts w:ascii="Times New Roman" w:hAnsi="Times New Roman"/>
                      <w:b/>
                      <w:lang w:val="en-US"/>
                    </w:rPr>
                  </w:pPr>
                  <w:proofErr w:type="spellStart"/>
                  <w:r w:rsidRPr="00801CEF">
                    <w:rPr>
                      <w:rFonts w:ascii="Times New Roman" w:hAnsi="Times New Roman"/>
                      <w:b/>
                    </w:rPr>
                    <w:t>Διμεταβλητό</w:t>
                  </w:r>
                  <w:proofErr w:type="spellEnd"/>
                  <w:r w:rsidRPr="00801CEF">
                    <w:rPr>
                      <w:rFonts w:ascii="Times New Roman" w:hAnsi="Times New Roman"/>
                      <w:b/>
                    </w:rPr>
                    <w:t xml:space="preserve"> Μοντέλο (</w:t>
                  </w:r>
                  <w:r w:rsidRPr="00801CEF">
                    <w:rPr>
                      <w:rFonts w:ascii="Times New Roman" w:hAnsi="Times New Roman"/>
                      <w:b/>
                      <w:lang w:val="en-US"/>
                    </w:rPr>
                    <w:t>OLS)</w:t>
                  </w:r>
                </w:p>
              </w:tc>
              <w:tc>
                <w:tcPr>
                  <w:tcW w:w="2410" w:type="dxa"/>
                  <w:gridSpan w:val="2"/>
                  <w:vAlign w:val="center"/>
                </w:tcPr>
                <w:p w:rsidR="008D175F" w:rsidRPr="00801CEF" w:rsidRDefault="008D175F" w:rsidP="00E21B55">
                  <w:pPr>
                    <w:jc w:val="center"/>
                    <w:rPr>
                      <w:rFonts w:ascii="Times New Roman" w:hAnsi="Times New Roman"/>
                      <w:b/>
                      <w:lang w:val="en-US"/>
                    </w:rPr>
                  </w:pPr>
                  <w:proofErr w:type="spellStart"/>
                  <w:r w:rsidRPr="00801CEF">
                    <w:rPr>
                      <w:rFonts w:ascii="Times New Roman" w:hAnsi="Times New Roman"/>
                      <w:b/>
                    </w:rPr>
                    <w:t>Πολυμεταβλητό</w:t>
                  </w:r>
                  <w:proofErr w:type="spellEnd"/>
                  <w:r w:rsidRPr="00801CEF">
                    <w:rPr>
                      <w:rFonts w:ascii="Times New Roman" w:hAnsi="Times New Roman"/>
                      <w:b/>
                    </w:rPr>
                    <w:t xml:space="preserve"> Μοντέλο </w:t>
                  </w:r>
                  <w:r w:rsidRPr="00801CEF">
                    <w:rPr>
                      <w:rFonts w:ascii="Times New Roman" w:hAnsi="Times New Roman"/>
                      <w:b/>
                      <w:lang w:val="en-US"/>
                    </w:rPr>
                    <w:t xml:space="preserve"> (Wald Test)</w:t>
                  </w:r>
                </w:p>
              </w:tc>
            </w:tr>
            <w:tr w:rsidR="008D175F" w:rsidRPr="00571118" w:rsidTr="00E21B55">
              <w:tc>
                <w:tcPr>
                  <w:tcW w:w="1242" w:type="dxa"/>
                  <w:vAlign w:val="center"/>
                </w:tcPr>
                <w:p w:rsidR="008D175F" w:rsidRDefault="008D175F" w:rsidP="00E21B55">
                  <w:pPr>
                    <w:jc w:val="center"/>
                    <w:rPr>
                      <w:rFonts w:ascii="Times New Roman" w:hAnsi="Times New Roman"/>
                      <w:b/>
                      <w:szCs w:val="26"/>
                    </w:rPr>
                  </w:pPr>
                  <w:r>
                    <w:rPr>
                      <w:rFonts w:ascii="Times New Roman" w:hAnsi="Times New Roman"/>
                      <w:b/>
                      <w:szCs w:val="26"/>
                    </w:rPr>
                    <w:t>Εμπειρικά</w:t>
                  </w:r>
                </w:p>
                <w:p w:rsidR="008D175F" w:rsidRPr="00E35E04" w:rsidRDefault="008D175F" w:rsidP="00E21B55">
                  <w:pPr>
                    <w:jc w:val="center"/>
                    <w:rPr>
                      <w:rFonts w:ascii="Times New Roman" w:hAnsi="Times New Roman"/>
                      <w:b/>
                      <w:szCs w:val="26"/>
                    </w:rPr>
                  </w:pPr>
                  <w:r w:rsidRPr="00E35E04">
                    <w:rPr>
                      <w:rFonts w:ascii="Times New Roman" w:hAnsi="Times New Roman"/>
                      <w:b/>
                      <w:szCs w:val="26"/>
                    </w:rPr>
                    <w:t>Μοντέλα</w:t>
                  </w:r>
                </w:p>
              </w:tc>
              <w:tc>
                <w:tcPr>
                  <w:tcW w:w="3119" w:type="dxa"/>
                  <w:gridSpan w:val="4"/>
                  <w:vAlign w:val="center"/>
                </w:tcPr>
                <w:p w:rsidR="008D175F" w:rsidRPr="00E35E04" w:rsidRDefault="008D175F" w:rsidP="00E21B55">
                  <w:pPr>
                    <w:jc w:val="center"/>
                    <w:rPr>
                      <w:rFonts w:ascii="Times New Roman" w:hAnsi="Times New Roman"/>
                    </w:rPr>
                  </w:pPr>
                  <m:oMathPara>
                    <m:oMath>
                      <m:r>
                        <m:rPr>
                          <m:sty m:val="p"/>
                        </m:rPr>
                        <w:rPr>
                          <w:rFonts w:ascii="Cambria Math" w:hAnsi="Cambria Math"/>
                        </w:rPr>
                        <m:t>ln</m:t>
                      </m:r>
                      <m:sSub>
                        <m:sSubPr>
                          <m:ctrlPr>
                            <w:rPr>
                              <w:rFonts w:ascii="Cambria Math" w:hAnsi="Cambria Math"/>
                            </w:rPr>
                          </m:ctrlPr>
                        </m:sSubPr>
                        <m:e>
                          <m:r>
                            <w:rPr>
                              <w:rFonts w:ascii="Cambria Math" w:hAnsi="Cambria Math"/>
                              <w:lang w:val="en-US"/>
                            </w:rPr>
                            <m:t>S</m:t>
                          </m:r>
                        </m:e>
                        <m:sub>
                          <m:r>
                            <m:rPr>
                              <m:sty m:val="p"/>
                            </m:rPr>
                            <w:rPr>
                              <w:rFonts w:ascii="Cambria Math" w:hAnsi="Cambria Math"/>
                            </w:rPr>
                            <m:t>t</m:t>
                          </m:r>
                        </m:sub>
                      </m:sSub>
                      <m:r>
                        <m:rPr>
                          <m:sty m:val="p"/>
                        </m:rPr>
                        <w:rPr>
                          <w:rFonts w:ascii="Cambria Math" w:hAnsi="Cambria Math"/>
                        </w:rPr>
                        <m:t>=a+β</m:t>
                      </m:r>
                      <m:d>
                        <m:dPr>
                          <m:ctrlPr>
                            <w:rPr>
                              <w:rFonts w:ascii="Cambria Math" w:hAnsi="Cambria Math"/>
                              <w:lang w:val="en-US"/>
                            </w:rPr>
                          </m:ctrlPr>
                        </m:dPr>
                        <m:e>
                          <m:sSubSup>
                            <m:sSubSupPr>
                              <m:ctrlPr>
                                <w:rPr>
                                  <w:rFonts w:ascii="Cambria Math" w:hAnsi="Cambria Math"/>
                                </w:rPr>
                              </m:ctrlPr>
                            </m:sSubSupPr>
                            <m:e>
                              <m:r>
                                <m:rPr>
                                  <m:sty m:val="p"/>
                                </m:rPr>
                                <w:rPr>
                                  <w:rFonts w:ascii="Cambria Math" w:hAnsi="Cambria Math"/>
                                </w:rPr>
                                <m:t>lnP</m:t>
                              </m:r>
                            </m:e>
                            <m:sub>
                              <m:r>
                                <m:rPr>
                                  <m:sty m:val="p"/>
                                </m:rPr>
                                <w:rPr>
                                  <w:rFonts w:ascii="Cambria Math" w:hAnsi="Cambria Math"/>
                                </w:rPr>
                                <m:t>t</m:t>
                              </m:r>
                            </m:sub>
                            <m:sup>
                              <m:r>
                                <m:rPr>
                                  <m:sty m:val="p"/>
                                </m:rPr>
                                <w:rPr>
                                  <w:rFonts w:ascii="Cambria Math" w:hAnsi="Cambria Math"/>
                                </w:rPr>
                                <m:t>US</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lnP</m:t>
                              </m:r>
                            </m:e>
                            <m:sub>
                              <m:r>
                                <m:rPr>
                                  <m:sty m:val="p"/>
                                </m:rPr>
                                <w:rPr>
                                  <w:rFonts w:ascii="Cambria Math" w:hAnsi="Cambria Math"/>
                                </w:rPr>
                                <m:t>t</m:t>
                              </m:r>
                            </m:sub>
                            <m:sup>
                              <m:r>
                                <m:rPr>
                                  <m:sty m:val="p"/>
                                </m:rPr>
                                <w:rPr>
                                  <w:rFonts w:ascii="Cambria Math" w:hAnsi="Cambria Math"/>
                                </w:rPr>
                                <m:t>f</m:t>
                              </m:r>
                            </m:sup>
                          </m:sSubSup>
                          <m:ctrlPr>
                            <w:rPr>
                              <w:rFonts w:ascii="Cambria Math" w:hAnsi="Cambria Math"/>
                            </w:rPr>
                          </m:ctrlPr>
                        </m:e>
                      </m:d>
                    </m:oMath>
                  </m:oMathPara>
                </w:p>
                <w:p w:rsidR="008D175F" w:rsidRPr="00E35E04" w:rsidRDefault="008D175F" w:rsidP="00E21B55">
                  <w:pPr>
                    <w:jc w:val="center"/>
                    <w:rPr>
                      <w:rFonts w:ascii="Times New Roman" w:hAnsi="Times New Roman"/>
                      <w:b/>
                    </w:rPr>
                  </w:pPr>
                  <w:proofErr w:type="spellStart"/>
                  <w:r w:rsidRPr="00E35E04">
                    <w:rPr>
                      <w:rFonts w:ascii="Times New Roman" w:hAnsi="Times New Roman"/>
                      <w:lang w:val="en-US"/>
                    </w:rPr>
                    <w:t>Ivanov</w:t>
                  </w:r>
                  <w:proofErr w:type="spellEnd"/>
                  <w:r w:rsidRPr="00E35E04">
                    <w:rPr>
                      <w:rFonts w:ascii="Times New Roman" w:hAnsi="Times New Roman"/>
                      <w:lang w:val="en-US"/>
                    </w:rPr>
                    <w:t xml:space="preserve"> &amp; </w:t>
                  </w:r>
                  <w:proofErr w:type="spellStart"/>
                  <w:r w:rsidRPr="00E35E04">
                    <w:rPr>
                      <w:rFonts w:ascii="Times New Roman" w:hAnsi="Times New Roman"/>
                      <w:lang w:val="en-US"/>
                    </w:rPr>
                    <w:t>Moechtar</w:t>
                  </w:r>
                  <w:proofErr w:type="spellEnd"/>
                  <w:r w:rsidRPr="00E35E04">
                    <w:rPr>
                      <w:rFonts w:ascii="Times New Roman" w:hAnsi="Times New Roman"/>
                      <w:lang w:val="en-US"/>
                    </w:rPr>
                    <w:t xml:space="preserve"> (2012)</w:t>
                  </w:r>
                </w:p>
              </w:tc>
              <w:tc>
                <w:tcPr>
                  <w:tcW w:w="2268" w:type="dxa"/>
                  <w:vAlign w:val="center"/>
                </w:tcPr>
                <w:p w:rsidR="008D175F" w:rsidRPr="00E35E04" w:rsidRDefault="00910FBD" w:rsidP="00E21B55">
                  <w:pPr>
                    <w:jc w:val="center"/>
                    <w:rPr>
                      <w:rFonts w:ascii="Times New Roman" w:hAnsi="Times New Roman"/>
                    </w:rPr>
                  </w:pPr>
                  <m:oMathPara>
                    <m:oMath>
                      <m:r>
                        <m:rPr>
                          <m:sty m:val="p"/>
                        </m:rPr>
                        <w:rPr>
                          <w:rFonts w:ascii="Cambria Math" w:hAnsi="Cambria Math"/>
                          <w:sz w:val="20"/>
                        </w:rPr>
                        <m:t xml:space="preserve">%ΔS = </m:t>
                      </m:r>
                      <m:sSub>
                        <m:sSubPr>
                          <m:ctrlPr>
                            <w:rPr>
                              <w:rFonts w:ascii="Cambria Math" w:hAnsi="Cambria Math"/>
                              <w:sz w:val="20"/>
                            </w:rPr>
                          </m:ctrlPr>
                        </m:sSubPr>
                        <m:e>
                          <m:r>
                            <m:rPr>
                              <m:sty m:val="p"/>
                            </m:rPr>
                            <w:rPr>
                              <w:rFonts w:ascii="Cambria Math" w:hAnsi="Cambria Math"/>
                              <w:sz w:val="20"/>
                            </w:rPr>
                            <m:t>β</m:t>
                          </m:r>
                        </m:e>
                        <m:sub>
                          <m:r>
                            <m:rPr>
                              <m:sty m:val="p"/>
                            </m:rPr>
                            <w:rPr>
                              <w:rFonts w:ascii="Cambria Math" w:hAnsi="Cambria Math"/>
                              <w:sz w:val="20"/>
                            </w:rPr>
                            <m:t>0</m:t>
                          </m:r>
                        </m:sub>
                      </m:sSub>
                      <m:r>
                        <m:rPr>
                          <m:sty m:val="p"/>
                        </m:rPr>
                        <w:rPr>
                          <w:rFonts w:ascii="Cambria Math" w:hAnsi="Cambria Math"/>
                          <w:sz w:val="20"/>
                        </w:rPr>
                        <m:t xml:space="preserve"> + </m:t>
                      </m:r>
                      <m:sSub>
                        <m:sSubPr>
                          <m:ctrlPr>
                            <w:rPr>
                              <w:rFonts w:ascii="Cambria Math" w:hAnsi="Cambria Math"/>
                              <w:sz w:val="20"/>
                            </w:rPr>
                          </m:ctrlPr>
                        </m:sSubPr>
                        <m:e>
                          <m:r>
                            <m:rPr>
                              <m:sty m:val="p"/>
                            </m:rPr>
                            <w:rPr>
                              <w:rFonts w:ascii="Cambria Math" w:hAnsi="Cambria Math"/>
                              <w:sz w:val="20"/>
                            </w:rPr>
                            <m:t>β</m:t>
                          </m:r>
                        </m:e>
                        <m:sub>
                          <m:r>
                            <m:rPr>
                              <m:sty m:val="p"/>
                            </m:rPr>
                            <w:rPr>
                              <w:rFonts w:ascii="Cambria Math" w:hAnsi="Cambria Math"/>
                              <w:sz w:val="20"/>
                            </w:rPr>
                            <m:t>1</m:t>
                          </m:r>
                        </m:sub>
                      </m:sSub>
                      <m:r>
                        <m:rPr>
                          <m:sty m:val="p"/>
                        </m:rPr>
                        <w:rPr>
                          <w:rFonts w:ascii="Cambria Math" w:hAnsi="Cambria Math"/>
                          <w:sz w:val="20"/>
                        </w:rPr>
                        <m:t>(%Δ</m:t>
                      </m:r>
                      <m:r>
                        <m:rPr>
                          <m:sty m:val="p"/>
                        </m:rPr>
                        <w:rPr>
                          <w:rFonts w:ascii="Cambria Math" w:hAnsi="Cambria Math"/>
                          <w:sz w:val="20"/>
                          <w:lang w:val="en-US"/>
                        </w:rPr>
                        <m:t>P</m:t>
                      </m:r>
                      <m:r>
                        <m:rPr>
                          <m:sty m:val="p"/>
                        </m:rPr>
                        <w:rPr>
                          <w:rFonts w:ascii="Cambria Math" w:hAnsi="Cambria Math"/>
                          <w:sz w:val="20"/>
                        </w:rPr>
                        <m:t xml:space="preserve"> - %Δ</m:t>
                      </m:r>
                      <m:r>
                        <m:rPr>
                          <m:sty m:val="p"/>
                        </m:rPr>
                        <w:rPr>
                          <w:rFonts w:ascii="Cambria Math" w:hAnsi="Cambria Math"/>
                          <w:sz w:val="20"/>
                          <w:lang w:val="en-US"/>
                        </w:rPr>
                        <m:t>P</m:t>
                      </m:r>
                      <m:r>
                        <m:rPr>
                          <m:sty m:val="p"/>
                        </m:rPr>
                        <w:rPr>
                          <w:rFonts w:ascii="Cambria Math" w:hAnsi="Cambria Math"/>
                          <w:sz w:val="20"/>
                          <w:vertAlign w:val="superscript"/>
                        </w:rPr>
                        <m:t>*</m:t>
                      </m:r>
                      <m:r>
                        <m:rPr>
                          <m:sty m:val="p"/>
                        </m:rPr>
                        <w:rPr>
                          <w:rFonts w:ascii="Cambria Math" w:hAnsi="Cambria Math"/>
                          <w:sz w:val="20"/>
                        </w:rPr>
                        <m:t xml:space="preserve">) + </m:t>
                      </m:r>
                      <m:sSub>
                        <m:sSubPr>
                          <m:ctrlPr>
                            <w:rPr>
                              <w:rFonts w:ascii="Cambria Math" w:hAnsi="Cambria Math"/>
                              <w:sz w:val="20"/>
                              <w:lang w:val="en-US"/>
                            </w:rPr>
                          </m:ctrlPr>
                        </m:sSubPr>
                        <m:e>
                          <m:r>
                            <m:rPr>
                              <m:sty m:val="p"/>
                            </m:rPr>
                            <w:rPr>
                              <w:rFonts w:ascii="Cambria Math" w:hAnsi="Cambria Math"/>
                              <w:sz w:val="20"/>
                              <w:lang w:val="en-US"/>
                            </w:rPr>
                            <m:t>u</m:t>
                          </m:r>
                        </m:e>
                        <m:sub>
                          <m:r>
                            <m:rPr>
                              <m:sty m:val="p"/>
                            </m:rPr>
                            <w:rPr>
                              <w:rFonts w:ascii="Cambria Math" w:hAnsi="Cambria Math"/>
                              <w:sz w:val="20"/>
                              <w:lang w:val="en-US"/>
                            </w:rPr>
                            <m:t>t</m:t>
                          </m:r>
                        </m:sub>
                      </m:sSub>
                    </m:oMath>
                  </m:oMathPara>
                </w:p>
                <w:p w:rsidR="008D175F" w:rsidRPr="00565148" w:rsidRDefault="008D175F" w:rsidP="00E21B55">
                  <w:pPr>
                    <w:jc w:val="center"/>
                    <w:rPr>
                      <w:rFonts w:ascii="Times New Roman" w:hAnsi="Times New Roman"/>
                      <w:b/>
                      <w:sz w:val="28"/>
                    </w:rPr>
                  </w:pPr>
                  <w:r w:rsidRPr="00E35E04">
                    <w:rPr>
                      <w:rFonts w:ascii="Times New Roman" w:hAnsi="Times New Roman"/>
                      <w:lang w:val="en-US"/>
                    </w:rPr>
                    <w:t>Alastair W.</w:t>
                  </w:r>
                  <w:r w:rsidRPr="00E35E04">
                    <w:rPr>
                      <w:rFonts w:ascii="Times New Roman" w:hAnsi="Times New Roman"/>
                    </w:rPr>
                    <w:t xml:space="preserve"> (2010)</w:t>
                  </w:r>
                </w:p>
              </w:tc>
              <w:tc>
                <w:tcPr>
                  <w:tcW w:w="2410" w:type="dxa"/>
                  <w:gridSpan w:val="2"/>
                  <w:vAlign w:val="center"/>
                </w:tcPr>
                <w:p w:rsidR="008D175F" w:rsidRPr="00E35E04" w:rsidRDefault="00910FBD" w:rsidP="00E21B55">
                  <w:pPr>
                    <w:jc w:val="center"/>
                    <w:rPr>
                      <w:rFonts w:ascii="Times New Roman" w:hAnsi="Times New Roman"/>
                      <w:sz w:val="20"/>
                    </w:rPr>
                  </w:pPr>
                  <m:oMathPara>
                    <m:oMath>
                      <m:r>
                        <m:rPr>
                          <m:sty m:val="p"/>
                        </m:rPr>
                        <w:rPr>
                          <w:rFonts w:ascii="Cambria Math" w:hAnsi="Cambria Math"/>
                          <w:sz w:val="20"/>
                        </w:rPr>
                        <m:t xml:space="preserve">%ΔS = </m:t>
                      </m:r>
                      <m:sSub>
                        <m:sSubPr>
                          <m:ctrlPr>
                            <w:rPr>
                              <w:rFonts w:ascii="Cambria Math" w:hAnsi="Cambria Math"/>
                              <w:sz w:val="20"/>
                            </w:rPr>
                          </m:ctrlPr>
                        </m:sSubPr>
                        <m:e>
                          <m:r>
                            <m:rPr>
                              <m:sty m:val="p"/>
                            </m:rPr>
                            <w:rPr>
                              <w:rFonts w:ascii="Cambria Math" w:hAnsi="Cambria Math"/>
                              <w:sz w:val="20"/>
                            </w:rPr>
                            <m:t>β</m:t>
                          </m:r>
                        </m:e>
                        <m:sub>
                          <m:r>
                            <m:rPr>
                              <m:sty m:val="p"/>
                            </m:rPr>
                            <w:rPr>
                              <w:rFonts w:ascii="Cambria Math" w:hAnsi="Cambria Math"/>
                              <w:sz w:val="20"/>
                            </w:rPr>
                            <m:t>0</m:t>
                          </m:r>
                        </m:sub>
                      </m:sSub>
                      <m:r>
                        <m:rPr>
                          <m:sty m:val="p"/>
                        </m:rPr>
                        <w:rPr>
                          <w:rFonts w:ascii="Cambria Math" w:hAnsi="Cambria Math"/>
                          <w:sz w:val="20"/>
                        </w:rPr>
                        <m:t xml:space="preserve"> + </m:t>
                      </m:r>
                      <m:sSub>
                        <m:sSubPr>
                          <m:ctrlPr>
                            <w:rPr>
                              <w:rFonts w:ascii="Cambria Math" w:hAnsi="Cambria Math"/>
                              <w:sz w:val="20"/>
                            </w:rPr>
                          </m:ctrlPr>
                        </m:sSubPr>
                        <m:e>
                          <m:r>
                            <m:rPr>
                              <m:sty m:val="p"/>
                            </m:rPr>
                            <w:rPr>
                              <w:rFonts w:ascii="Cambria Math" w:hAnsi="Cambria Math"/>
                              <w:sz w:val="20"/>
                            </w:rPr>
                            <m:t>β</m:t>
                          </m:r>
                        </m:e>
                        <m:sub>
                          <m:r>
                            <m:rPr>
                              <m:sty m:val="p"/>
                            </m:rPr>
                            <w:rPr>
                              <w:rFonts w:ascii="Cambria Math" w:hAnsi="Cambria Math"/>
                              <w:sz w:val="20"/>
                            </w:rPr>
                            <m:t>1</m:t>
                          </m:r>
                        </m:sub>
                      </m:sSub>
                      <m:r>
                        <m:rPr>
                          <m:sty m:val="p"/>
                        </m:rPr>
                        <w:rPr>
                          <w:rFonts w:ascii="Cambria Math" w:hAnsi="Cambria Math"/>
                          <w:sz w:val="20"/>
                        </w:rPr>
                        <m:t>%Δ</m:t>
                      </m:r>
                      <m:r>
                        <m:rPr>
                          <m:sty m:val="p"/>
                        </m:rPr>
                        <w:rPr>
                          <w:rFonts w:ascii="Cambria Math" w:hAnsi="Cambria Math"/>
                          <w:sz w:val="20"/>
                          <w:lang w:val="en-US"/>
                        </w:rPr>
                        <m:t>P</m:t>
                      </m:r>
                      <m:r>
                        <m:rPr>
                          <m:sty m:val="p"/>
                        </m:rPr>
                        <w:rPr>
                          <w:rFonts w:ascii="Cambria Math" w:hAnsi="Cambria Math"/>
                          <w:sz w:val="20"/>
                        </w:rPr>
                        <m:t xml:space="preserve"> - </m:t>
                      </m:r>
                      <m:sSub>
                        <m:sSubPr>
                          <m:ctrlPr>
                            <w:rPr>
                              <w:rFonts w:ascii="Cambria Math" w:hAnsi="Cambria Math"/>
                              <w:sz w:val="20"/>
                            </w:rPr>
                          </m:ctrlPr>
                        </m:sSubPr>
                        <m:e>
                          <m:r>
                            <m:rPr>
                              <m:sty m:val="p"/>
                            </m:rPr>
                            <w:rPr>
                              <w:rFonts w:ascii="Cambria Math" w:hAnsi="Cambria Math"/>
                              <w:sz w:val="20"/>
                            </w:rPr>
                            <m:t>β</m:t>
                          </m:r>
                        </m:e>
                        <m:sub>
                          <m:r>
                            <m:rPr>
                              <m:sty m:val="p"/>
                            </m:rPr>
                            <w:rPr>
                              <w:rFonts w:ascii="Cambria Math" w:hAnsi="Cambria Math"/>
                              <w:sz w:val="20"/>
                            </w:rPr>
                            <m:t>2</m:t>
                          </m:r>
                        </m:sub>
                      </m:sSub>
                      <m:r>
                        <m:rPr>
                          <m:sty m:val="p"/>
                        </m:rPr>
                        <w:rPr>
                          <w:rFonts w:ascii="Cambria Math" w:hAnsi="Cambria Math"/>
                          <w:sz w:val="20"/>
                        </w:rPr>
                        <m:t>%Δ</m:t>
                      </m:r>
                      <m:r>
                        <m:rPr>
                          <m:sty m:val="p"/>
                        </m:rPr>
                        <w:rPr>
                          <w:rFonts w:ascii="Cambria Math" w:hAnsi="Cambria Math"/>
                          <w:sz w:val="20"/>
                          <w:lang w:val="en-US"/>
                        </w:rPr>
                        <m:t>P</m:t>
                      </m:r>
                      <m:r>
                        <m:rPr>
                          <m:sty m:val="p"/>
                        </m:rPr>
                        <w:rPr>
                          <w:rFonts w:ascii="Cambria Math" w:hAnsi="Cambria Math"/>
                          <w:sz w:val="20"/>
                          <w:vertAlign w:val="superscript"/>
                        </w:rPr>
                        <m:t xml:space="preserve">* </m:t>
                      </m:r>
                      <m:r>
                        <m:rPr>
                          <m:sty m:val="p"/>
                        </m:rPr>
                        <w:rPr>
                          <w:rFonts w:ascii="Cambria Math" w:hAnsi="Cambria Math"/>
                          <w:sz w:val="20"/>
                        </w:rPr>
                        <m:t xml:space="preserve">+ </m:t>
                      </m:r>
                      <m:sSub>
                        <m:sSubPr>
                          <m:ctrlPr>
                            <w:rPr>
                              <w:rFonts w:ascii="Cambria Math" w:hAnsi="Cambria Math"/>
                              <w:sz w:val="20"/>
                              <w:lang w:val="en-US"/>
                            </w:rPr>
                          </m:ctrlPr>
                        </m:sSubPr>
                        <m:e>
                          <m:r>
                            <m:rPr>
                              <m:sty m:val="p"/>
                            </m:rPr>
                            <w:rPr>
                              <w:rFonts w:ascii="Cambria Math" w:hAnsi="Cambria Math"/>
                              <w:sz w:val="20"/>
                              <w:lang w:val="en-US"/>
                            </w:rPr>
                            <m:t>u</m:t>
                          </m:r>
                        </m:e>
                        <m:sub>
                          <m:r>
                            <m:rPr>
                              <m:sty m:val="p"/>
                            </m:rPr>
                            <w:rPr>
                              <w:rFonts w:ascii="Cambria Math" w:hAnsi="Cambria Math"/>
                              <w:sz w:val="20"/>
                              <w:lang w:val="en-US"/>
                            </w:rPr>
                            <m:t>t</m:t>
                          </m:r>
                        </m:sub>
                      </m:sSub>
                    </m:oMath>
                  </m:oMathPara>
                </w:p>
                <w:p w:rsidR="008D175F" w:rsidRPr="00565148" w:rsidRDefault="008D175F" w:rsidP="00E21B55">
                  <w:pPr>
                    <w:jc w:val="center"/>
                    <w:rPr>
                      <w:rFonts w:ascii="Times New Roman" w:hAnsi="Times New Roman"/>
                      <w:b/>
                      <w:sz w:val="28"/>
                    </w:rPr>
                  </w:pPr>
                  <w:r w:rsidRPr="00E35E04">
                    <w:rPr>
                      <w:rFonts w:ascii="Times New Roman" w:hAnsi="Times New Roman"/>
                      <w:lang w:val="en-US"/>
                    </w:rPr>
                    <w:t>Alastair W</w:t>
                  </w:r>
                  <w:r w:rsidRPr="00E35E04">
                    <w:rPr>
                      <w:rFonts w:ascii="Times New Roman" w:hAnsi="Times New Roman"/>
                    </w:rPr>
                    <w:t>. (2010)</w:t>
                  </w:r>
                </w:p>
              </w:tc>
            </w:tr>
            <w:tr w:rsidR="008D175F" w:rsidTr="00E21B55">
              <w:tc>
                <w:tcPr>
                  <w:tcW w:w="9039" w:type="dxa"/>
                  <w:gridSpan w:val="8"/>
                  <w:vAlign w:val="center"/>
                </w:tcPr>
                <w:p w:rsidR="008D175F" w:rsidRPr="006877A1" w:rsidRDefault="008D175F" w:rsidP="00E21B55">
                  <w:pPr>
                    <w:spacing w:line="276" w:lineRule="auto"/>
                    <w:jc w:val="center"/>
                    <w:rPr>
                      <w:rFonts w:ascii="Times New Roman" w:hAnsi="Times New Roman"/>
                    </w:rPr>
                  </w:pPr>
                  <w:r>
                    <w:rPr>
                      <w:rFonts w:ascii="Times New Roman" w:hAnsi="Times New Roman"/>
                      <w:sz w:val="28"/>
                    </w:rPr>
                    <w:t xml:space="preserve">Σε ποιες Χώρες </w:t>
                  </w:r>
                  <w:r w:rsidRPr="006877A1">
                    <w:rPr>
                      <w:rFonts w:ascii="Times New Roman" w:hAnsi="Times New Roman"/>
                      <w:sz w:val="28"/>
                    </w:rPr>
                    <w:t xml:space="preserve">Επαληθεύεται η Εγκυρότητα της </w:t>
                  </w:r>
                  <w:r w:rsidRPr="006877A1">
                    <w:rPr>
                      <w:rFonts w:ascii="Times New Roman" w:hAnsi="Times New Roman"/>
                      <w:sz w:val="28"/>
                      <w:lang w:val="en-US"/>
                    </w:rPr>
                    <w:t>PPP</w:t>
                  </w:r>
                  <w:r w:rsidRPr="006877A1">
                    <w:rPr>
                      <w:rFonts w:ascii="Times New Roman" w:hAnsi="Times New Roman"/>
                      <w:sz w:val="28"/>
                    </w:rPr>
                    <w:t xml:space="preserve"> ;</w:t>
                  </w:r>
                </w:p>
              </w:tc>
            </w:tr>
            <w:tr w:rsidR="005C3E29" w:rsidTr="00E21B55">
              <w:tc>
                <w:tcPr>
                  <w:tcW w:w="1242" w:type="dxa"/>
                  <w:vAlign w:val="center"/>
                </w:tcPr>
                <w:p w:rsidR="008D175F" w:rsidRPr="004A3E50" w:rsidRDefault="008D175F" w:rsidP="00E21B55">
                  <w:pPr>
                    <w:jc w:val="center"/>
                    <w:rPr>
                      <w:rFonts w:ascii="Times New Roman" w:hAnsi="Times New Roman"/>
                      <w:b/>
                    </w:rPr>
                  </w:pPr>
                  <w:r w:rsidRPr="004A3E50">
                    <w:rPr>
                      <w:rFonts w:ascii="Times New Roman" w:hAnsi="Times New Roman"/>
                      <w:b/>
                    </w:rPr>
                    <w:t>Ιαπωνία</w:t>
                  </w:r>
                </w:p>
              </w:tc>
              <w:tc>
                <w:tcPr>
                  <w:tcW w:w="851" w:type="dxa"/>
                  <w:gridSpan w:val="2"/>
                  <w:vAlign w:val="center"/>
                </w:tcPr>
                <w:p w:rsidR="008D175F" w:rsidRPr="00055876"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055876"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055876" w:rsidRDefault="008D175F" w:rsidP="00E21B55">
                  <w:pPr>
                    <w:jc w:val="center"/>
                    <w:rPr>
                      <w:rFonts w:ascii="Times New Roman" w:hAnsi="Times New Roman"/>
                    </w:rPr>
                  </w:pPr>
                  <w:r>
                    <w:rPr>
                      <w:rFonts w:ascii="Times New Roman" w:hAnsi="Times New Roman"/>
                    </w:rPr>
                    <w:t>OXI</w:t>
                  </w:r>
                </w:p>
              </w:tc>
              <w:tc>
                <w:tcPr>
                  <w:tcW w:w="2410" w:type="dxa"/>
                  <w:gridSpan w:val="2"/>
                  <w:vAlign w:val="center"/>
                </w:tcPr>
                <w:p w:rsidR="008D175F" w:rsidRPr="00055876" w:rsidRDefault="008D175F" w:rsidP="00E21B55">
                  <w:pPr>
                    <w:spacing w:line="276" w:lineRule="auto"/>
                    <w:jc w:val="center"/>
                    <w:rPr>
                      <w:rFonts w:ascii="Times New Roman" w:hAnsi="Times New Roman"/>
                    </w:rPr>
                  </w:pPr>
                  <w:r>
                    <w:rPr>
                      <w:rFonts w:ascii="Times New Roman" w:hAnsi="Times New Roman"/>
                    </w:rPr>
                    <w:t>OXI</w:t>
                  </w:r>
                </w:p>
              </w:tc>
              <w:tc>
                <w:tcPr>
                  <w:tcW w:w="2268" w:type="dxa"/>
                  <w:vAlign w:val="center"/>
                </w:tcPr>
                <w:p w:rsidR="008D175F" w:rsidRPr="00055876" w:rsidRDefault="008D175F" w:rsidP="00E21B55">
                  <w:pPr>
                    <w:spacing w:line="276" w:lineRule="auto"/>
                    <w:jc w:val="center"/>
                    <w:rPr>
                      <w:rFonts w:ascii="Times New Roman" w:hAnsi="Times New Roman"/>
                    </w:rPr>
                  </w:pPr>
                  <w:r>
                    <w:rPr>
                      <w:rFonts w:ascii="Times New Roman" w:hAnsi="Times New Roman"/>
                    </w:rPr>
                    <w:t>ΝΑΙ</w:t>
                  </w:r>
                </w:p>
              </w:tc>
            </w:tr>
            <w:tr w:rsidR="005C3E29" w:rsidTr="00E21B55">
              <w:tc>
                <w:tcPr>
                  <w:tcW w:w="1242" w:type="dxa"/>
                  <w:vAlign w:val="center"/>
                </w:tcPr>
                <w:p w:rsidR="008D175F" w:rsidRPr="004A3E50" w:rsidRDefault="008D175F" w:rsidP="00E21B55">
                  <w:pPr>
                    <w:jc w:val="center"/>
                    <w:rPr>
                      <w:rFonts w:ascii="Times New Roman" w:hAnsi="Times New Roman"/>
                      <w:b/>
                    </w:rPr>
                  </w:pPr>
                  <w:r w:rsidRPr="004A3E50">
                    <w:rPr>
                      <w:rFonts w:ascii="Times New Roman" w:hAnsi="Times New Roman"/>
                      <w:b/>
                    </w:rPr>
                    <w:t>Καναδάς</w:t>
                  </w:r>
                </w:p>
              </w:tc>
              <w:tc>
                <w:tcPr>
                  <w:tcW w:w="851" w:type="dxa"/>
                  <w:gridSpan w:val="2"/>
                  <w:vAlign w:val="center"/>
                </w:tcPr>
                <w:p w:rsidR="008D175F" w:rsidRPr="00055876"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896D5B"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896D5B" w:rsidRDefault="008D175F" w:rsidP="00E21B55">
                  <w:pPr>
                    <w:jc w:val="center"/>
                    <w:rPr>
                      <w:rFonts w:ascii="Times New Roman" w:hAnsi="Times New Roman"/>
                    </w:rPr>
                  </w:pPr>
                  <w:r>
                    <w:rPr>
                      <w:rFonts w:ascii="Times New Roman" w:hAnsi="Times New Roman"/>
                    </w:rPr>
                    <w:t>OXI</w:t>
                  </w:r>
                </w:p>
              </w:tc>
              <w:tc>
                <w:tcPr>
                  <w:tcW w:w="2410" w:type="dxa"/>
                  <w:gridSpan w:val="2"/>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ΝΑΙ</w:t>
                  </w:r>
                </w:p>
              </w:tc>
              <w:tc>
                <w:tcPr>
                  <w:tcW w:w="2268" w:type="dxa"/>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ΝΑΙ</w:t>
                  </w:r>
                </w:p>
              </w:tc>
            </w:tr>
            <w:tr w:rsidR="005C3E29" w:rsidTr="00E21B55">
              <w:tc>
                <w:tcPr>
                  <w:tcW w:w="1242" w:type="dxa"/>
                  <w:vAlign w:val="center"/>
                </w:tcPr>
                <w:p w:rsidR="008D175F" w:rsidRPr="004A3E50" w:rsidRDefault="008D175F" w:rsidP="00E21B55">
                  <w:pPr>
                    <w:jc w:val="center"/>
                    <w:rPr>
                      <w:rFonts w:ascii="Times New Roman" w:hAnsi="Times New Roman"/>
                      <w:b/>
                    </w:rPr>
                  </w:pPr>
                  <w:r w:rsidRPr="004A3E50">
                    <w:rPr>
                      <w:rFonts w:ascii="Times New Roman" w:hAnsi="Times New Roman"/>
                      <w:b/>
                    </w:rPr>
                    <w:t>Ηνωμένο Βασίλειο</w:t>
                  </w:r>
                </w:p>
              </w:tc>
              <w:tc>
                <w:tcPr>
                  <w:tcW w:w="851" w:type="dxa"/>
                  <w:gridSpan w:val="2"/>
                  <w:vAlign w:val="center"/>
                </w:tcPr>
                <w:p w:rsidR="008D175F" w:rsidRPr="00896D5B"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896D5B" w:rsidRDefault="008D175F" w:rsidP="00E21B55">
                  <w:pPr>
                    <w:jc w:val="center"/>
                    <w:rPr>
                      <w:rFonts w:ascii="Times New Roman" w:hAnsi="Times New Roman"/>
                    </w:rPr>
                  </w:pPr>
                  <w:r>
                    <w:rPr>
                      <w:rFonts w:ascii="Times New Roman" w:hAnsi="Times New Roman"/>
                    </w:rPr>
                    <w:t>OXI</w:t>
                  </w:r>
                </w:p>
              </w:tc>
              <w:tc>
                <w:tcPr>
                  <w:tcW w:w="1134" w:type="dxa"/>
                  <w:vAlign w:val="center"/>
                </w:tcPr>
                <w:p w:rsidR="008D175F" w:rsidRPr="00896D5B" w:rsidRDefault="008D175F" w:rsidP="00E21B55">
                  <w:pPr>
                    <w:jc w:val="center"/>
                    <w:rPr>
                      <w:rFonts w:ascii="Times New Roman" w:hAnsi="Times New Roman"/>
                    </w:rPr>
                  </w:pPr>
                  <w:r>
                    <w:rPr>
                      <w:rFonts w:ascii="Times New Roman" w:hAnsi="Times New Roman"/>
                    </w:rPr>
                    <w:t>OXI</w:t>
                  </w:r>
                </w:p>
              </w:tc>
              <w:tc>
                <w:tcPr>
                  <w:tcW w:w="2410" w:type="dxa"/>
                  <w:gridSpan w:val="2"/>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ΝΑΙ</w:t>
                  </w:r>
                </w:p>
              </w:tc>
              <w:tc>
                <w:tcPr>
                  <w:tcW w:w="2268" w:type="dxa"/>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OXI</w:t>
                  </w:r>
                </w:p>
              </w:tc>
            </w:tr>
            <w:tr w:rsidR="005C3E29" w:rsidTr="00E21B55">
              <w:tc>
                <w:tcPr>
                  <w:tcW w:w="1242" w:type="dxa"/>
                  <w:vAlign w:val="center"/>
                </w:tcPr>
                <w:p w:rsidR="008D175F" w:rsidRPr="004A3E50" w:rsidRDefault="008D175F" w:rsidP="00E21B55">
                  <w:pPr>
                    <w:jc w:val="center"/>
                    <w:rPr>
                      <w:rFonts w:ascii="Times New Roman" w:hAnsi="Times New Roman"/>
                      <w:b/>
                    </w:rPr>
                  </w:pPr>
                  <w:r w:rsidRPr="004A3E50">
                    <w:rPr>
                      <w:rFonts w:ascii="Times New Roman" w:hAnsi="Times New Roman"/>
                      <w:b/>
                    </w:rPr>
                    <w:t>Μεξικό</w:t>
                  </w:r>
                </w:p>
              </w:tc>
              <w:tc>
                <w:tcPr>
                  <w:tcW w:w="851" w:type="dxa"/>
                  <w:gridSpan w:val="2"/>
                  <w:vAlign w:val="center"/>
                </w:tcPr>
                <w:p w:rsidR="008D175F" w:rsidRPr="00896D5B" w:rsidRDefault="008D175F" w:rsidP="00E21B55">
                  <w:pPr>
                    <w:jc w:val="center"/>
                    <w:rPr>
                      <w:rFonts w:ascii="Times New Roman" w:hAnsi="Times New Roman"/>
                    </w:rPr>
                  </w:pPr>
                  <w:r>
                    <w:rPr>
                      <w:rFonts w:ascii="Times New Roman" w:hAnsi="Times New Roman"/>
                    </w:rPr>
                    <w:t>ΝΑΙ</w:t>
                  </w:r>
                </w:p>
              </w:tc>
              <w:tc>
                <w:tcPr>
                  <w:tcW w:w="1134" w:type="dxa"/>
                  <w:vAlign w:val="center"/>
                </w:tcPr>
                <w:p w:rsidR="008D175F" w:rsidRPr="00055876" w:rsidRDefault="008D175F" w:rsidP="00E21B55">
                  <w:pPr>
                    <w:jc w:val="center"/>
                    <w:rPr>
                      <w:rFonts w:ascii="Times New Roman" w:hAnsi="Times New Roman"/>
                    </w:rPr>
                  </w:pPr>
                  <w:r>
                    <w:rPr>
                      <w:rFonts w:ascii="Times New Roman" w:hAnsi="Times New Roman"/>
                    </w:rPr>
                    <w:t>ΝΑΙ</w:t>
                  </w:r>
                </w:p>
              </w:tc>
              <w:tc>
                <w:tcPr>
                  <w:tcW w:w="1134" w:type="dxa"/>
                  <w:vAlign w:val="center"/>
                </w:tcPr>
                <w:p w:rsidR="008D175F" w:rsidRPr="00055876" w:rsidRDefault="008D175F" w:rsidP="00E21B55">
                  <w:pPr>
                    <w:jc w:val="center"/>
                    <w:rPr>
                      <w:rFonts w:ascii="Times New Roman" w:hAnsi="Times New Roman"/>
                    </w:rPr>
                  </w:pPr>
                  <w:r>
                    <w:rPr>
                      <w:rFonts w:ascii="Times New Roman" w:hAnsi="Times New Roman"/>
                    </w:rPr>
                    <w:t>ΝΑΙ</w:t>
                  </w:r>
                </w:p>
              </w:tc>
              <w:tc>
                <w:tcPr>
                  <w:tcW w:w="2410" w:type="dxa"/>
                  <w:gridSpan w:val="2"/>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ΝΑΙ</w:t>
                  </w:r>
                </w:p>
              </w:tc>
              <w:tc>
                <w:tcPr>
                  <w:tcW w:w="2268" w:type="dxa"/>
                  <w:vAlign w:val="center"/>
                </w:tcPr>
                <w:p w:rsidR="008D175F" w:rsidRPr="00896D5B" w:rsidRDefault="008D175F" w:rsidP="00E21B55">
                  <w:pPr>
                    <w:spacing w:line="276" w:lineRule="auto"/>
                    <w:jc w:val="center"/>
                    <w:rPr>
                      <w:rFonts w:ascii="Times New Roman" w:hAnsi="Times New Roman"/>
                    </w:rPr>
                  </w:pPr>
                  <w:r>
                    <w:rPr>
                      <w:rFonts w:ascii="Times New Roman" w:hAnsi="Times New Roman"/>
                    </w:rPr>
                    <w:t>OXI</w:t>
                  </w:r>
                </w:p>
              </w:tc>
            </w:tr>
          </w:tbl>
          <w:p w:rsidR="008D175F" w:rsidRDefault="008D175F" w:rsidP="00E21B55">
            <w:pPr>
              <w:pStyle w:val="ae"/>
              <w:ind w:left="0"/>
              <w:jc w:val="both"/>
              <w:rPr>
                <w:rFonts w:ascii="Times New Roman" w:hAnsi="Times New Roman"/>
              </w:rPr>
            </w:pPr>
          </w:p>
          <w:p w:rsidR="008D175F" w:rsidRDefault="008D175F" w:rsidP="00E21B55">
            <w:pPr>
              <w:pStyle w:val="ae"/>
              <w:ind w:left="0"/>
              <w:jc w:val="both"/>
              <w:rPr>
                <w:rFonts w:ascii="Times New Roman" w:hAnsi="Times New Roman"/>
              </w:rPr>
            </w:pPr>
            <w:r>
              <w:rPr>
                <w:rFonts w:ascii="Times New Roman" w:hAnsi="Times New Roman"/>
              </w:rPr>
              <w:t>Όπου:</w:t>
            </w:r>
          </w:p>
          <w:p w:rsidR="00705A35" w:rsidRDefault="00705A35" w:rsidP="00E21B55">
            <w:pPr>
              <w:pStyle w:val="ae"/>
              <w:ind w:left="0"/>
              <w:jc w:val="both"/>
              <w:rPr>
                <w:rFonts w:ascii="Times New Roman" w:hAnsi="Times New Roman"/>
              </w:rPr>
            </w:pPr>
          </w:p>
          <w:p w:rsidR="008D175F" w:rsidRPr="00705A35" w:rsidRDefault="008D175F" w:rsidP="00E21B55">
            <w:pPr>
              <w:spacing w:line="360" w:lineRule="auto"/>
              <w:rPr>
                <w:rFonts w:ascii="Times New Roman" w:hAnsi="Times New Roman"/>
              </w:rPr>
            </w:pPr>
            <m:oMath>
              <m:r>
                <w:rPr>
                  <w:rFonts w:ascii="Cambria Math" w:hAnsi="Cambria Math"/>
                </w:rPr>
                <m:t>ln</m:t>
              </m:r>
              <m:sSub>
                <m:sSubPr>
                  <m:ctrlPr>
                    <w:rPr>
                      <w:rFonts w:ascii="Cambria Math" w:hAnsi="Cambria Math"/>
                      <w:i/>
                    </w:rPr>
                  </m:ctrlPr>
                </m:sSubPr>
                <m:e>
                  <m:r>
                    <w:rPr>
                      <w:rFonts w:ascii="Cambria Math" w:hAnsi="Cambria Math"/>
                    </w:rPr>
                    <m:t>S</m:t>
                  </m:r>
                </m:e>
                <m:sub>
                  <m:r>
                    <w:rPr>
                      <w:rFonts w:ascii="Cambria Math" w:hAnsi="Cambria Math"/>
                    </w:rPr>
                    <m:t>t</m:t>
                  </m:r>
                </m:sub>
              </m:sSub>
            </m:oMath>
            <w:r w:rsidRPr="00705A35">
              <w:rPr>
                <w:rFonts w:ascii="Times New Roman" w:hAnsi="Times New Roman"/>
              </w:rPr>
              <w:t xml:space="preserve">: ο λογάριθμος της συναλλαγματικής ισοτιμίας της εξεταζόμενης χώρας </w:t>
            </w:r>
          </w:p>
          <w:p w:rsidR="008D175F" w:rsidRPr="00705A35" w:rsidRDefault="00EA318F" w:rsidP="00E21B55">
            <w:pPr>
              <w:spacing w:line="360" w:lineRule="auto"/>
              <w:rPr>
                <w:rFonts w:ascii="Times New Roman" w:hAnsi="Times New Roman"/>
              </w:rPr>
            </w:pPr>
            <m:oMath>
              <m:sSubSup>
                <m:sSubSupPr>
                  <m:ctrlPr>
                    <w:rPr>
                      <w:rFonts w:ascii="Cambria Math" w:hAnsi="Cambria Math"/>
                      <w:i/>
                    </w:rPr>
                  </m:ctrlPr>
                </m:sSubSupPr>
                <m:e>
                  <m:r>
                    <w:rPr>
                      <w:rFonts w:ascii="Cambria Math" w:hAnsi="Cambria Math"/>
                    </w:rPr>
                    <m:t>lnP</m:t>
                  </m:r>
                </m:e>
                <m:sub>
                  <m:r>
                    <w:rPr>
                      <w:rFonts w:ascii="Cambria Math" w:hAnsi="Cambria Math"/>
                    </w:rPr>
                    <m:t>t</m:t>
                  </m:r>
                </m:sub>
                <m:sup>
                  <m:r>
                    <w:rPr>
                      <w:rFonts w:ascii="Cambria Math" w:hAnsi="Cambria Math"/>
                    </w:rPr>
                    <m:t>US</m:t>
                  </m:r>
                </m:sup>
              </m:sSubSup>
            </m:oMath>
            <w:r w:rsidR="008D175F" w:rsidRPr="00705A35">
              <w:rPr>
                <w:rFonts w:ascii="Times New Roman" w:hAnsi="Times New Roman"/>
              </w:rPr>
              <w:t>: ο λογάριθμος του δείκτη τιμών της χώρας που παίρνουμε σαν βάση, εκαι</w:t>
            </w:r>
          </w:p>
          <w:p w:rsidR="008D175F" w:rsidRPr="00705A35" w:rsidRDefault="00EA318F" w:rsidP="00E21B55">
            <w:pPr>
              <w:spacing w:line="360" w:lineRule="auto"/>
              <w:rPr>
                <w:rFonts w:ascii="Times New Roman" w:hAnsi="Times New Roman"/>
                <w:i/>
              </w:rPr>
            </w:pPr>
            <m:oMath>
              <m:sSubSup>
                <m:sSubSupPr>
                  <m:ctrlPr>
                    <w:rPr>
                      <w:rFonts w:ascii="Cambria Math" w:hAnsi="Cambria Math"/>
                      <w:i/>
                    </w:rPr>
                  </m:ctrlPr>
                </m:sSubSupPr>
                <m:e>
                  <m:r>
                    <w:rPr>
                      <w:rFonts w:ascii="Cambria Math" w:hAnsi="Cambria Math"/>
                    </w:rPr>
                    <m:t>lnP</m:t>
                  </m:r>
                </m:e>
                <m:sub>
                  <m:r>
                    <w:rPr>
                      <w:rFonts w:ascii="Cambria Math" w:hAnsi="Cambria Math"/>
                    </w:rPr>
                    <m:t>t</m:t>
                  </m:r>
                </m:sub>
                <m:sup>
                  <m:r>
                    <w:rPr>
                      <w:rFonts w:ascii="Cambria Math" w:hAnsi="Cambria Math"/>
                    </w:rPr>
                    <m:t>f</m:t>
                  </m:r>
                </m:sup>
              </m:sSubSup>
            </m:oMath>
            <w:r w:rsidR="008D175F" w:rsidRPr="00705A35">
              <w:rPr>
                <w:rFonts w:ascii="Times New Roman" w:hAnsi="Times New Roman"/>
              </w:rPr>
              <w:t xml:space="preserve">: ο λογάριθμος του δείκτη τιμών της εξεταζόμενης χώρας </w:t>
            </w:r>
          </w:p>
          <w:p w:rsidR="008D175F" w:rsidRPr="00705A35" w:rsidRDefault="008D175F" w:rsidP="00E21B55">
            <w:pPr>
              <w:spacing w:line="360" w:lineRule="auto"/>
              <w:jc w:val="both"/>
              <w:rPr>
                <w:rFonts w:ascii="Times New Roman" w:hAnsi="Times New Roman"/>
              </w:rPr>
            </w:pPr>
            <w:r w:rsidRPr="00705A35">
              <w:rPr>
                <w:rFonts w:ascii="Times New Roman" w:hAnsi="Times New Roman"/>
              </w:rPr>
              <w:t>%Δ</w:t>
            </w:r>
            <w:r w:rsidR="00910FBD">
              <w:rPr>
                <w:rFonts w:ascii="Times New Roman" w:hAnsi="Times New Roman"/>
                <w:lang w:val="en-US"/>
              </w:rPr>
              <w:t>S</w:t>
            </w:r>
            <w:r w:rsidRPr="00705A35">
              <w:rPr>
                <w:rFonts w:ascii="Times New Roman" w:hAnsi="Times New Roman"/>
              </w:rPr>
              <w:t>: ποσοστό μεταβολής ονομαστικής συναλλαγματικής ισοτιμίας,</w:t>
            </w:r>
          </w:p>
          <w:p w:rsidR="008D175F" w:rsidRPr="00705A35" w:rsidRDefault="008D175F" w:rsidP="00E21B55">
            <w:pPr>
              <w:spacing w:line="360" w:lineRule="auto"/>
              <w:jc w:val="both"/>
              <w:rPr>
                <w:rFonts w:ascii="Times New Roman" w:hAnsi="Times New Roman"/>
              </w:rPr>
            </w:pPr>
            <w:r w:rsidRPr="00705A35">
              <w:rPr>
                <w:rFonts w:ascii="Times New Roman" w:hAnsi="Times New Roman"/>
              </w:rPr>
              <w:t>%Δ</w:t>
            </w:r>
            <w:r w:rsidRPr="00705A35">
              <w:rPr>
                <w:rFonts w:ascii="Times New Roman" w:hAnsi="Times New Roman"/>
                <w:lang w:val="en-US"/>
              </w:rPr>
              <w:t>P</w:t>
            </w:r>
            <w:r w:rsidRPr="00705A35">
              <w:rPr>
                <w:rFonts w:ascii="Times New Roman" w:hAnsi="Times New Roman"/>
              </w:rPr>
              <w:t xml:space="preserve">: ποσοστό μεταβολής </w:t>
            </w:r>
            <w:r w:rsidRPr="00705A35">
              <w:rPr>
                <w:rFonts w:ascii="Times New Roman" w:hAnsi="Times New Roman"/>
                <w:lang w:val="en-US"/>
              </w:rPr>
              <w:t>CPI</w:t>
            </w:r>
            <w:r w:rsidRPr="00705A35">
              <w:rPr>
                <w:rFonts w:ascii="Times New Roman" w:hAnsi="Times New Roman"/>
              </w:rPr>
              <w:t xml:space="preserve"> εξεταζόμενης χώρας,</w:t>
            </w:r>
          </w:p>
          <w:p w:rsidR="008D175F" w:rsidRPr="00705A35" w:rsidRDefault="008D175F" w:rsidP="00E21B55">
            <w:pPr>
              <w:spacing w:line="360" w:lineRule="auto"/>
              <w:jc w:val="both"/>
              <w:rPr>
                <w:rFonts w:ascii="Times New Roman" w:hAnsi="Times New Roman"/>
              </w:rPr>
            </w:pPr>
            <w:r w:rsidRPr="00705A35">
              <w:rPr>
                <w:rFonts w:ascii="Times New Roman" w:hAnsi="Times New Roman"/>
              </w:rPr>
              <w:t>%Δ</w:t>
            </w:r>
            <w:r w:rsidRPr="00705A35">
              <w:rPr>
                <w:rFonts w:ascii="Times New Roman" w:hAnsi="Times New Roman"/>
                <w:lang w:val="en-US"/>
              </w:rPr>
              <w:t>P</w:t>
            </w:r>
            <w:r w:rsidRPr="00705A35">
              <w:rPr>
                <w:rFonts w:ascii="Times New Roman" w:hAnsi="Times New Roman"/>
                <w:vertAlign w:val="superscript"/>
              </w:rPr>
              <w:t>*</w:t>
            </w:r>
            <w:r w:rsidRPr="00705A35">
              <w:rPr>
                <w:rFonts w:ascii="Times New Roman" w:hAnsi="Times New Roman"/>
              </w:rPr>
              <w:t xml:space="preserve">: ποσοστό μεταβολής </w:t>
            </w:r>
            <w:r w:rsidRPr="00705A35">
              <w:rPr>
                <w:rFonts w:ascii="Times New Roman" w:hAnsi="Times New Roman"/>
                <w:lang w:val="en-US"/>
              </w:rPr>
              <w:t>CPI</w:t>
            </w:r>
            <w:r w:rsidRPr="00705A35">
              <w:rPr>
                <w:rFonts w:ascii="Times New Roman" w:hAnsi="Times New Roman"/>
              </w:rPr>
              <w:t xml:space="preserve"> χώρας βάσης, και,</w:t>
            </w:r>
          </w:p>
          <w:p w:rsidR="008D175F" w:rsidRPr="00705A35" w:rsidRDefault="00EA318F" w:rsidP="00E21B55">
            <w:pPr>
              <w:pStyle w:val="ae"/>
              <w:spacing w:line="360" w:lineRule="auto"/>
              <w:ind w:left="0"/>
              <w:jc w:val="both"/>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8D175F" w:rsidRPr="00705A35">
              <w:rPr>
                <w:rFonts w:ascii="Times New Roman" w:hAnsi="Times New Roman"/>
              </w:rPr>
              <w:t>: τα κατάλοιπα της παλινδρόμησης</w:t>
            </w:r>
          </w:p>
          <w:p w:rsidR="008D175F" w:rsidRPr="00896D5B" w:rsidRDefault="008D175F" w:rsidP="00E21B55">
            <w:pPr>
              <w:pStyle w:val="ae"/>
              <w:ind w:left="0"/>
              <w:jc w:val="both"/>
              <w:rPr>
                <w:rFonts w:ascii="Times New Roman" w:hAnsi="Times New Roman"/>
              </w:rPr>
            </w:pPr>
          </w:p>
          <w:p w:rsidR="008D175F" w:rsidRPr="00D0636B" w:rsidRDefault="008D175F" w:rsidP="008D175F">
            <w:pPr>
              <w:pStyle w:val="ae"/>
              <w:spacing w:line="360" w:lineRule="auto"/>
              <w:ind w:left="0"/>
              <w:jc w:val="both"/>
              <w:rPr>
                <w:rFonts w:ascii="Times New Roman" w:hAnsi="Times New Roman"/>
              </w:rPr>
            </w:pPr>
            <w:r>
              <w:rPr>
                <w:rFonts w:ascii="Times New Roman" w:hAnsi="Times New Roman"/>
              </w:rPr>
              <w:t xml:space="preserve">Σχετικά με την απόλυτη </w:t>
            </w:r>
            <w:r>
              <w:rPr>
                <w:rFonts w:ascii="Times New Roman" w:hAnsi="Times New Roman"/>
                <w:lang w:val="en-US"/>
              </w:rPr>
              <w:t>PPP</w:t>
            </w:r>
            <w:r>
              <w:rPr>
                <w:rFonts w:ascii="Times New Roman" w:hAnsi="Times New Roman"/>
              </w:rPr>
              <w:t xml:space="preserve"> τα αποτελέσματα δείχνουν ότι </w:t>
            </w:r>
            <w:r w:rsidRPr="00CF5D33">
              <w:rPr>
                <w:rFonts w:ascii="Times New Roman" w:hAnsi="Times New Roman"/>
              </w:rPr>
              <w:t xml:space="preserve">για τις χώρες της Ιαπωνίας, του Ηνωμένου Βασιλείου και του Καναδά δεν ισχύει η </w:t>
            </w:r>
            <w:r>
              <w:rPr>
                <w:rFonts w:ascii="Times New Roman" w:hAnsi="Times New Roman"/>
              </w:rPr>
              <w:t xml:space="preserve">απόλυτη </w:t>
            </w:r>
            <w:r w:rsidRPr="00CF5D33">
              <w:rPr>
                <w:rFonts w:ascii="Times New Roman" w:hAnsi="Times New Roman"/>
                <w:lang w:val="en-US"/>
              </w:rPr>
              <w:t>PPP</w:t>
            </w:r>
            <w:r>
              <w:rPr>
                <w:rFonts w:ascii="Times New Roman" w:hAnsi="Times New Roman"/>
              </w:rPr>
              <w:t>, το οποίο ήταν το αναμενόμενο δεδομένου ότι δεν ισχύουν οι υποθέσεις που εξασφαλίζουν το Νόμο της Μίας Τιμής (ύπαρξης τέλειας αγοράς)</w:t>
            </w:r>
            <w:r w:rsidRPr="00CF5D33">
              <w:rPr>
                <w:rFonts w:ascii="Times New Roman" w:hAnsi="Times New Roman"/>
              </w:rPr>
              <w:t xml:space="preserve">. Από την </w:t>
            </w:r>
            <w:r>
              <w:rPr>
                <w:rFonts w:ascii="Times New Roman" w:hAnsi="Times New Roman"/>
              </w:rPr>
              <w:t xml:space="preserve">άλλη, για την χώρα του Μεξικού </w:t>
            </w:r>
            <w:r w:rsidRPr="00CF5D33">
              <w:rPr>
                <w:rFonts w:ascii="Times New Roman" w:hAnsi="Times New Roman"/>
              </w:rPr>
              <w:t>παρατηρούμε</w:t>
            </w:r>
            <w:r>
              <w:rPr>
                <w:rFonts w:ascii="Times New Roman" w:hAnsi="Times New Roman"/>
              </w:rPr>
              <w:t xml:space="preserve"> ότι</w:t>
            </w:r>
            <w:r w:rsidRPr="00CF5D33">
              <w:rPr>
                <w:rFonts w:ascii="Times New Roman" w:hAnsi="Times New Roman"/>
              </w:rPr>
              <w:t xml:space="preserve"> </w:t>
            </w:r>
            <w:r>
              <w:rPr>
                <w:rFonts w:ascii="Times New Roman" w:hAnsi="Times New Roman"/>
              </w:rPr>
              <w:t xml:space="preserve">η απόλυτη </w:t>
            </w:r>
            <w:r>
              <w:rPr>
                <w:rFonts w:ascii="Times New Roman" w:hAnsi="Times New Roman"/>
                <w:lang w:val="en-US"/>
              </w:rPr>
              <w:t>PPP</w:t>
            </w:r>
            <w:r w:rsidRPr="00D0636B">
              <w:rPr>
                <w:rFonts w:ascii="Times New Roman" w:hAnsi="Times New Roman"/>
              </w:rPr>
              <w:t xml:space="preserve"> </w:t>
            </w:r>
            <w:r>
              <w:rPr>
                <w:rFonts w:ascii="Times New Roman" w:hAnsi="Times New Roman"/>
              </w:rPr>
              <w:t xml:space="preserve">δεν απορρίπτεται. Ωστόσο, θα πρέπει να σημειωθεί ότι το Μεξικό </w:t>
            </w:r>
            <w:r w:rsidRPr="00CF5D33">
              <w:rPr>
                <w:rFonts w:ascii="Times New Roman" w:hAnsi="Times New Roman"/>
              </w:rPr>
              <w:t xml:space="preserve">είναι μια αναπτυσσόμενη χώρα η οποία έχει </w:t>
            </w:r>
            <w:r>
              <w:rPr>
                <w:rFonts w:ascii="Times New Roman" w:hAnsi="Times New Roman"/>
              </w:rPr>
              <w:t>βιώσει έντονες περιόδους κρίσεων (όπως π</w:t>
            </w:r>
            <w:r w:rsidRPr="00565148">
              <w:rPr>
                <w:rFonts w:ascii="Times New Roman" w:hAnsi="Times New Roman"/>
              </w:rPr>
              <w:t>.</w:t>
            </w:r>
            <w:r>
              <w:rPr>
                <w:rFonts w:ascii="Times New Roman" w:hAnsi="Times New Roman"/>
              </w:rPr>
              <w:t>χ</w:t>
            </w:r>
            <w:r w:rsidRPr="00565148">
              <w:rPr>
                <w:rFonts w:ascii="Times New Roman" w:hAnsi="Times New Roman"/>
              </w:rPr>
              <w:t>.</w:t>
            </w:r>
            <w:r>
              <w:rPr>
                <w:rFonts w:ascii="Times New Roman" w:hAnsi="Times New Roman"/>
              </w:rPr>
              <w:t xml:space="preserve"> η κρίση του </w:t>
            </w:r>
            <w:proofErr w:type="spellStart"/>
            <w:r>
              <w:rPr>
                <w:rFonts w:ascii="Times New Roman" w:hAnsi="Times New Roman"/>
              </w:rPr>
              <w:t>πέσο</w:t>
            </w:r>
            <w:proofErr w:type="spellEnd"/>
            <w:r>
              <w:rPr>
                <w:rFonts w:ascii="Times New Roman" w:hAnsi="Times New Roman"/>
              </w:rPr>
              <w:t xml:space="preserve"> το 1994), το οποίο υποδηλώνει ότι από στατιστικής πλευράς υπάρχουν, εκτός από διαχρονικά μεγάλη μεταβλητότητα στις </w:t>
            </w:r>
            <w:proofErr w:type="spellStart"/>
            <w:r>
              <w:rPr>
                <w:rFonts w:ascii="Times New Roman" w:hAnsi="Times New Roman"/>
              </w:rPr>
              <w:t>χρονοσειρές</w:t>
            </w:r>
            <w:proofErr w:type="spellEnd"/>
            <w:r>
              <w:rPr>
                <w:rFonts w:ascii="Times New Roman" w:hAnsi="Times New Roman"/>
              </w:rPr>
              <w:t xml:space="preserve"> (λόγω ασταθούς και ευπαθούς παραγωγικού μοντέλου ανάπτυξη της οικονομίας) και </w:t>
            </w:r>
            <w:r>
              <w:rPr>
                <w:rFonts w:ascii="Times New Roman" w:hAnsi="Times New Roman"/>
              </w:rPr>
              <w:lastRenderedPageBreak/>
              <w:t>ισχυρά σοκ, τα οποία ουσιαστικά παράγουν ακραίες παρατηρήσεις</w:t>
            </w:r>
            <w:r w:rsidR="00EE02CF">
              <w:rPr>
                <w:rStyle w:val="ac"/>
                <w:rFonts w:ascii="Times New Roman" w:hAnsi="Times New Roman"/>
              </w:rPr>
              <w:footnoteReference w:id="7"/>
            </w:r>
            <w:r>
              <w:rPr>
                <w:rFonts w:ascii="Times New Roman" w:hAnsi="Times New Roman"/>
              </w:rPr>
              <w:t xml:space="preserve">. Κατά συνέπεια, περιπτώσεις χωρών όπως του Μεξικού παραβιάζουν τις βασικές υποθέσεις πάνω στις οποίες βασίζονται οι στατιστικοί έλεγχοι υποθέσεων. Συνεπώς, αν και τα αποτελέσματα συνηγορούν υπέρ της απόλυτης </w:t>
            </w:r>
            <w:r>
              <w:rPr>
                <w:rFonts w:ascii="Times New Roman" w:hAnsi="Times New Roman"/>
                <w:lang w:val="en-US"/>
              </w:rPr>
              <w:t>PPP</w:t>
            </w:r>
            <w:r w:rsidRPr="00D0636B">
              <w:rPr>
                <w:rFonts w:ascii="Times New Roman" w:hAnsi="Times New Roman"/>
              </w:rPr>
              <w:t xml:space="preserve"> </w:t>
            </w:r>
            <w:r>
              <w:rPr>
                <w:rFonts w:ascii="Times New Roman" w:hAnsi="Times New Roman"/>
              </w:rPr>
              <w:t>για τη χώρα του Μεξικού</w:t>
            </w:r>
            <w:r w:rsidRPr="00D0636B">
              <w:rPr>
                <w:rFonts w:ascii="Times New Roman" w:hAnsi="Times New Roman"/>
              </w:rPr>
              <w:t xml:space="preserve">, </w:t>
            </w:r>
            <w:r>
              <w:rPr>
                <w:rFonts w:ascii="Times New Roman" w:hAnsi="Times New Roman"/>
              </w:rPr>
              <w:t xml:space="preserve">οι παρατηρούμενες ανωμαλίες της συμπεριφοράς των μακροοικονομικών μεγεθών του Μεξικού ανά περιόδους δεν μας επιτρέπουν να εξάγουμε οικονομικά συμπεράσματα με αυτοπεποίθηση. </w:t>
            </w:r>
          </w:p>
          <w:p w:rsidR="008D175F" w:rsidRPr="00E35E04" w:rsidRDefault="008D175F" w:rsidP="00910FBD">
            <w:pPr>
              <w:pStyle w:val="ae"/>
              <w:spacing w:line="360" w:lineRule="auto"/>
              <w:ind w:left="0"/>
              <w:jc w:val="both"/>
              <w:rPr>
                <w:rFonts w:ascii="Times New Roman" w:hAnsi="Times New Roman"/>
              </w:rPr>
            </w:pPr>
            <w:r>
              <w:rPr>
                <w:rFonts w:ascii="Times New Roman" w:hAnsi="Times New Roman"/>
              </w:rPr>
              <w:t xml:space="preserve">Αναφορικά με την σχετική </w:t>
            </w:r>
            <w:r>
              <w:rPr>
                <w:rFonts w:ascii="Times New Roman" w:hAnsi="Times New Roman"/>
                <w:lang w:val="en-US"/>
              </w:rPr>
              <w:t>PPP</w:t>
            </w:r>
            <w:r>
              <w:rPr>
                <w:rFonts w:ascii="Times New Roman" w:hAnsi="Times New Roman"/>
              </w:rPr>
              <w:t xml:space="preserve"> τα αποτελέσματα της μελέτης είναι πιο ενθαρρυντικά για όλες τις χώρες, χωρίς ωστόσο να είναι ξεκάθαρα.</w:t>
            </w:r>
            <w:r w:rsidRPr="00744A63">
              <w:rPr>
                <w:rFonts w:ascii="Times New Roman" w:hAnsi="Times New Roman"/>
              </w:rPr>
              <w:t xml:space="preserve"> </w:t>
            </w:r>
            <w:r>
              <w:rPr>
                <w:rFonts w:ascii="Times New Roman" w:hAnsi="Times New Roman"/>
              </w:rPr>
              <w:t xml:space="preserve">Αυτό που θα πρέπει να αναφερθεί είναι ότι η συγκεκριμένη θεωρία χρησιμοποιείται συχνά για να προσδιοριστεί ένα νόμισμα ως υπερτιμημένο ή υποτιμημένο. Μακροπρόθεσμα υπάρχουν ενδείξεις που υποστηρίζουν την </w:t>
            </w:r>
            <w:r>
              <w:rPr>
                <w:rFonts w:ascii="Times New Roman" w:hAnsi="Times New Roman"/>
                <w:lang w:val="en-US"/>
              </w:rPr>
              <w:t>PPP</w:t>
            </w:r>
            <w:r>
              <w:rPr>
                <w:rFonts w:ascii="Times New Roman" w:hAnsi="Times New Roman"/>
              </w:rPr>
              <w:t xml:space="preserve"> (</w:t>
            </w:r>
            <w:proofErr w:type="spellStart"/>
            <w:r w:rsidRPr="008A5207">
              <w:rPr>
                <w:rFonts w:ascii="Times New Roman" w:hAnsi="Times New Roman"/>
                <w:color w:val="000000" w:themeColor="text1"/>
                <w:lang w:val="en-US"/>
              </w:rPr>
              <w:t>Coakley</w:t>
            </w:r>
            <w:proofErr w:type="spellEnd"/>
            <w:r w:rsidRPr="008A5207">
              <w:rPr>
                <w:rFonts w:ascii="Times New Roman" w:hAnsi="Times New Roman"/>
                <w:color w:val="000000" w:themeColor="text1"/>
              </w:rPr>
              <w:t xml:space="preserve"> </w:t>
            </w:r>
            <w:r w:rsidR="00910FBD" w:rsidRPr="00910FBD">
              <w:rPr>
                <w:rFonts w:ascii="Times New Roman" w:hAnsi="Times New Roman"/>
                <w:color w:val="000000" w:themeColor="text1"/>
              </w:rPr>
              <w:t>&amp;</w:t>
            </w:r>
            <w:r w:rsidRPr="008A5207">
              <w:rPr>
                <w:rFonts w:ascii="Times New Roman" w:hAnsi="Times New Roman"/>
                <w:color w:val="000000" w:themeColor="text1"/>
              </w:rPr>
              <w:t xml:space="preserve"> </w:t>
            </w:r>
            <w:proofErr w:type="spellStart"/>
            <w:r w:rsidRPr="008A5207">
              <w:rPr>
                <w:rFonts w:ascii="Times New Roman" w:hAnsi="Times New Roman"/>
                <w:color w:val="000000" w:themeColor="text1"/>
                <w:lang w:val="en-US"/>
              </w:rPr>
              <w:t>Snaith</w:t>
            </w:r>
            <w:proofErr w:type="spellEnd"/>
            <w:r>
              <w:rPr>
                <w:rFonts w:ascii="Times New Roman" w:hAnsi="Times New Roman"/>
                <w:color w:val="000000" w:themeColor="text1"/>
              </w:rPr>
              <w:t>, 2004</w:t>
            </w:r>
            <w:r w:rsidRPr="008A5207">
              <w:rPr>
                <w:rFonts w:ascii="Times New Roman" w:hAnsi="Times New Roman"/>
                <w:color w:val="000000" w:themeColor="text1"/>
              </w:rPr>
              <w:t>).</w:t>
            </w:r>
            <w:r>
              <w:rPr>
                <w:rFonts w:ascii="Times New Roman" w:hAnsi="Times New Roman"/>
              </w:rPr>
              <w:t xml:space="preserve"> Διαχρονικά, χώρες με επίμονες θετικές διαφορές στους ρυθμούς πληθωρισμού τείνουν να βιώνουν μια υποτίμηση των εθνικών νομισμάτων τους όπως στην περίπτωση της χώρας του Μεξικού, η οποία έχει θετικές </w:t>
            </w:r>
            <w:r w:rsidRPr="00314741">
              <w:rPr>
                <w:rFonts w:ascii="Times New Roman" w:hAnsi="Times New Roman"/>
              </w:rPr>
              <w:t>διαφορές στους ρυθμούς πληθωρισμού και πράγματι υποτιμημένο νόμισμα (σε σχέση με το δολάριο</w:t>
            </w:r>
            <w:r>
              <w:rPr>
                <w:rFonts w:ascii="Times New Roman" w:hAnsi="Times New Roman"/>
              </w:rPr>
              <w:t>)</w:t>
            </w:r>
            <w:r w:rsidR="00910FBD" w:rsidRPr="00910FBD">
              <w:rPr>
                <w:rFonts w:ascii="Times New Roman" w:hAnsi="Times New Roman"/>
              </w:rPr>
              <w:t>.</w:t>
            </w:r>
            <w:r>
              <w:rPr>
                <w:rFonts w:ascii="Times New Roman" w:hAnsi="Times New Roman"/>
              </w:rPr>
              <w:t xml:space="preserve"> Από την άλλη, χώρες με</w:t>
            </w:r>
            <w:r w:rsidRPr="003C2DC1">
              <w:rPr>
                <w:rFonts w:ascii="Times New Roman" w:hAnsi="Times New Roman"/>
              </w:rPr>
              <w:t xml:space="preserve"> </w:t>
            </w:r>
            <w:r>
              <w:rPr>
                <w:rFonts w:ascii="Times New Roman" w:hAnsi="Times New Roman"/>
              </w:rPr>
              <w:t>επίμονες αρνητικές διαφορές στους ρυθμούς πληθωρισμού τείνουν να έχουν υπερτιμημένο νόμισμα, όπως συμβαίνει σε χώρες όπως ο Καναδάς, το Ηνωμένου Βασίλειο και η Ιαπωνία. Επομένως, αυτό που έχει μεγαλύτερη σημασία και αξίζει να διερευνηθεί περαιτέρω είναι η ταχύτητα σύγκλισης προς ένα επίπεδο ισορροπίας</w:t>
            </w:r>
            <w:r w:rsidRPr="00A02390">
              <w:rPr>
                <w:rFonts w:ascii="Times New Roman" w:hAnsi="Times New Roman"/>
              </w:rPr>
              <w:t>.</w:t>
            </w:r>
          </w:p>
        </w:tc>
      </w:tr>
    </w:tbl>
    <w:p w:rsidR="0021512F" w:rsidRDefault="0021512F" w:rsidP="000E1DD4">
      <w:pPr>
        <w:pStyle w:val="2"/>
        <w:spacing w:before="0" w:after="0" w:line="360" w:lineRule="auto"/>
        <w:jc w:val="both"/>
        <w:rPr>
          <w:rFonts w:ascii="Times New Roman" w:hAnsi="Times New Roman" w:cs="Times New Roman"/>
          <w:i w:val="0"/>
          <w:sz w:val="24"/>
          <w:szCs w:val="24"/>
        </w:rPr>
      </w:pPr>
      <w:bookmarkStart w:id="32" w:name="_Toc395803101"/>
    </w:p>
    <w:p w:rsidR="000E1DD4" w:rsidRDefault="005D5CC5" w:rsidP="000E1DD4">
      <w:pPr>
        <w:pStyle w:val="2"/>
        <w:spacing w:before="0" w:after="0" w:line="360" w:lineRule="auto"/>
        <w:jc w:val="both"/>
        <w:rPr>
          <w:rFonts w:ascii="Times New Roman" w:hAnsi="Times New Roman" w:cs="Times New Roman"/>
          <w:i w:val="0"/>
          <w:sz w:val="24"/>
          <w:szCs w:val="24"/>
        </w:rPr>
      </w:pPr>
      <w:bookmarkStart w:id="33" w:name="_Toc396220910"/>
      <w:r>
        <w:rPr>
          <w:rFonts w:ascii="Times New Roman" w:hAnsi="Times New Roman" w:cs="Times New Roman"/>
          <w:i w:val="0"/>
          <w:sz w:val="24"/>
          <w:szCs w:val="24"/>
        </w:rPr>
        <w:t>7.4.</w:t>
      </w:r>
      <w:r w:rsidR="00910FBD">
        <w:rPr>
          <w:rFonts w:ascii="Times New Roman" w:hAnsi="Times New Roman" w:cs="Times New Roman"/>
          <w:i w:val="0"/>
          <w:sz w:val="24"/>
          <w:szCs w:val="24"/>
        </w:rPr>
        <w:t>3</w:t>
      </w:r>
      <w:r w:rsidR="000E1DD4" w:rsidRPr="00580915">
        <w:rPr>
          <w:rFonts w:ascii="Times New Roman" w:hAnsi="Times New Roman" w:cs="Times New Roman"/>
          <w:i w:val="0"/>
          <w:sz w:val="24"/>
          <w:szCs w:val="24"/>
        </w:rPr>
        <w:t xml:space="preserve"> </w:t>
      </w:r>
      <w:r w:rsidR="00812DF6">
        <w:rPr>
          <w:rFonts w:ascii="Times New Roman" w:hAnsi="Times New Roman" w:cs="Times New Roman"/>
          <w:i w:val="0"/>
          <w:sz w:val="24"/>
          <w:szCs w:val="24"/>
        </w:rPr>
        <w:t>Η π</w:t>
      </w:r>
      <w:r w:rsidR="000E1DD4">
        <w:rPr>
          <w:rFonts w:ascii="Times New Roman" w:hAnsi="Times New Roman" w:cs="Times New Roman"/>
          <w:i w:val="0"/>
          <w:sz w:val="24"/>
          <w:szCs w:val="24"/>
        </w:rPr>
        <w:t>ραγματική συναλλαγματική ισοτιμία</w:t>
      </w:r>
      <w:bookmarkEnd w:id="32"/>
      <w:bookmarkEnd w:id="33"/>
    </w:p>
    <w:p w:rsidR="000C2027" w:rsidRPr="000C2027" w:rsidRDefault="000C2027" w:rsidP="0058071D">
      <w:pPr>
        <w:spacing w:line="360" w:lineRule="auto"/>
        <w:ind w:firstLine="720"/>
        <w:contextualSpacing/>
        <w:jc w:val="both"/>
      </w:pPr>
      <w:r w:rsidRPr="000C2027">
        <w:t>Η πραγματική συναλλαγματική ισοτιμία (</w:t>
      </w:r>
      <w:r>
        <w:rPr>
          <w:lang w:val="en-US"/>
        </w:rPr>
        <w:t>R</w:t>
      </w:r>
      <w:r w:rsidRPr="000C2027">
        <w:t>) μετράει την ανταγωνιστικότητα μίας χώρας και ορίζεται ως το γινόμενο της ονομαστικής ισοτιμίας (</w:t>
      </w:r>
      <w:r>
        <w:rPr>
          <w:lang w:val="en-US"/>
        </w:rPr>
        <w:t>S</w:t>
      </w:r>
      <w:r w:rsidRPr="000C2027">
        <w:t>) με το λόγο του επιπέδ</w:t>
      </w:r>
      <w:r w:rsidR="00BE5238">
        <w:t>ου τ</w:t>
      </w:r>
      <w:r w:rsidRPr="000C2027">
        <w:t xml:space="preserve">ων τιμών: </w:t>
      </w:r>
    </w:p>
    <w:p w:rsidR="000C2027" w:rsidRPr="000C2027" w:rsidRDefault="004E14E1" w:rsidP="0058071D">
      <w:pPr>
        <w:spacing w:line="360" w:lineRule="auto"/>
        <w:ind w:left="720" w:firstLine="720"/>
        <w:contextualSpacing/>
        <w:jc w:val="both"/>
      </w:pPr>
      <w:r w:rsidRPr="000C2027">
        <w:rPr>
          <w:position w:val="-30"/>
        </w:rPr>
        <w:object w:dxaOrig="999" w:dyaOrig="720">
          <v:shape id="_x0000_i1073" type="#_x0000_t75" style="width:49.45pt;height:37.55pt" o:ole="" fillcolor="window">
            <v:imagedata r:id="rId118" o:title=""/>
          </v:shape>
          <o:OLEObject Type="Embed" ProgID="Equation.3" ShapeID="_x0000_i1073" DrawAspect="Content" ObjectID="_1475064886" r:id="rId119"/>
        </w:object>
      </w:r>
    </w:p>
    <w:p w:rsidR="000C2027" w:rsidRPr="000C2027" w:rsidRDefault="000C2027" w:rsidP="00BE5238">
      <w:pPr>
        <w:spacing w:line="360" w:lineRule="auto"/>
        <w:contextualSpacing/>
        <w:jc w:val="both"/>
      </w:pPr>
      <w:r w:rsidRPr="000C2027">
        <w:t xml:space="preserve">Όταν το </w:t>
      </w:r>
      <w:r w:rsidR="004E14E1">
        <w:rPr>
          <w:lang w:val="en-US"/>
        </w:rPr>
        <w:t>R</w:t>
      </w:r>
      <w:r w:rsidRPr="000C2027">
        <w:t xml:space="preserve"> αυξάνεται (μειώνεται) έχουμε πραγματική υποτίμηση (ανατίμηση) του εγχώριου νομίσματος καθιστώντας έτσι τα εγχώρια προϊόντα περισσότερο (λιγότερο) ανταγωνιστικά στις διεθνείς αγορέ</w:t>
      </w:r>
      <w:r w:rsidR="00BE5238">
        <w:t xml:space="preserve">ς. </w:t>
      </w:r>
      <w:r w:rsidRPr="000C2027">
        <w:t>Εάν τώ</w:t>
      </w:r>
      <w:r w:rsidR="004E14E1">
        <w:t xml:space="preserve">ρα </w:t>
      </w:r>
      <w:proofErr w:type="spellStart"/>
      <w:r w:rsidR="004E14E1">
        <w:t>λογαριθμίσουμε</w:t>
      </w:r>
      <w:proofErr w:type="spellEnd"/>
      <w:r w:rsidR="004E14E1">
        <w:t xml:space="preserve"> τη</w:t>
      </w:r>
      <w:r w:rsidR="00BE5238">
        <w:t>ν</w:t>
      </w:r>
      <w:r w:rsidR="004E14E1">
        <w:t xml:space="preserve"> παραπάνω σχέση</w:t>
      </w:r>
      <w:r w:rsidRPr="000C2027">
        <w:t xml:space="preserve"> και στη συνέχεια πάρουμε τις πρώτες διαφορές, έχουμε: </w:t>
      </w:r>
    </w:p>
    <w:p w:rsidR="004E14E1" w:rsidRDefault="004E14E1" w:rsidP="00D8205F">
      <w:pPr>
        <w:spacing w:line="360" w:lineRule="auto"/>
        <w:ind w:left="720" w:firstLine="720"/>
        <w:contextualSpacing/>
        <w:jc w:val="both"/>
        <w:rPr>
          <w:lang w:val="en-US"/>
        </w:rPr>
      </w:pPr>
      <w:r w:rsidRPr="004E14E1">
        <w:rPr>
          <w:position w:val="-12"/>
        </w:rPr>
        <w:object w:dxaOrig="2520" w:dyaOrig="380">
          <v:shape id="_x0000_i1074" type="#_x0000_t75" style="width:124.6pt;height:19.4pt" o:ole="" fillcolor="window">
            <v:imagedata r:id="rId120" o:title=""/>
          </v:shape>
          <o:OLEObject Type="Embed" ProgID="Equation.3" ShapeID="_x0000_i1074" DrawAspect="Content" ObjectID="_1475064887" r:id="rId121"/>
        </w:object>
      </w:r>
    </w:p>
    <w:p w:rsidR="004E14E1" w:rsidRDefault="004E14E1" w:rsidP="00D8205F">
      <w:pPr>
        <w:spacing w:line="360" w:lineRule="auto"/>
        <w:ind w:left="720" w:firstLine="720"/>
        <w:contextualSpacing/>
        <w:jc w:val="both"/>
      </w:pPr>
      <w:r w:rsidRPr="004E14E1">
        <w:rPr>
          <w:position w:val="-12"/>
        </w:rPr>
        <w:object w:dxaOrig="3300" w:dyaOrig="380">
          <v:shape id="_x0000_i1075" type="#_x0000_t75" style="width:166.55pt;height:19.4pt" o:ole="" fillcolor="window">
            <v:imagedata r:id="rId122" o:title=""/>
          </v:shape>
          <o:OLEObject Type="Embed" ProgID="Equation.3" ShapeID="_x0000_i1075" DrawAspect="Content" ObjectID="_1475064888" r:id="rId123"/>
        </w:object>
      </w:r>
    </w:p>
    <w:p w:rsidR="004E14E1" w:rsidRPr="004E14E1" w:rsidRDefault="004E14E1" w:rsidP="00D8205F">
      <w:pPr>
        <w:spacing w:line="360" w:lineRule="auto"/>
        <w:ind w:left="720" w:firstLine="720"/>
        <w:contextualSpacing/>
        <w:jc w:val="both"/>
      </w:pPr>
      <w:r w:rsidRPr="004E14E1">
        <w:rPr>
          <w:position w:val="-12"/>
        </w:rPr>
        <w:object w:dxaOrig="2299" w:dyaOrig="380">
          <v:shape id="_x0000_i1076" type="#_x0000_t75" style="width:117.1pt;height:19.4pt" o:ole="" fillcolor="window">
            <v:imagedata r:id="rId124" o:title=""/>
          </v:shape>
          <o:OLEObject Type="Embed" ProgID="Equation.3" ShapeID="_x0000_i1076" DrawAspect="Content" ObjectID="_1475064889" r:id="rId125"/>
        </w:object>
      </w:r>
      <w:r>
        <w:t xml:space="preserve"> ή </w:t>
      </w:r>
      <w:r w:rsidRPr="004E14E1">
        <w:rPr>
          <w:position w:val="-12"/>
        </w:rPr>
        <w:object w:dxaOrig="2480" w:dyaOrig="380">
          <v:shape id="_x0000_i1077" type="#_x0000_t75" style="width:124.6pt;height:19.4pt" o:ole="" fillcolor="window">
            <v:imagedata r:id="rId126" o:title=""/>
          </v:shape>
          <o:OLEObject Type="Embed" ProgID="Equation.3" ShapeID="_x0000_i1077" DrawAspect="Content" ObjectID="_1475064890" r:id="rId127"/>
        </w:object>
      </w:r>
    </w:p>
    <w:p w:rsidR="000C2027" w:rsidRPr="000C2027" w:rsidRDefault="000C2027" w:rsidP="0058071D">
      <w:pPr>
        <w:spacing w:line="360" w:lineRule="auto"/>
        <w:ind w:firstLine="720"/>
        <w:contextualSpacing/>
        <w:jc w:val="both"/>
      </w:pPr>
      <w:r w:rsidRPr="000C2027">
        <w:lastRenderedPageBreak/>
        <w:t>Σύμφωνα με τη</w:t>
      </w:r>
      <w:r w:rsidR="004E14E1">
        <w:t xml:space="preserve"> τελευταία</w:t>
      </w:r>
      <w:r w:rsidRPr="000C2027">
        <w:t xml:space="preserve"> σχέση, ο ρυθμός μεταβολής της πραγματικής συναλλαγματικής ισοτιμίας ορίζεται ως η απόκλιση του ρυθμού μεταβολής της ονομαστικής ισοτιμίας από το διαφορικό πληθωρισμό. </w:t>
      </w:r>
      <w:r w:rsidR="001163F2">
        <w:t>Έτσι ε</w:t>
      </w:r>
      <w:r w:rsidRPr="000C2027">
        <w:t>άν υποθέσουμε ότι ο πληθωρ</w:t>
      </w:r>
      <w:r w:rsidR="004E14E1">
        <w:t>ισμός της Ευρωζώνης ισούται με 4% και των ΗΠΑ με 2</w:t>
      </w:r>
      <w:r w:rsidRPr="000C2027">
        <w:t xml:space="preserve">% και ότι το ευρώ ανατιμάται έναντι του δολαρίου κατά 2%, τότε η ποσοστιαία μεταβολή της πραγματικής συναλλαγματικής ισοτιμίας €/$ ανέρχεται σε: </w:t>
      </w:r>
    </w:p>
    <w:p w:rsidR="000C2027" w:rsidRPr="000C2027" w:rsidRDefault="00C55A0F" w:rsidP="0058071D">
      <w:pPr>
        <w:spacing w:line="360" w:lineRule="auto"/>
        <w:ind w:left="720" w:firstLine="720"/>
        <w:contextualSpacing/>
        <w:jc w:val="both"/>
      </w:pPr>
      <w:r w:rsidRPr="004E14E1">
        <w:rPr>
          <w:position w:val="-12"/>
        </w:rPr>
        <w:object w:dxaOrig="3280" w:dyaOrig="360">
          <v:shape id="_x0000_i1078" type="#_x0000_t75" style="width:166.55pt;height:19.4pt" o:ole="" fillcolor="window">
            <v:imagedata r:id="rId128" o:title=""/>
          </v:shape>
          <o:OLEObject Type="Embed" ProgID="Equation.3" ShapeID="_x0000_i1078" DrawAspect="Content" ObjectID="_1475064891" r:id="rId129"/>
        </w:object>
      </w:r>
    </w:p>
    <w:p w:rsidR="00B2674C" w:rsidRDefault="000C2027" w:rsidP="0058071D">
      <w:pPr>
        <w:spacing w:line="360" w:lineRule="auto"/>
        <w:ind w:firstLine="720"/>
        <w:contextualSpacing/>
        <w:jc w:val="both"/>
      </w:pPr>
      <w:r w:rsidRPr="000C2027">
        <w:t>Με άλλα λόγια, επιτυγχάνεται μια πραγμα</w:t>
      </w:r>
      <w:r w:rsidR="00C55A0F">
        <w:t>τική ανατίμηση του ευρώ</w:t>
      </w:r>
      <w:r w:rsidR="001163F2">
        <w:t xml:space="preserve"> έναντι του δολαρίου</w:t>
      </w:r>
      <w:r w:rsidR="00C55A0F">
        <w:t xml:space="preserve"> κατά 4</w:t>
      </w:r>
      <w:r w:rsidRPr="000C2027">
        <w:t>% μειώνοντας έτσι την ανταγωνιστικότητα των ευρωπαϊκών προϊόντων έναντι των αμερ</w:t>
      </w:r>
      <w:r w:rsidR="00BE5238">
        <w:t>ικανικών</w:t>
      </w:r>
      <w:r w:rsidRPr="000C2027">
        <w:t>.</w:t>
      </w:r>
      <w:r w:rsidR="00C55A0F">
        <w:t xml:space="preserve"> Συχνά στην βιβλιογραφία η πραγματική συναλλαγματική ισοτιμία χρησιμοποιείται και σαν ένας </w:t>
      </w:r>
      <w:r w:rsidR="008A4AD6">
        <w:t>δείκτης απόκλισης από την ισοδ</w:t>
      </w:r>
      <w:r w:rsidR="00C55A0F">
        <w:t>υναμία αγοραστικής δύναμης</w:t>
      </w:r>
      <w:r w:rsidR="008A4AD6">
        <w:t xml:space="preserve">. </w:t>
      </w:r>
    </w:p>
    <w:p w:rsidR="002650E9" w:rsidRDefault="002650E9" w:rsidP="0058071D">
      <w:pPr>
        <w:spacing w:line="360" w:lineRule="auto"/>
        <w:ind w:firstLine="720"/>
        <w:contextualSpacing/>
        <w:jc w:val="both"/>
        <w:rPr>
          <w:lang w:val="en-US"/>
        </w:rPr>
      </w:pPr>
      <w:r>
        <w:t xml:space="preserve">Ένας άλλος δείκτης </w:t>
      </w:r>
      <w:r w:rsidRPr="002650E9">
        <w:t>ο οποίος μετράει την ανταγωνιστικότητα των προϊόντων μιας χώρας έναντι των κ</w:t>
      </w:r>
      <w:r>
        <w:t>υριοτέρων εμπορικών της εταίρων είναι η</w:t>
      </w:r>
      <w:r w:rsidRPr="002650E9">
        <w:t xml:space="preserve"> πραγματική σταθμισμένη συναλλαγματική ισοτιμία (</w:t>
      </w:r>
      <w:proofErr w:type="spellStart"/>
      <w:r w:rsidRPr="002650E9">
        <w:t>real</w:t>
      </w:r>
      <w:proofErr w:type="spellEnd"/>
      <w:r w:rsidRPr="002650E9">
        <w:t xml:space="preserve"> </w:t>
      </w:r>
      <w:proofErr w:type="spellStart"/>
      <w:r w:rsidRPr="002650E9">
        <w:t>effective</w:t>
      </w:r>
      <w:proofErr w:type="spellEnd"/>
      <w:r w:rsidRPr="002650E9">
        <w:t xml:space="preserve"> </w:t>
      </w:r>
      <w:proofErr w:type="spellStart"/>
      <w:r w:rsidRPr="002650E9">
        <w:t>e</w:t>
      </w:r>
      <w:r>
        <w:t>xchange</w:t>
      </w:r>
      <w:proofErr w:type="spellEnd"/>
      <w:r>
        <w:t xml:space="preserve"> </w:t>
      </w:r>
      <w:proofErr w:type="spellStart"/>
      <w:r>
        <w:t>rate</w:t>
      </w:r>
      <w:proofErr w:type="spellEnd"/>
      <w:r w:rsidR="00D1454A" w:rsidRPr="00D1454A">
        <w:t xml:space="preserve">, </w:t>
      </w:r>
      <w:r w:rsidR="00D1454A">
        <w:rPr>
          <w:lang w:val="en-US"/>
        </w:rPr>
        <w:t>REER</w:t>
      </w:r>
      <w:r>
        <w:t>). Για να μπορέσουμε να αναδείξουμε την σημασία του θα πρέπει να εξηγήσουμε την έννοια της ονομαστικής σταθμισμένης ισοτιμίας</w:t>
      </w:r>
      <w:r w:rsidRPr="002650E9">
        <w:t xml:space="preserve"> (</w:t>
      </w:r>
      <w:proofErr w:type="spellStart"/>
      <w:r w:rsidRPr="002650E9">
        <w:t>nominal</w:t>
      </w:r>
      <w:proofErr w:type="spellEnd"/>
      <w:r w:rsidRPr="002650E9">
        <w:t xml:space="preserve"> </w:t>
      </w:r>
      <w:proofErr w:type="spellStart"/>
      <w:r w:rsidRPr="002650E9">
        <w:t>effective</w:t>
      </w:r>
      <w:proofErr w:type="spellEnd"/>
      <w:r w:rsidRPr="002650E9">
        <w:t xml:space="preserve"> </w:t>
      </w:r>
      <w:proofErr w:type="spellStart"/>
      <w:r w:rsidRPr="002650E9">
        <w:t>exchange</w:t>
      </w:r>
      <w:proofErr w:type="spellEnd"/>
      <w:r w:rsidRPr="002650E9">
        <w:t xml:space="preserve"> </w:t>
      </w:r>
      <w:proofErr w:type="spellStart"/>
      <w:r w:rsidRPr="002650E9">
        <w:t>rate</w:t>
      </w:r>
      <w:proofErr w:type="spellEnd"/>
      <w:r w:rsidR="00D1454A" w:rsidRPr="00D1454A">
        <w:t xml:space="preserve">, </w:t>
      </w:r>
      <w:r w:rsidR="00D1454A">
        <w:rPr>
          <w:lang w:val="en-US"/>
        </w:rPr>
        <w:t>NEER</w:t>
      </w:r>
      <w:r w:rsidRPr="002650E9">
        <w:t>)</w:t>
      </w:r>
      <w:r>
        <w:t xml:space="preserve">. Πρόκειται για </w:t>
      </w:r>
      <w:r w:rsidRPr="002650E9">
        <w:t xml:space="preserve"> </w:t>
      </w:r>
      <w:r>
        <w:t>ένα δείκτη</w:t>
      </w:r>
      <w:r w:rsidRPr="002650E9">
        <w:t xml:space="preserve"> που μετράει την εξωτερική αξία του νομίσματος μιας χώρας έναντι των νομισμάτων των κυριοτέρων εμπορικών της εταίρων</w:t>
      </w:r>
      <w:r w:rsidR="00B2674C">
        <w:t xml:space="preserve"> σε αντίθεση με τις διμερείς συναλλαγματικές ισοτιμίες</w:t>
      </w:r>
      <w:r w:rsidRPr="002650E9">
        <w:t xml:space="preserve">. Υπολογίζεται μέσω της ακόλουθης σχέσης: </w:t>
      </w:r>
    </w:p>
    <w:p w:rsidR="002650E9" w:rsidRDefault="00B2674C" w:rsidP="00B2674C">
      <w:pPr>
        <w:spacing w:line="360" w:lineRule="auto"/>
        <w:contextualSpacing/>
        <w:jc w:val="both"/>
      </w:pPr>
      <m:oMathPara>
        <m:oMath>
          <m:r>
            <w:rPr>
              <w:rFonts w:ascii="Cambria Math" w:hAnsi="Cambria Math"/>
              <w:lang w:val="en-US"/>
            </w:rPr>
            <m:t>NEER</m:t>
          </m:r>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rPr>
                <m:t>=1</m:t>
              </m:r>
            </m:sub>
            <m:sup>
              <m:r>
                <w:rPr>
                  <w:rFonts w:ascii="Cambria Math" w:hAnsi="Cambria Math"/>
                  <w:lang w:val="en-US"/>
                </w:rPr>
                <m:t>m</m:t>
              </m:r>
            </m:sup>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j</m:t>
                  </m:r>
                </m:sub>
                <m:sup>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m:t>
                      </m:r>
                    </m:sub>
                  </m:sSub>
                </m:sup>
              </m:sSubSup>
            </m:e>
          </m:nary>
        </m:oMath>
      </m:oMathPara>
    </w:p>
    <w:p w:rsidR="002650E9" w:rsidRPr="002650E9" w:rsidRDefault="00B2674C" w:rsidP="002650E9">
      <w:pPr>
        <w:spacing w:line="360" w:lineRule="auto"/>
        <w:contextualSpacing/>
        <w:jc w:val="both"/>
      </w:pPr>
      <w:r>
        <w:t xml:space="preserve">Όπου </w:t>
      </w:r>
      <w:r>
        <w:rPr>
          <w:lang w:val="en-US"/>
        </w:rPr>
        <w:t>m</w:t>
      </w:r>
      <w:r w:rsidR="002650E9" w:rsidRPr="002650E9">
        <w:t xml:space="preserve"> είναι ο αριθμός των εμπορικών εταίρων, α είναι η συναλλαγματική ισοτιμία του εγχώριου νομίσματος ως προς το νόμισμα της χώρας j και </w:t>
      </w:r>
      <w:proofErr w:type="spellStart"/>
      <w:r w:rsidR="002650E9" w:rsidRPr="002650E9">
        <w:t>w</w:t>
      </w:r>
      <w:r w:rsidR="002650E9" w:rsidRPr="00B2674C">
        <w:rPr>
          <w:vertAlign w:val="subscript"/>
        </w:rPr>
        <w:t>j</w:t>
      </w:r>
      <w:proofErr w:type="spellEnd"/>
      <w:r w:rsidR="002650E9" w:rsidRPr="00B2674C">
        <w:rPr>
          <w:vertAlign w:val="subscript"/>
        </w:rPr>
        <w:t xml:space="preserve"> </w:t>
      </w:r>
      <w:r w:rsidR="002650E9" w:rsidRPr="002650E9">
        <w:t>είναι η στάθμιση (w) της χώρας (j) στο δείκτη NEER</w:t>
      </w:r>
      <w:r w:rsidRPr="00B2674C">
        <w:t xml:space="preserve"> </w:t>
      </w:r>
      <w:r w:rsidR="00CD0F9F">
        <w:t>και</w:t>
      </w:r>
      <w:r>
        <w:t xml:space="preserve"> βασίζεται στις διμερείς εμπορικές σχέσεις τους</w:t>
      </w:r>
      <w:r w:rsidR="002650E9" w:rsidRPr="002650E9">
        <w:t xml:space="preserve">. </w:t>
      </w:r>
    </w:p>
    <w:p w:rsidR="002650E9" w:rsidRPr="002650E9" w:rsidRDefault="00B2674C" w:rsidP="0058071D">
      <w:pPr>
        <w:spacing w:line="360" w:lineRule="auto"/>
        <w:ind w:firstLine="720"/>
        <w:contextualSpacing/>
        <w:jc w:val="both"/>
      </w:pPr>
      <w:r>
        <w:t>Στην περίπτωση τέλος της πραγματικής σταθμισμένης ισοτιμίας</w:t>
      </w:r>
      <w:r w:rsidR="00BE5238" w:rsidRPr="00BE5238">
        <w:t xml:space="preserve"> (</w:t>
      </w:r>
      <w:r w:rsidR="00BE5238">
        <w:rPr>
          <w:lang w:val="en-US"/>
        </w:rPr>
        <w:t>Real</w:t>
      </w:r>
      <w:r w:rsidR="00BE5238" w:rsidRPr="00BE5238">
        <w:t xml:space="preserve"> </w:t>
      </w:r>
      <w:r w:rsidR="00BE5238">
        <w:rPr>
          <w:lang w:val="en-US"/>
        </w:rPr>
        <w:t>Effective</w:t>
      </w:r>
      <w:r w:rsidR="00BE5238" w:rsidRPr="00BE5238">
        <w:t xml:space="preserve"> </w:t>
      </w:r>
      <w:r w:rsidR="00BE5238">
        <w:rPr>
          <w:lang w:val="en-US"/>
        </w:rPr>
        <w:t>Exchange</w:t>
      </w:r>
      <w:r w:rsidR="00BE5238" w:rsidRPr="00BE5238">
        <w:t xml:space="preserve"> </w:t>
      </w:r>
      <w:r w:rsidR="00BE5238">
        <w:rPr>
          <w:lang w:val="en-US"/>
        </w:rPr>
        <w:t>Rate</w:t>
      </w:r>
      <w:r w:rsidR="00BE5238" w:rsidRPr="00BE5238">
        <w:t xml:space="preserve">, </w:t>
      </w:r>
      <w:r w:rsidR="00BE5238">
        <w:rPr>
          <w:lang w:val="en-US"/>
        </w:rPr>
        <w:t>REER</w:t>
      </w:r>
      <w:r w:rsidR="00BE5238" w:rsidRPr="00BE5238">
        <w:t>)</w:t>
      </w:r>
      <w:r w:rsidR="002650E9" w:rsidRPr="002650E9">
        <w:t>, ο δείκτης αυτός προσαρμόζει τον</w:t>
      </w:r>
      <w:r>
        <w:t xml:space="preserve"> δείκτη</w:t>
      </w:r>
      <w:r w:rsidR="002650E9" w:rsidRPr="002650E9">
        <w:t xml:space="preserve"> </w:t>
      </w:r>
      <w:r>
        <w:t>ονομαστικής σταθμισμένης ισοτιμίας (</w:t>
      </w:r>
      <w:r w:rsidR="002650E9" w:rsidRPr="002650E9">
        <w:t>NEER</w:t>
      </w:r>
      <w:r>
        <w:t>)</w:t>
      </w:r>
      <w:r w:rsidR="002650E9" w:rsidRPr="002650E9">
        <w:t xml:space="preserve"> ως προς τα </w:t>
      </w:r>
      <w:r w:rsidR="00CD0F9F">
        <w:t xml:space="preserve">σχετικά </w:t>
      </w:r>
      <w:r w:rsidR="002650E9" w:rsidRPr="002650E9">
        <w:t xml:space="preserve">επίπεδα τιμών της ημεδαπής και των εμπορικών της εταίρων: </w:t>
      </w:r>
    </w:p>
    <w:p w:rsidR="00B2674C" w:rsidRPr="00B2674C" w:rsidRDefault="00BE5238" w:rsidP="00B2674C">
      <w:pPr>
        <w:spacing w:line="360" w:lineRule="auto"/>
        <w:contextualSpacing/>
        <w:jc w:val="both"/>
        <w:rPr>
          <w:lang w:val="en-US"/>
        </w:rPr>
      </w:pPr>
      <m:oMathPara>
        <m:oMath>
          <m:r>
            <w:rPr>
              <w:rFonts w:ascii="Cambria Math" w:hAnsi="Cambria Math"/>
              <w:lang w:val="en-US"/>
            </w:rPr>
            <w:lastRenderedPageBreak/>
            <m:t>REER=</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m</m:t>
              </m:r>
            </m:sup>
            <m:e>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j</m:t>
                      </m:r>
                    </m:sub>
                    <m:sup>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m:t>
                          </m:r>
                        </m:sub>
                      </m:s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P</m:t>
                      </m:r>
                    </m:num>
                    <m:den>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j</m:t>
                          </m:r>
                        </m:sup>
                      </m:sSup>
                    </m:den>
                  </m:f>
                </m:e>
              </m:d>
            </m:e>
          </m:nary>
        </m:oMath>
      </m:oMathPara>
    </w:p>
    <w:p w:rsidR="008A4AD6" w:rsidRPr="008A4AD6" w:rsidRDefault="008A4AD6" w:rsidP="008A4AD6">
      <w:pPr>
        <w:spacing w:line="360" w:lineRule="auto"/>
        <w:contextualSpacing/>
        <w:jc w:val="both"/>
      </w:pPr>
    </w:p>
    <w:p w:rsidR="009F6F3B" w:rsidRDefault="005D5CC5" w:rsidP="009F6F3B">
      <w:pPr>
        <w:pStyle w:val="2"/>
        <w:spacing w:before="0" w:after="0" w:line="360" w:lineRule="auto"/>
        <w:jc w:val="both"/>
        <w:rPr>
          <w:rFonts w:ascii="Times New Roman" w:hAnsi="Times New Roman" w:cs="Times New Roman"/>
          <w:i w:val="0"/>
        </w:rPr>
      </w:pPr>
      <w:bookmarkStart w:id="34" w:name="_Toc395803102"/>
      <w:bookmarkStart w:id="35" w:name="_Toc396220911"/>
      <w:r>
        <w:rPr>
          <w:rFonts w:ascii="Times New Roman" w:hAnsi="Times New Roman" w:cs="Times New Roman"/>
          <w:i w:val="0"/>
        </w:rPr>
        <w:t xml:space="preserve">7.5 </w:t>
      </w:r>
      <w:r w:rsidR="00A129BE">
        <w:rPr>
          <w:rFonts w:ascii="Times New Roman" w:hAnsi="Times New Roman" w:cs="Times New Roman"/>
          <w:i w:val="0"/>
        </w:rPr>
        <w:t xml:space="preserve">Υποδείγματα </w:t>
      </w:r>
      <w:r w:rsidR="009F6F3B" w:rsidRPr="009F6F3B">
        <w:rPr>
          <w:rFonts w:ascii="Times New Roman" w:hAnsi="Times New Roman" w:cs="Times New Roman"/>
          <w:i w:val="0"/>
        </w:rPr>
        <w:t>καθορισμού συναλλαγματικών ισοτιμιών</w:t>
      </w:r>
      <w:bookmarkEnd w:id="34"/>
      <w:bookmarkEnd w:id="35"/>
    </w:p>
    <w:p w:rsidR="008B08B0" w:rsidRDefault="002322C4" w:rsidP="008B08B0">
      <w:pPr>
        <w:spacing w:line="360" w:lineRule="auto"/>
        <w:ind w:firstLine="720"/>
        <w:contextualSpacing/>
        <w:jc w:val="both"/>
      </w:pPr>
      <w:r w:rsidRPr="00791E76">
        <w:t xml:space="preserve">Όλες οι θεωρίες των συναλλαγματικών ισοτιμιών που εμφανίστηκαν στην δεκαετία 1970-1980 βασίστηκαν στην παραδοχή ότι οι αγορές συναλλάγματος μπορούν να </w:t>
      </w:r>
      <w:proofErr w:type="spellStart"/>
      <w:r w:rsidRPr="00791E76">
        <w:t>υποδειγματοποιηθούν</w:t>
      </w:r>
      <w:proofErr w:type="spellEnd"/>
      <w:r w:rsidRPr="00791E76">
        <w:t xml:space="preserve"> όπως όλες οι αγορές αξιόγραφων (</w:t>
      </w:r>
      <w:r w:rsidR="008B08B0">
        <w:t xml:space="preserve">π.χ. </w:t>
      </w:r>
      <w:r w:rsidRPr="00791E76">
        <w:t xml:space="preserve">μετοχών, ομολογιών). Τα νομισματικά μοντέλα εξηγούν τις κινήσεις των συναλλαγματικών ισοτιμιών σε όρους ροών ζήτησης και προσφοράς των ξένων νομισματικών </w:t>
      </w:r>
      <w:r w:rsidR="008B08B0">
        <w:t>μονάδων.</w:t>
      </w:r>
      <w:r w:rsidRPr="00791E76">
        <w:t xml:space="preserve"> Η ισορροπία στην αγορά επιτυγχάνεται όταν η πλεονάζουσα ζήτηση του λογαριασμού τρεχουσών συναλλαγών για ξένο συνάλλαγμα είναι ίση με την πλεονάζουσα προσφορά του λογαριασμού κεφαλαίων. Με άλλα λόγια η ισορροπία επιτυγχάνεται όταν το έλλειμμα (πλεόνασμα) του ισοζυγίου </w:t>
      </w:r>
      <w:r w:rsidR="00CD0F9F">
        <w:t>τρεχουσών συναλλαγών</w:t>
      </w:r>
      <w:r w:rsidRPr="00791E76">
        <w:t xml:space="preserve"> </w:t>
      </w:r>
      <w:proofErr w:type="spellStart"/>
      <w:r w:rsidRPr="00791E76">
        <w:t>ταιριάζεται</w:t>
      </w:r>
      <w:proofErr w:type="spellEnd"/>
      <w:r w:rsidRPr="00791E76">
        <w:t xml:space="preserve"> με την εισροή (εκροή) κεφαλαίων (</w:t>
      </w:r>
      <w:proofErr w:type="spellStart"/>
      <w:r w:rsidRPr="00791E76">
        <w:t>Παπασυριόπουλος</w:t>
      </w:r>
      <w:proofErr w:type="spellEnd"/>
      <w:r w:rsidRPr="00791E76">
        <w:t>, 2000).</w:t>
      </w:r>
      <w:r w:rsidR="008B08B0">
        <w:t xml:space="preserve"> </w:t>
      </w:r>
      <w:r w:rsidRPr="00791E76">
        <w:t>Γενικά, σύμφωνα με το νομισματικό υπόδειγμα, η συναλλαγματική ισοτιμία μεταξύ δύο χωρών η οποία προσδιορίζεται στις αγορές κεφαλαίων αντικατοπτρίζει την σχετική</w:t>
      </w:r>
      <w:r w:rsidR="008B08B0">
        <w:t xml:space="preserve"> ζήτηση για τα εθνικά νομίσματα</w:t>
      </w:r>
      <w:r w:rsidRPr="00791E76">
        <w:t>.</w:t>
      </w:r>
    </w:p>
    <w:p w:rsidR="008B08B0" w:rsidRDefault="002322C4" w:rsidP="008B08B0">
      <w:pPr>
        <w:spacing w:line="360" w:lineRule="auto"/>
        <w:ind w:firstLine="720"/>
        <w:contextualSpacing/>
        <w:jc w:val="both"/>
      </w:pPr>
      <w:r w:rsidRPr="00791E76">
        <w:t xml:space="preserve">Πιο αναλυτικά, μπορούμε να διακρίνουμε τρεις εκδόσεις του νομισματικού υποδείγματος. Η πρώτη υποθέτει εύκαμπτες τιμές, και η εκκαθάριση των αγορών προϊόντος είναι σχεδόν στιγμιαία. Αυτή η προσέγγιση καλείται νομισματικό υπόδειγμα εύκαμπτων τιμών και αναπτύχθηκε από τους </w:t>
      </w:r>
      <w:proofErr w:type="spellStart"/>
      <w:r w:rsidRPr="002322C4">
        <w:t>Bilson</w:t>
      </w:r>
      <w:proofErr w:type="spellEnd"/>
      <w:r w:rsidRPr="00791E76">
        <w:t xml:space="preserve"> (1978) και </w:t>
      </w:r>
      <w:proofErr w:type="spellStart"/>
      <w:r w:rsidRPr="002322C4">
        <w:t>Frenkel</w:t>
      </w:r>
      <w:proofErr w:type="spellEnd"/>
      <w:r w:rsidR="008B08B0">
        <w:t xml:space="preserve"> (1981). </w:t>
      </w:r>
      <w:r w:rsidRPr="00791E76">
        <w:t xml:space="preserve">Κάτω από ένα σύστημα </w:t>
      </w:r>
      <w:proofErr w:type="spellStart"/>
      <w:r w:rsidRPr="00791E76">
        <w:t>κυμανόμενων</w:t>
      </w:r>
      <w:proofErr w:type="spellEnd"/>
      <w:r w:rsidRPr="00791E76">
        <w:t xml:space="preserve"> συναλλαγματικών ισοτιμιών, το υπόδειγμα των εύκαμπτων τιμών παρουσίασε μια συνέπεια σε καταστάσεις υψηλού πληθωρισμού και υπερπληθωρισμού στην Ιταλία, την Αγγλία, τη Γερμανία, την Ιαπωνία στα μισά του 1970 και ορισμένες χώρες τις Λατινικής Αμερικής στις </w:t>
      </w:r>
      <w:proofErr w:type="spellStart"/>
      <w:r w:rsidRPr="00791E76">
        <w:t>δεκαετιές</w:t>
      </w:r>
      <w:proofErr w:type="spellEnd"/>
      <w:r w:rsidRPr="00791E76">
        <w:t xml:space="preserve"> 1970 και 1980. Δυστυχώς όμως απέτυχε να εξηγήσει τις μεγάλες κινήσεις των συναλλαγματικών ισοτιμιών μετά τα μισά του 1970 και στις αρχές του 1980 για μια σειρά από χώρες, όπως, η Αγγλία, η Ολλανδία και η Ιταλία (</w:t>
      </w:r>
      <w:proofErr w:type="spellStart"/>
      <w:r w:rsidRPr="002322C4">
        <w:t>Cuthbertson</w:t>
      </w:r>
      <w:proofErr w:type="spellEnd"/>
      <w:r w:rsidR="008B08B0">
        <w:t>, 1996).</w:t>
      </w:r>
    </w:p>
    <w:p w:rsidR="008B08B0" w:rsidRDefault="002322C4" w:rsidP="008B08B0">
      <w:pPr>
        <w:spacing w:line="360" w:lineRule="auto"/>
        <w:ind w:firstLine="720"/>
        <w:contextualSpacing/>
        <w:jc w:val="both"/>
      </w:pPr>
      <w:r w:rsidRPr="00791E76">
        <w:t xml:space="preserve">Η δεύτερη έκδοση του νομισματικού υποδείγματος, καλείται νομισματικό υπόδειγμα των άκαμπτων τιμών, αναπτύχθηκε από τον </w:t>
      </w:r>
      <w:proofErr w:type="spellStart"/>
      <w:r w:rsidRPr="002322C4">
        <w:t>Dornbusch</w:t>
      </w:r>
      <w:proofErr w:type="spellEnd"/>
      <w:r w:rsidRPr="00791E76">
        <w:t xml:space="preserve"> (1976) και οι τιμές της αγοράς προϊόντων προσαρμόζονται με αργό τρόπο στην κατάσταση μη-ισορροπίας που έχει προέλθει από τις πλεονάζουσες αυξήσεις ή μειώσεις στην </w:t>
      </w:r>
      <w:r w:rsidRPr="00791E76">
        <w:lastRenderedPageBreak/>
        <w:t>προσφορά χρήματος. Σύμφωνα με το υπόδειγμα αυτό, οι τροποποιήσεις της συναλλαγματικής ισοτιμίας κυβερνώνται βραχυχρονίως από την ισοδυναμία επιτοκίων και μακροπροθέσμως από την ισοδυναμία αγοραστικής δύναμης. Οι προσδοκίες των συναλλαγματικών ισοτιμιών παρουσιάζουν ιδιαίτερο ενδιαφέρον.</w:t>
      </w:r>
    </w:p>
    <w:p w:rsidR="008B08B0" w:rsidRDefault="008B08B0" w:rsidP="008B08B0">
      <w:pPr>
        <w:spacing w:line="360" w:lineRule="auto"/>
        <w:ind w:firstLine="720"/>
        <w:contextualSpacing/>
        <w:jc w:val="both"/>
      </w:pPr>
      <w:r>
        <w:t>Στην τρίτη έκδοση του ο</w:t>
      </w:r>
      <w:r w:rsidR="002322C4" w:rsidRPr="00791E76">
        <w:t xml:space="preserve"> </w:t>
      </w:r>
      <w:proofErr w:type="spellStart"/>
      <w:r w:rsidR="002322C4" w:rsidRPr="002322C4">
        <w:t>Frankel</w:t>
      </w:r>
      <w:proofErr w:type="spellEnd"/>
      <w:r w:rsidR="002322C4" w:rsidRPr="00791E76">
        <w:t xml:space="preserve"> (1979) παρουσίασε το λεγόμενο υπόδειγμα διαφοράς πραγματικών επιτοκίων και το οποίο αναλύει ιδιαίτερα την επίδραση της διαφοράς των επιτοκίων στο προσδιορισμό της συναλλαγματικής ισοτιμίας. Χαρακτηριστικ</w:t>
      </w:r>
      <w:r w:rsidR="004B57D7">
        <w:t>ό στοιχείο του υποδείγματος αυτού</w:t>
      </w:r>
      <w:r w:rsidR="002322C4" w:rsidRPr="00791E76">
        <w:t xml:space="preserve"> είναι η διάκριση μεταξύ πραγματικού και ονομαστικού επιτοκίου.</w:t>
      </w:r>
    </w:p>
    <w:p w:rsidR="008B08B0" w:rsidRDefault="002322C4" w:rsidP="008B08B0">
      <w:pPr>
        <w:spacing w:line="360" w:lineRule="auto"/>
        <w:ind w:firstLine="720"/>
        <w:contextualSpacing/>
        <w:jc w:val="both"/>
      </w:pPr>
      <w:r w:rsidRPr="00791E76">
        <w:t xml:space="preserve">Τέλος, μια τέταρτη έκδοση του νομισματικού υποδείγματος αναπτύχθηκε από τους </w:t>
      </w:r>
      <w:proofErr w:type="spellStart"/>
      <w:r w:rsidRPr="002322C4">
        <w:t>Branson</w:t>
      </w:r>
      <w:proofErr w:type="spellEnd"/>
      <w:r w:rsidR="00F6218F" w:rsidRPr="00F6218F">
        <w:t xml:space="preserve"> </w:t>
      </w:r>
      <w:r w:rsidR="00F6218F">
        <w:rPr>
          <w:lang w:val="en-US"/>
        </w:rPr>
        <w:t>et</w:t>
      </w:r>
      <w:r w:rsidR="00F6218F" w:rsidRPr="00F6218F">
        <w:t xml:space="preserve"> </w:t>
      </w:r>
      <w:r w:rsidR="00F6218F">
        <w:rPr>
          <w:lang w:val="en-US"/>
        </w:rPr>
        <w:t>al</w:t>
      </w:r>
      <w:r w:rsidR="00F6218F" w:rsidRPr="00F6218F">
        <w:t>.</w:t>
      </w:r>
      <w:r w:rsidRPr="00791E76">
        <w:t xml:space="preserve"> (1977),</w:t>
      </w:r>
      <w:r w:rsidRPr="002322C4">
        <w:t xml:space="preserve"> </w:t>
      </w:r>
      <w:proofErr w:type="spellStart"/>
      <w:r w:rsidRPr="002322C4">
        <w:t>Dornbusch</w:t>
      </w:r>
      <w:proofErr w:type="spellEnd"/>
      <w:r w:rsidRPr="00791E76">
        <w:t xml:space="preserve"> και </w:t>
      </w:r>
      <w:proofErr w:type="spellStart"/>
      <w:r w:rsidRPr="002322C4">
        <w:t>Fischer</w:t>
      </w:r>
      <w:proofErr w:type="spellEnd"/>
      <w:r w:rsidRPr="00791E76">
        <w:t xml:space="preserve"> (1980), και ονομάζεται μοντέλο χαρτοφυλακίου. Σύμφωνα με το μοντέλο αυτό η συναλλαγματική ισοτιμία αλλάζει αντιδρώντας στις σχετικές προσφορές χρήματος και ομολογιών, </w:t>
      </w:r>
      <w:proofErr w:type="spellStart"/>
      <w:r w:rsidRPr="00791E76">
        <w:t>εγχωρίως</w:t>
      </w:r>
      <w:proofErr w:type="spellEnd"/>
      <w:r w:rsidRPr="00791E76">
        <w:t xml:space="preserve"> και στο εξωτερικό. Η χρηματαγορά είναι σημαντική για τα επιτόκια και το πληθωρισμό και η αγορά ομολόγων σημαντική για τις κεφαλαιουχικές ροές.</w:t>
      </w:r>
      <w:r w:rsidR="008B08B0">
        <w:t xml:space="preserve"> </w:t>
      </w:r>
    </w:p>
    <w:p w:rsidR="002322C4" w:rsidRPr="00791E76" w:rsidRDefault="008B08B0" w:rsidP="008B08B0">
      <w:pPr>
        <w:spacing w:line="360" w:lineRule="auto"/>
        <w:ind w:firstLine="720"/>
        <w:contextualSpacing/>
        <w:jc w:val="both"/>
      </w:pPr>
      <w:r>
        <w:t xml:space="preserve">Στην συνέχεια του κεφαλαίου θα αναπτύξουμε τις βασικές </w:t>
      </w:r>
      <w:proofErr w:type="spellStart"/>
      <w:r>
        <w:t>θεσεις</w:t>
      </w:r>
      <w:proofErr w:type="spellEnd"/>
      <w:r>
        <w:t xml:space="preserve"> αυτών των υποδειγμάτων προσδιορισμού των συναλλαγματικών </w:t>
      </w:r>
      <w:proofErr w:type="spellStart"/>
      <w:r>
        <w:t>ισοτιμίων</w:t>
      </w:r>
      <w:proofErr w:type="spellEnd"/>
      <w:r>
        <w:t>.</w:t>
      </w:r>
    </w:p>
    <w:p w:rsidR="00C27081" w:rsidRPr="00C27081" w:rsidRDefault="00C27081" w:rsidP="00C27081">
      <w:pPr>
        <w:spacing w:line="360" w:lineRule="auto"/>
        <w:contextualSpacing/>
        <w:jc w:val="both"/>
      </w:pPr>
    </w:p>
    <w:p w:rsidR="005D5CC5" w:rsidRDefault="005D5CC5" w:rsidP="005D5CC5">
      <w:pPr>
        <w:pStyle w:val="2"/>
        <w:spacing w:before="0" w:after="0" w:line="360" w:lineRule="auto"/>
        <w:jc w:val="both"/>
        <w:rPr>
          <w:rFonts w:ascii="Times New Roman" w:hAnsi="Times New Roman" w:cs="Times New Roman"/>
          <w:i w:val="0"/>
          <w:sz w:val="24"/>
          <w:szCs w:val="24"/>
        </w:rPr>
      </w:pPr>
      <w:bookmarkStart w:id="36" w:name="_Toc395803103"/>
      <w:bookmarkStart w:id="37" w:name="_Toc396220912"/>
      <w:r>
        <w:rPr>
          <w:rFonts w:ascii="Times New Roman" w:hAnsi="Times New Roman" w:cs="Times New Roman"/>
          <w:i w:val="0"/>
          <w:sz w:val="24"/>
          <w:szCs w:val="24"/>
        </w:rPr>
        <w:t>7.5</w:t>
      </w:r>
      <w:r w:rsidRPr="00580915">
        <w:rPr>
          <w:rFonts w:ascii="Times New Roman" w:hAnsi="Times New Roman" w:cs="Times New Roman"/>
          <w:i w:val="0"/>
          <w:sz w:val="24"/>
          <w:szCs w:val="24"/>
        </w:rPr>
        <w:t xml:space="preserve">.1 </w:t>
      </w:r>
      <w:r>
        <w:rPr>
          <w:rFonts w:ascii="Times New Roman" w:hAnsi="Times New Roman" w:cs="Times New Roman"/>
          <w:i w:val="0"/>
          <w:sz w:val="24"/>
          <w:szCs w:val="24"/>
        </w:rPr>
        <w:t>Το νομισματικό υπόδειγμα εύκαμπτων τιμών</w:t>
      </w:r>
      <w:bookmarkEnd w:id="36"/>
      <w:bookmarkEnd w:id="37"/>
      <w:r>
        <w:rPr>
          <w:rFonts w:ascii="Times New Roman" w:hAnsi="Times New Roman" w:cs="Times New Roman"/>
          <w:i w:val="0"/>
          <w:sz w:val="24"/>
          <w:szCs w:val="24"/>
        </w:rPr>
        <w:t xml:space="preserve"> </w:t>
      </w:r>
    </w:p>
    <w:p w:rsidR="00B77653" w:rsidRDefault="004B57D7" w:rsidP="00D8205F">
      <w:pPr>
        <w:spacing w:line="360" w:lineRule="auto"/>
        <w:ind w:firstLine="720"/>
        <w:jc w:val="both"/>
      </w:pPr>
      <w:r>
        <w:t xml:space="preserve">Αυτό το </w:t>
      </w:r>
      <w:r w:rsidR="00B77653" w:rsidRPr="00B77653">
        <w:t xml:space="preserve">υπόδειγμα καθορισμού των συναλλαγματικών ισοτιμιών </w:t>
      </w:r>
      <w:r w:rsidR="00B77653">
        <w:t>αναπτύχθηκε στο δεύ</w:t>
      </w:r>
      <w:r w:rsidR="00521EF7">
        <w:t>τ</w:t>
      </w:r>
      <w:r w:rsidR="00B77653">
        <w:t>ε</w:t>
      </w:r>
      <w:r w:rsidR="00521EF7">
        <w:t xml:space="preserve">ρο μισό της δεκαετίας του 1970 </w:t>
      </w:r>
      <w:r w:rsidR="00B77653" w:rsidRPr="00B77653">
        <w:t xml:space="preserve">από τους </w:t>
      </w:r>
      <w:proofErr w:type="spellStart"/>
      <w:r w:rsidR="00B77653" w:rsidRPr="00B77653">
        <w:t>Frenkel</w:t>
      </w:r>
      <w:proofErr w:type="spellEnd"/>
      <w:r w:rsidR="00B77653" w:rsidRPr="00B77653">
        <w:t xml:space="preserve"> (1976), </w:t>
      </w:r>
      <w:proofErr w:type="spellStart"/>
      <w:r w:rsidR="00B77653" w:rsidRPr="00B77653">
        <w:t>Kouri</w:t>
      </w:r>
      <w:proofErr w:type="spellEnd"/>
      <w:r w:rsidR="00B77653" w:rsidRPr="00B77653">
        <w:t xml:space="preserve"> (1976) και </w:t>
      </w:r>
      <w:proofErr w:type="spellStart"/>
      <w:r w:rsidR="00B77653" w:rsidRPr="00B77653">
        <w:t>Mussa</w:t>
      </w:r>
      <w:proofErr w:type="spellEnd"/>
      <w:r w:rsidR="00B77653" w:rsidRPr="00B77653">
        <w:t xml:space="preserve"> (1976, 1979).</w:t>
      </w:r>
      <w:r w:rsidR="00B77653">
        <w:t xml:space="preserve"> Μελετάει τους προσδιοριστικούς παράγοντες της διμερούς συναλλαγματικής ισοτιμίας δύο χ</w:t>
      </w:r>
      <w:r w:rsidR="00521EF7">
        <w:t>ωρών, της ημεδαπής και της αλλοδαπής</w:t>
      </w:r>
      <w:r w:rsidR="00B77653">
        <w:t>.</w:t>
      </w:r>
      <w:r w:rsidR="00B77653" w:rsidRPr="00B77653">
        <w:t xml:space="preserve"> </w:t>
      </w:r>
      <w:r w:rsidR="00B77653">
        <w:t xml:space="preserve">Βασίζεται σε δυο σημαντικές υποθέσεις. Πρώτον ότι η ΙΑΔ ισχύει στο </w:t>
      </w:r>
      <w:r w:rsidR="00521EF7">
        <w:t>διηνεκές</w:t>
      </w:r>
      <w:r w:rsidR="00B77653">
        <w:t>. Και δεύτερον, η ζήτηση χρήματος σε κάθε χώρα είναι μια θετική συνάρτηση του πραγματικού εισοδήματος (Υ) και αρνητική συνάρτηση του επιτοκίου των ομολόγων (</w:t>
      </w:r>
      <w:r w:rsidR="00A92034">
        <w:rPr>
          <w:lang w:val="en-US"/>
        </w:rPr>
        <w:t>R</w:t>
      </w:r>
      <w:r w:rsidR="00B77653">
        <w:t xml:space="preserve">). </w:t>
      </w:r>
      <w:r w:rsidR="00B77653" w:rsidRPr="00B77653">
        <w:t xml:space="preserve">Το επιτόκιο </w:t>
      </w:r>
      <w:r w:rsidR="00B77653">
        <w:t>των ομολόγων</w:t>
      </w:r>
      <w:r w:rsidR="00B77653" w:rsidRPr="00B77653">
        <w:t xml:space="preserve"> αντικατοπτρίζει το </w:t>
      </w:r>
      <w:r w:rsidR="00B77653" w:rsidRPr="00B77653">
        <w:rPr>
          <w:bCs/>
        </w:rPr>
        <w:t xml:space="preserve">κόστος ευκαιρίας </w:t>
      </w:r>
      <w:proofErr w:type="spellStart"/>
      <w:r w:rsidR="00B77653" w:rsidRPr="00B77653">
        <w:rPr>
          <w:bCs/>
        </w:rPr>
        <w:t>διακράτησης</w:t>
      </w:r>
      <w:proofErr w:type="spellEnd"/>
      <w:r w:rsidR="00B77653" w:rsidRPr="00B77653">
        <w:rPr>
          <w:bCs/>
        </w:rPr>
        <w:t xml:space="preserve"> του χρήματος </w:t>
      </w:r>
      <w:r w:rsidR="00B77653" w:rsidRPr="00B77653">
        <w:t xml:space="preserve">σε ρευστά διαθέσιμα. Με βάση </w:t>
      </w:r>
      <w:r w:rsidR="00B77653">
        <w:t>α</w:t>
      </w:r>
      <w:r>
        <w:t>υ</w:t>
      </w:r>
      <w:r w:rsidR="00B77653">
        <w:t>τές τις δύο υποθέσεις μπορούμε να γράψουμε αλγεβρικά την ΙΑΔ και την ισορροπία στην αγορά χρήματος</w:t>
      </w:r>
      <w:r w:rsidR="006017BA">
        <w:t xml:space="preserve"> σε κάθε χώρα</w:t>
      </w:r>
      <w:r w:rsidR="00B77653">
        <w:t xml:space="preserve"> ως ακολούθως:</w:t>
      </w:r>
    </w:p>
    <w:p w:rsidR="006017BA" w:rsidRPr="004266F7" w:rsidRDefault="006017BA" w:rsidP="00D8205F">
      <w:pPr>
        <w:spacing w:line="360" w:lineRule="auto"/>
        <w:ind w:firstLine="720"/>
        <w:contextualSpacing/>
        <w:jc w:val="both"/>
      </w:pPr>
      <w:r w:rsidRPr="00871C84">
        <w:rPr>
          <w:position w:val="-30"/>
        </w:rPr>
        <w:object w:dxaOrig="859" w:dyaOrig="700">
          <v:shape id="_x0000_i1079" type="#_x0000_t75" style="width:41.95pt;height:34.45pt" o:ole="" fillcolor="window">
            <v:imagedata r:id="rId92" o:title=""/>
          </v:shape>
          <o:OLEObject Type="Embed" ProgID="Equation.3" ShapeID="_x0000_i1079" DrawAspect="Content" ObjectID="_1475064892" r:id="rId130"/>
        </w:object>
      </w:r>
      <w:r>
        <w:t xml:space="preserve"> και σε λογαριθμική μορφή</w:t>
      </w:r>
      <w:r w:rsidRPr="007607B9">
        <w:rPr>
          <w:position w:val="-12"/>
        </w:rPr>
        <w:object w:dxaOrig="1860" w:dyaOrig="380">
          <v:shape id="_x0000_i1080" type="#_x0000_t75" style="width:94.55pt;height:19.4pt" o:ole="" fillcolor="window">
            <v:imagedata r:id="rId131" o:title=""/>
          </v:shape>
          <o:OLEObject Type="Embed" ProgID="Equation.3" ShapeID="_x0000_i1080" DrawAspect="Content" ObjectID="_1475064893" r:id="rId132"/>
        </w:object>
      </w:r>
      <w:r>
        <w:t xml:space="preserve">  ή </w:t>
      </w:r>
      <w:r w:rsidRPr="006B61E9">
        <w:rPr>
          <w:position w:val="-12"/>
        </w:rPr>
        <w:object w:dxaOrig="1200" w:dyaOrig="380">
          <v:shape id="_x0000_i1081" type="#_x0000_t75" style="width:60.1pt;height:19.4pt" o:ole="" fillcolor="window">
            <v:imagedata r:id="rId133" o:title=""/>
          </v:shape>
          <o:OLEObject Type="Embed" ProgID="Equation.3" ShapeID="_x0000_i1081" DrawAspect="Content" ObjectID="_1475064894" r:id="rId134"/>
        </w:object>
      </w:r>
      <w:r>
        <w:t xml:space="preserve">               </w:t>
      </w:r>
    </w:p>
    <w:p w:rsidR="00B77653" w:rsidRDefault="00A92034" w:rsidP="00D8205F">
      <w:pPr>
        <w:spacing w:line="360" w:lineRule="auto"/>
        <w:ind w:left="720" w:firstLine="720"/>
        <w:jc w:val="both"/>
        <w:rPr>
          <w:lang w:val="en-US"/>
        </w:rPr>
      </w:pPr>
      <w:r w:rsidRPr="00871C84">
        <w:rPr>
          <w:position w:val="-30"/>
        </w:rPr>
        <w:object w:dxaOrig="1440" w:dyaOrig="680">
          <v:shape id="_x0000_i1082" type="#_x0000_t75" style="width:1in;height:34.45pt" o:ole="" fillcolor="window">
            <v:imagedata r:id="rId135" o:title=""/>
          </v:shape>
          <o:OLEObject Type="Embed" ProgID="Equation.3" ShapeID="_x0000_i1082" DrawAspect="Content" ObjectID="_1475064895" r:id="rId136"/>
        </w:object>
      </w:r>
      <w:r w:rsidRPr="00871C84">
        <w:rPr>
          <w:position w:val="-30"/>
        </w:rPr>
        <w:object w:dxaOrig="1579" w:dyaOrig="720">
          <v:shape id="_x0000_i1083" type="#_x0000_t75" style="width:79.5pt;height:37.55pt" o:ole="" fillcolor="window">
            <v:imagedata r:id="rId137" o:title=""/>
          </v:shape>
          <o:OLEObject Type="Embed" ProgID="Equation.3" ShapeID="_x0000_i1083" DrawAspect="Content" ObjectID="_1475064896" r:id="rId138"/>
        </w:object>
      </w:r>
    </w:p>
    <w:p w:rsidR="00D8205F" w:rsidRDefault="006017BA" w:rsidP="006017BA">
      <w:pPr>
        <w:spacing w:line="360" w:lineRule="auto"/>
        <w:jc w:val="both"/>
      </w:pPr>
      <w:r>
        <w:t xml:space="preserve">Όπου Μ η ονομαστική ποσότητα χρήματος, </w:t>
      </w:r>
      <w:r>
        <w:rPr>
          <w:lang w:val="en-US"/>
        </w:rPr>
        <w:t>P</w:t>
      </w:r>
      <w:r>
        <w:t xml:space="preserve"> το επίπεδο τιμών στην ημεδαπή και Μ*, </w:t>
      </w:r>
      <w:r>
        <w:rPr>
          <w:lang w:val="en-US"/>
        </w:rPr>
        <w:t>P</w:t>
      </w:r>
      <w:r w:rsidRPr="006017BA">
        <w:t xml:space="preserve">* </w:t>
      </w:r>
      <w:r>
        <w:t>τα αντίστοιχα μεγέθη στην αλλοδαπή. Υποθέτοντας μια γραμμική σχέση</w:t>
      </w:r>
      <w:r w:rsidR="00521EF7">
        <w:t xml:space="preserve"> και ίδια αντίδραση της πραγματικής ζήτησης χρήματος σε μεταβολές του πραγματικού εισοδήματος (φ) ή του επιτοκίου (μ) και για τις δύο χώρες, και </w:t>
      </w:r>
      <w:r>
        <w:t xml:space="preserve"> </w:t>
      </w:r>
      <w:proofErr w:type="spellStart"/>
      <w:r>
        <w:t>λογαριθμίζοντας</w:t>
      </w:r>
      <w:proofErr w:type="spellEnd"/>
      <w:r>
        <w:t xml:space="preserve"> τις δυο τελευταίες εξισώσεις έχουμε:</w:t>
      </w:r>
      <w:r w:rsidR="00A0208F">
        <w:t xml:space="preserve"> </w:t>
      </w:r>
    </w:p>
    <w:p w:rsidR="006017BA" w:rsidRPr="00D8205F" w:rsidRDefault="00EA318F" w:rsidP="00D8205F">
      <w:pPr>
        <w:spacing w:line="360" w:lineRule="auto"/>
        <w:ind w:left="1440" w:firstLine="720"/>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=φ</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-μ</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oMath>
      </m:oMathPara>
    </w:p>
    <w:p w:rsidR="00A92034" w:rsidRPr="00D8205F" w:rsidRDefault="00EA318F" w:rsidP="00D8205F">
      <w:pPr>
        <w:spacing w:line="360" w:lineRule="auto"/>
        <w:ind w:left="1440" w:firstLine="720"/>
        <w:jc w:val="both"/>
        <w:rPr>
          <w:i/>
          <w:lang w:val="en-US"/>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t</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=φ</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-μ</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oMath>
      </m:oMathPara>
    </w:p>
    <w:p w:rsidR="00A0208F" w:rsidRDefault="00521EF7" w:rsidP="006017BA">
      <w:pPr>
        <w:spacing w:line="360" w:lineRule="auto"/>
        <w:jc w:val="both"/>
      </w:pPr>
      <w:r>
        <w:t>Λύνοντας ως προς τις τιμές λαμβάνουμε τις  ακόλουθες σχέσεις:</w:t>
      </w:r>
    </w:p>
    <w:p w:rsidR="006017BA" w:rsidRPr="00D8205F" w:rsidRDefault="00EA318F" w:rsidP="00A0208F">
      <w:pPr>
        <w:spacing w:line="360" w:lineRule="auto"/>
        <w:jc w:val="center"/>
      </w:p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m:t>
            </m:r>
          </m:e>
          <m:sub>
            <m:r>
              <w:rPr>
                <w:rFonts w:ascii="Cambria Math" w:hAnsi="Cambria Math"/>
              </w:rPr>
              <m:t>t</m:t>
            </m:r>
          </m:sub>
        </m:sSub>
        <m:r>
          <w:rPr>
            <w:rFonts w:ascii="Cambria Math" w:hAnsi="Cambria Math"/>
          </w:rPr>
          <m:t>-φ</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+μ</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m:rPr>
            <m:sty m:val="p"/>
          </m:rPr>
          <w:rPr>
            <w:rFonts w:ascii="Cambria Math" w:hAnsi="Cambria Math"/>
          </w:rPr>
          <m:t xml:space="preserve"> </m:t>
        </m:r>
      </m:oMath>
      <w:r w:rsidR="00A0208F" w:rsidRPr="00A0208F">
        <w:t xml:space="preserve"> </w:t>
      </w:r>
      <w:r w:rsidR="00A0208F">
        <w:tab/>
      </w:r>
      <w:r w:rsidR="00D8205F">
        <w:tab/>
      </w:r>
      <w:r w:rsidR="00D8205F">
        <w:tab/>
      </w:r>
      <w:r w:rsidR="00D8205F">
        <w:tab/>
      </w:r>
      <w:r w:rsidR="00A0208F" w:rsidRPr="00D8205F">
        <w:t>(7</w:t>
      </w:r>
      <w:r w:rsidR="00D8205F" w:rsidRPr="00D8205F">
        <w:t>.13</w:t>
      </w:r>
      <w:r w:rsidR="00A0208F" w:rsidRPr="00D8205F">
        <w:t xml:space="preserve">) </w:t>
      </w:r>
      <w:r w:rsidR="00E07C77">
        <w:rPr>
          <w:rFonts w:ascii="Cambria Math" w:hAnsi="Cambria Math"/>
        </w:rPr>
        <w:br/>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m:t>
            </m:r>
          </m:e>
          <m:sub>
            <m:r>
              <w:rPr>
                <w:rFonts w:ascii="Cambria Math" w:hAnsi="Cambria Math"/>
              </w:rPr>
              <m:t>t</m:t>
            </m:r>
          </m:sub>
          <m:sup>
            <m:r>
              <w:rPr>
                <w:rFonts w:ascii="Cambria Math" w:hAnsi="Cambria Math"/>
              </w:rPr>
              <m:t>*</m:t>
            </m:r>
          </m:sup>
        </m:sSubSup>
        <m:r>
          <w:rPr>
            <w:rFonts w:ascii="Cambria Math" w:hAnsi="Cambria Math"/>
          </w:rPr>
          <m:t>-φ</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+μ</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oMath>
      <w:r w:rsidR="00A0208F" w:rsidRPr="00D8205F">
        <w:t xml:space="preserve"> </w:t>
      </w:r>
      <w:r w:rsidR="00A0208F" w:rsidRPr="00D8205F">
        <w:tab/>
      </w:r>
      <w:r w:rsidR="00D8205F" w:rsidRPr="00D8205F">
        <w:tab/>
      </w:r>
      <w:r w:rsidR="00D8205F" w:rsidRPr="00D8205F">
        <w:tab/>
      </w:r>
      <w:r w:rsidR="00D8205F" w:rsidRPr="00D8205F">
        <w:tab/>
      </w:r>
      <w:r w:rsidR="00A0208F" w:rsidRPr="00D8205F">
        <w:t>(7</w:t>
      </w:r>
      <w:r w:rsidR="00D8205F" w:rsidRPr="00D8205F">
        <w:t>.14</w:t>
      </w:r>
      <w:r w:rsidR="00A0208F" w:rsidRPr="00D8205F">
        <w:t>)</w:t>
      </w:r>
    </w:p>
    <w:p w:rsidR="00A0208F" w:rsidRPr="00D8205F" w:rsidRDefault="00F45440" w:rsidP="00521EF7">
      <w:pPr>
        <w:spacing w:line="360" w:lineRule="auto"/>
        <w:jc w:val="both"/>
      </w:pPr>
      <w:r w:rsidRPr="00D8205F">
        <w:t>Στην συνέχεια αφαιρούμε την δεύτερη από την πρώτη εξίσωση και κάνοντας χρήση της ΙΑΔ σε λογαριθμική μορφή καταλήγουμε ότι η συναλλαγματική ισοτιμία καθορίζεται από τον ακόλουθο τύπο:</w:t>
      </w:r>
      <w:r w:rsidR="00A0208F" w:rsidRPr="00D8205F">
        <w:t xml:space="preserve"> </w:t>
      </w:r>
    </w:p>
    <w:p w:rsidR="00521EF7" w:rsidRPr="00F45440" w:rsidRDefault="00EA318F" w:rsidP="00A0208F">
      <w:pPr>
        <w:spacing w:line="360" w:lineRule="auto"/>
        <w:ind w:left="720" w:firstLine="720"/>
        <w:jc w:val="both"/>
      </w:pP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m:t>
            </m:r>
          </m:e>
          <m:sub>
            <m:r>
              <w:rPr>
                <w:rFonts w:ascii="Cambria Math" w:hAnsi="Cambria Math"/>
              </w:rPr>
              <m:t>t</m:t>
            </m:r>
          </m:sub>
          <m:sup>
            <m:r>
              <w:rPr>
                <w:rFonts w:ascii="Cambria Math" w:hAnsi="Cambria Math"/>
              </w:rPr>
              <m:t>*</m:t>
            </m:r>
          </m:sup>
        </m:sSubSup>
        <m:r>
          <w:rPr>
            <w:rFonts w:ascii="Cambria Math" w:hAnsi="Cambria Math"/>
          </w:rPr>
          <m:t>)-φ</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e>
        </m:d>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e>
        </m:d>
      </m:oMath>
      <w:r w:rsidR="00A0208F" w:rsidRPr="00D8205F">
        <w:t xml:space="preserve"> </w:t>
      </w:r>
      <w:r w:rsidR="00A0208F" w:rsidRPr="00D8205F">
        <w:tab/>
        <w:t>(7</w:t>
      </w:r>
      <w:r w:rsidR="00D8205F" w:rsidRPr="00D8205F">
        <w:t>.15</w:t>
      </w:r>
      <w:r w:rsidR="00A0208F" w:rsidRPr="00D8205F">
        <w:t>)</w:t>
      </w:r>
    </w:p>
    <w:p w:rsidR="002E4513" w:rsidRPr="002E4513" w:rsidRDefault="002E4513" w:rsidP="00D8205F">
      <w:pPr>
        <w:spacing w:line="360" w:lineRule="auto"/>
        <w:ind w:firstLine="720"/>
        <w:jc w:val="both"/>
      </w:pPr>
      <w:r>
        <w:t>Από αυτή την εξίσωση μπορούμε λοιπόν να πούμε ότι η</w:t>
      </w:r>
      <w:r w:rsidRPr="002E4513">
        <w:t xml:space="preserve"> σχετική προσφορά χρήματος </w:t>
      </w:r>
      <w:r>
        <w:t xml:space="preserve">ανάμεσα στις δύο χώρες </w:t>
      </w:r>
      <w:r w:rsidRPr="002E4513">
        <w:t xml:space="preserve">επηρεάζει τη συναλλαγματική ισοτιμία. </w:t>
      </w:r>
      <w:r>
        <w:t>Ο μηχανισμός επιρροής είναι ο ακόλουθος μια αύξηση</w:t>
      </w:r>
      <w:r w:rsidRPr="002E4513">
        <w:t xml:space="preserve"> </w:t>
      </w:r>
      <w:r>
        <w:t xml:space="preserve">5% </w:t>
      </w:r>
      <w:r w:rsidRPr="002E4513">
        <w:t xml:space="preserve">στην εγχώρια προσφορά χρήματος οδηγεί σε </w:t>
      </w:r>
      <w:r>
        <w:t>αναλογική</w:t>
      </w:r>
      <w:r w:rsidRPr="002E4513">
        <w:t xml:space="preserve"> αύξηση </w:t>
      </w:r>
      <w:r>
        <w:t xml:space="preserve">5% </w:t>
      </w:r>
      <w:r w:rsidRPr="002E4513">
        <w:t>στο εγχώριο επίπεδο τιμώ</w:t>
      </w:r>
      <w:r>
        <w:t>ν</w:t>
      </w:r>
      <w:r w:rsidRPr="002E4513">
        <w:t xml:space="preserve"> και επειδ</w:t>
      </w:r>
      <w:r>
        <w:t>ή ισχύει η ΙΑΔ αυξάνεται κατά 5</w:t>
      </w:r>
      <w:r w:rsidRPr="002E4513">
        <w:t>% και η συναλλαγματική ισοτιμία</w:t>
      </w:r>
      <w:r>
        <w:t>. Έ</w:t>
      </w:r>
      <w:r w:rsidRPr="002E4513">
        <w:t>χουμε δηλαδή υποτίμηση του εγχώριου νομίσματος έναντ</w:t>
      </w:r>
      <w:r>
        <w:t>ι του ξένου νομίσματος κατά 5%</w:t>
      </w:r>
      <w:r w:rsidRPr="002E4513">
        <w:t xml:space="preserve">. </w:t>
      </w:r>
    </w:p>
    <w:p w:rsidR="002E4513" w:rsidRPr="002E4513" w:rsidRDefault="006946EB" w:rsidP="00D8205F">
      <w:pPr>
        <w:spacing w:line="360" w:lineRule="auto"/>
        <w:ind w:firstLine="720"/>
        <w:jc w:val="both"/>
      </w:pPr>
      <w:r>
        <w:t xml:space="preserve">Στην περίπτωση των σχετικών επιπέδων </w:t>
      </w:r>
      <w:r w:rsidR="002E4513" w:rsidRPr="002E4513">
        <w:t>του εθνικού εισοδήματος</w:t>
      </w:r>
      <w:r>
        <w:t>,</w:t>
      </w:r>
      <w:r w:rsidR="002E4513" w:rsidRPr="002E4513">
        <w:t xml:space="preserve"> </w:t>
      </w:r>
      <w:r>
        <w:t>ε</w:t>
      </w:r>
      <w:r w:rsidR="002E4513" w:rsidRPr="002E4513">
        <w:t xml:space="preserve">άν </w:t>
      </w:r>
      <w:r w:rsidR="00D43C03">
        <w:t xml:space="preserve">για κάποιο λόγο </w:t>
      </w:r>
      <w:r w:rsidR="002E4513" w:rsidRPr="002E4513">
        <w:t>αυξηθεί το εγχώριο εισόδημα τότε αυξάνεται και η ζήτηση χρήματος για συναλλακτικούς σκοπούς</w:t>
      </w:r>
      <w:r w:rsidR="00D43C03">
        <w:t xml:space="preserve"> και με δεδομένα την </w:t>
      </w:r>
      <w:r w:rsidR="002E4513" w:rsidRPr="002E4513">
        <w:t>πρ</w:t>
      </w:r>
      <w:r w:rsidR="00D43C03">
        <w:t xml:space="preserve">οσφορά χρήματος και τα </w:t>
      </w:r>
      <w:r w:rsidR="00D43C03" w:rsidRPr="00D8205F">
        <w:t xml:space="preserve">επιτόκια, </w:t>
      </w:r>
      <w:r w:rsidR="002E4513" w:rsidRPr="00D8205F">
        <w:t xml:space="preserve">η σχέση </w:t>
      </w:r>
      <w:r w:rsidR="00D43C03" w:rsidRPr="00D8205F">
        <w:t>(7</w:t>
      </w:r>
      <w:r w:rsidR="00D8205F" w:rsidRPr="00D8205F">
        <w:t>.15</w:t>
      </w:r>
      <w:r w:rsidR="00D43C03" w:rsidRPr="00D8205F">
        <w:t>)</w:t>
      </w:r>
      <w:r w:rsidR="002E4513" w:rsidRPr="00D8205F">
        <w:t xml:space="preserve"> υποδηλώνει ότι θα πρέπει να μειωθούν οι εγχώριες τιμές. </w:t>
      </w:r>
      <w:r w:rsidR="00D43C03" w:rsidRPr="00D8205F">
        <w:t>Η μ</w:t>
      </w:r>
      <w:r w:rsidR="002E4513" w:rsidRPr="00D8205F">
        <w:t>είωση</w:t>
      </w:r>
      <w:r w:rsidR="00D43C03" w:rsidRPr="00D8205F">
        <w:t xml:space="preserve"> όμως</w:t>
      </w:r>
      <w:r w:rsidR="002E4513" w:rsidRPr="00D8205F">
        <w:t xml:space="preserve"> των εγχώριων τιμών</w:t>
      </w:r>
      <w:r w:rsidR="00D43C03">
        <w:t xml:space="preserve"> δεδομένης ΙΑΔ στο διηνεκές</w:t>
      </w:r>
      <w:r w:rsidR="002E4513" w:rsidRPr="002E4513">
        <w:t xml:space="preserve"> σημαίνει πτώση της συναλλαγματικής ισοτιμίας και άρα ανατίμηση του εγχώριου νομίσματος έναντι του ξένου. </w:t>
      </w:r>
    </w:p>
    <w:p w:rsidR="0083780F" w:rsidRPr="00D8205F" w:rsidRDefault="006946EB" w:rsidP="00D8205F">
      <w:pPr>
        <w:spacing w:line="360" w:lineRule="auto"/>
        <w:ind w:firstLine="720"/>
        <w:jc w:val="both"/>
      </w:pPr>
      <w:r>
        <w:t>Μελετώντας την εξίσωση (7.15) προκύπτει ότι η σχετική διαφορά στα  επιτόκια των δύο χωρών επηρεάζει</w:t>
      </w:r>
      <w:r w:rsidR="00F4216A">
        <w:t xml:space="preserve"> θετικά</w:t>
      </w:r>
      <w:r w:rsidR="002E4513" w:rsidRPr="002E4513">
        <w:t xml:space="preserve"> τη συναλλαγματική ισοτιμία. </w:t>
      </w:r>
      <w:r w:rsidR="00F4216A">
        <w:t xml:space="preserve">Για παράδειγμα </w:t>
      </w:r>
      <w:r w:rsidR="002E4513" w:rsidRPr="002E4513">
        <w:t xml:space="preserve">μια αύξηση του εγχώριου επιτοκίου </w:t>
      </w:r>
      <w:r w:rsidR="0083780F">
        <w:t xml:space="preserve">με δεδομένα την </w:t>
      </w:r>
      <w:r w:rsidR="0083780F" w:rsidRPr="002E4513">
        <w:t xml:space="preserve">προσφορά </w:t>
      </w:r>
      <w:r w:rsidR="0083780F" w:rsidRPr="002E4513">
        <w:lastRenderedPageBreak/>
        <w:t xml:space="preserve">χρήματος και το εισόδημα </w:t>
      </w:r>
      <w:r w:rsidR="002E4513" w:rsidRPr="002E4513">
        <w:t xml:space="preserve">οδηγεί σε </w:t>
      </w:r>
      <w:r w:rsidR="0083780F">
        <w:t xml:space="preserve">αύξηση των εγχώριων τιμών </w:t>
      </w:r>
      <w:r>
        <w:t>και</w:t>
      </w:r>
      <w:r w:rsidR="0083780F" w:rsidRPr="00D8205F">
        <w:t xml:space="preserve"> με σταθερές τις τιμές στην αλλοδαπή σύμφωνα με την ΙΑΔ</w:t>
      </w:r>
      <w:r>
        <w:t>,</w:t>
      </w:r>
      <w:r w:rsidR="0083780F" w:rsidRPr="00D8205F">
        <w:t xml:space="preserve"> σημαίνει υποτίμηση του εγχώριου νομίσματος έναντι του ξένου. </w:t>
      </w:r>
    </w:p>
    <w:p w:rsidR="0083780F" w:rsidRPr="00D8205F" w:rsidRDefault="0009184C" w:rsidP="00D8205F">
      <w:pPr>
        <w:spacing w:line="360" w:lineRule="auto"/>
        <w:ind w:firstLine="720"/>
        <w:jc w:val="both"/>
      </w:pPr>
      <w:r w:rsidRPr="00D8205F">
        <w:t xml:space="preserve">Χρησιμοποιώντας τον νόμο του </w:t>
      </w:r>
      <w:proofErr w:type="spellStart"/>
      <w:r w:rsidRPr="00D8205F">
        <w:t>Fisher</w:t>
      </w:r>
      <w:proofErr w:type="spellEnd"/>
      <w:r w:rsidRPr="00D8205F">
        <w:t xml:space="preserve"> που συνδέει το ονομαστικό επιτόκιο</w:t>
      </w:r>
      <w:r w:rsidR="005B21F1" w:rsidRPr="00D8205F">
        <w:t xml:space="preserve"> (</w:t>
      </w:r>
      <w:r w:rsidR="005B21F1" w:rsidRPr="00D8205F">
        <w:rPr>
          <w:lang w:val="en-US"/>
        </w:rPr>
        <w:t>r</w:t>
      </w:r>
      <w:r w:rsidR="005B21F1" w:rsidRPr="00D8205F">
        <w:t>)</w:t>
      </w:r>
      <w:r w:rsidRPr="00D8205F">
        <w:t xml:space="preserve"> με το πραγματικό επιτόκιο </w:t>
      </w:r>
      <w:r w:rsidR="005B21F1" w:rsidRPr="00D8205F">
        <w:t>(</w:t>
      </w:r>
      <w:proofErr w:type="spellStart"/>
      <w:r w:rsidR="005B21F1" w:rsidRPr="00D8205F">
        <w:rPr>
          <w:lang w:val="en-US"/>
        </w:rPr>
        <w:t>i</w:t>
      </w:r>
      <w:proofErr w:type="spellEnd"/>
      <w:r w:rsidR="005B21F1" w:rsidRPr="00D8205F">
        <w:t>) και τον αναμενόμενο πληθωρισμό (π</w:t>
      </w:r>
      <w:r w:rsidR="005B21F1" w:rsidRPr="00D8205F">
        <w:rPr>
          <w:vertAlign w:val="superscript"/>
          <w:lang w:val="en-US"/>
        </w:rPr>
        <w:t>e</w:t>
      </w:r>
      <w:r w:rsidR="005B21F1" w:rsidRPr="00D8205F">
        <w:t xml:space="preserve">) </w:t>
      </w:r>
      <w:r w:rsidRPr="00D8205F">
        <w:t xml:space="preserve">μπορούμε να δείξουμε μια άλλη εκδοχή του υποδείγματος που εμφανίζεται και στην βιβλιογραφία. Ουσιαστικά αντικαθιστούμε τα ονομαστικά επιτόκια στην εξίσωση </w:t>
      </w:r>
      <w:r w:rsidR="005B21F1" w:rsidRPr="00D8205F">
        <w:t>(7</w:t>
      </w:r>
      <w:r w:rsidR="00D8205F" w:rsidRPr="00D8205F">
        <w:t>.15</w:t>
      </w:r>
      <w:r w:rsidR="005B21F1" w:rsidRPr="00D8205F">
        <w:t xml:space="preserve">) </w:t>
      </w:r>
      <w:r w:rsidRPr="00D8205F">
        <w:t>χρησιμοποιώντας τους ακόλουθους τύπους.</w:t>
      </w:r>
    </w:p>
    <w:p w:rsidR="0009184C" w:rsidRPr="00D8205F" w:rsidRDefault="00EA318F" w:rsidP="0009184C">
      <w:pPr>
        <w:spacing w:line="360" w:lineRule="auto"/>
        <w:jc w:val="both"/>
        <w:rPr>
          <w:i/>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r>
            <w:rPr>
              <w:rFonts w:ascii="Cambria Math" w:hAnsi="Cambria Math"/>
              <w:lang w:val="en-US"/>
            </w:rPr>
            <m:t>+</m:t>
          </m:r>
          <m:sSubSup>
            <m:sSubSupPr>
              <m:ctrlPr>
                <w:rPr>
                  <w:rFonts w:ascii="Cambria Math" w:hAnsi="Cambria Math"/>
                  <w:i/>
                  <w:lang w:val="en-US"/>
                </w:rPr>
              </m:ctrlPr>
            </m:sSubSupPr>
            <m:e>
              <m:r>
                <w:rPr>
                  <w:rFonts w:ascii="Cambria Math" w:hAnsi="Cambria Math"/>
                </w:rPr>
                <m:t>π</m:t>
              </m:r>
            </m:e>
            <m:sub>
              <m:r>
                <w:rPr>
                  <w:rFonts w:ascii="Cambria Math" w:hAnsi="Cambria Math"/>
                  <w:lang w:val="en-US"/>
                </w:rPr>
                <m:t>t</m:t>
              </m:r>
            </m:sub>
            <m:sup>
              <m:r>
                <w:rPr>
                  <w:rFonts w:ascii="Cambria Math" w:hAnsi="Cambria Math"/>
                  <w:lang w:val="en-US"/>
                </w:rPr>
                <m:t>e</m:t>
              </m:r>
            </m:sup>
          </m:sSubSup>
        </m:oMath>
      </m:oMathPara>
    </w:p>
    <w:p w:rsidR="0009184C" w:rsidRPr="00D8205F" w:rsidRDefault="00EA318F" w:rsidP="0009184C">
      <w:pPr>
        <w:spacing w:line="360" w:lineRule="auto"/>
        <w:jc w:val="both"/>
        <w:rPr>
          <w:i/>
          <w:lang w:val="en-US"/>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lang w:val="en-US"/>
                </w:rPr>
                <m:t>*</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i</m:t>
              </m:r>
            </m:e>
            <m:sub>
              <m:r>
                <w:rPr>
                  <w:rFonts w:ascii="Cambria Math" w:hAnsi="Cambria Math"/>
                  <w:lang w:val="en-US"/>
                </w:rPr>
                <m:t>t</m:t>
              </m:r>
            </m:sub>
            <m:sup>
              <m:r>
                <w:rPr>
                  <w:rFonts w:ascii="Cambria Math" w:hAnsi="Cambria Math"/>
                  <w:lang w:val="en-US"/>
                </w:rPr>
                <m:t>*</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rPr>
                <m:t>π</m:t>
              </m:r>
            </m:e>
            <m:sub>
              <m:r>
                <w:rPr>
                  <w:rFonts w:ascii="Cambria Math" w:hAnsi="Cambria Math"/>
                  <w:lang w:val="en-US"/>
                </w:rPr>
                <m:t>t</m:t>
              </m:r>
            </m:sub>
            <m:sup>
              <m:r>
                <w:rPr>
                  <w:rFonts w:ascii="Cambria Math" w:hAnsi="Cambria Math"/>
                  <w:lang w:val="en-US"/>
                </w:rPr>
                <m:t>e*</m:t>
              </m:r>
            </m:sup>
          </m:sSubSup>
        </m:oMath>
      </m:oMathPara>
    </w:p>
    <w:p w:rsidR="005B21F1" w:rsidRPr="00D8205F" w:rsidRDefault="005B21F1" w:rsidP="005B21F1">
      <w:pPr>
        <w:spacing w:line="360" w:lineRule="auto"/>
        <w:ind w:firstLine="284"/>
        <w:jc w:val="both"/>
      </w:pPr>
      <w:r w:rsidRPr="00D8205F">
        <w:t xml:space="preserve">Και υποθέτοντας </w:t>
      </w:r>
      <w:proofErr w:type="spellStart"/>
      <w:r w:rsidRPr="00D8205F">
        <w:rPr>
          <w:i/>
        </w:rPr>
        <w:t>i=i</w:t>
      </w:r>
      <w:proofErr w:type="spellEnd"/>
      <w:r w:rsidRPr="00D8205F">
        <w:rPr>
          <w:i/>
        </w:rPr>
        <w:t>*</w:t>
      </w:r>
      <w:r w:rsidRPr="00D8205F">
        <w:t xml:space="preserve"> δείχνουμε ότι μια αύξηση του εγχώριου ονομαστικού επιτοκίου οδηγεί σε αύξηση του εγχώριου αναμενόμενου πληθωρισμού, ο οποίος μέσω της ΙΑΔ οδηγεί σε αύξηση της συναλλαγματικής ισοτιμίας  και άρα υποτίμηση του εγχώριου νομίσματος.  </w:t>
      </w:r>
    </w:p>
    <w:p w:rsidR="005B21F1" w:rsidRPr="005144A3" w:rsidRDefault="00EA318F" w:rsidP="005B21F1">
      <w:pPr>
        <w:spacing w:line="360" w:lineRule="auto"/>
        <w:ind w:left="720" w:firstLine="720"/>
        <w:jc w:val="both"/>
      </w:pP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m:t>
            </m:r>
          </m:e>
          <m:sub>
            <m:r>
              <w:rPr>
                <w:rFonts w:ascii="Cambria Math" w:hAnsi="Cambria Math"/>
              </w:rPr>
              <m:t>t</m:t>
            </m:r>
          </m:sub>
          <m:sup>
            <m:r>
              <w:rPr>
                <w:rFonts w:ascii="Cambria Math" w:hAnsi="Cambria Math"/>
              </w:rPr>
              <m:t>*</m:t>
            </m:r>
          </m:sup>
        </m:sSubSup>
        <m:r>
          <w:rPr>
            <w:rFonts w:ascii="Cambria Math" w:hAnsi="Cambria Math"/>
          </w:rPr>
          <m:t>)-φ</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e>
        </m:d>
        <m:r>
          <w:rPr>
            <w:rFonts w:ascii="Cambria Math" w:hAnsi="Cambria Math"/>
          </w:rPr>
          <m:t>+μ</m:t>
        </m:r>
        <m:d>
          <m:dPr>
            <m:ctrlPr>
              <w:rPr>
                <w:rFonts w:ascii="Cambria Math" w:hAnsi="Cambria Math"/>
                <w:i/>
              </w:rPr>
            </m:ctrlPr>
          </m:dPr>
          <m:e>
            <m:sSubSup>
              <m:sSubSupPr>
                <m:ctrlPr>
                  <w:rPr>
                    <w:rFonts w:ascii="Cambria Math" w:hAnsi="Cambria Math"/>
                    <w:i/>
                    <w:lang w:val="en-US"/>
                  </w:rPr>
                </m:ctrlPr>
              </m:sSubSupPr>
              <m:e>
                <m:r>
                  <w:rPr>
                    <w:rFonts w:ascii="Cambria Math" w:hAnsi="Cambria Math"/>
                  </w:rPr>
                  <m:t>π</m:t>
                </m:r>
              </m:e>
              <m:sub>
                <m:r>
                  <w:rPr>
                    <w:rFonts w:ascii="Cambria Math" w:hAnsi="Cambria Math"/>
                    <w:lang w:val="en-US"/>
                  </w:rPr>
                  <m:t>t</m:t>
                </m:r>
              </m:sub>
              <m:sup>
                <m:r>
                  <w:rPr>
                    <w:rFonts w:ascii="Cambria Math" w:hAnsi="Cambria Math"/>
                    <w:lang w:val="en-US"/>
                  </w:rPr>
                  <m:t>e</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lang w:val="en-US"/>
                  </w:rPr>
                  <m:t>e</m:t>
                </m:r>
                <m:r>
                  <w:rPr>
                    <w:rFonts w:ascii="Cambria Math" w:hAnsi="Cambria Math"/>
                  </w:rPr>
                  <m:t>*</m:t>
                </m:r>
              </m:sup>
            </m:sSubSup>
          </m:e>
        </m:d>
      </m:oMath>
      <w:r w:rsidR="005B21F1" w:rsidRPr="00D8205F">
        <w:t xml:space="preserve"> </w:t>
      </w:r>
      <w:r w:rsidR="005B21F1" w:rsidRPr="00D8205F">
        <w:tab/>
        <w:t>(7</w:t>
      </w:r>
      <w:r w:rsidR="00D8205F" w:rsidRPr="00D8205F">
        <w:t>.16</w:t>
      </w:r>
      <w:r w:rsidR="005B21F1" w:rsidRPr="00D8205F">
        <w:t>)</w:t>
      </w:r>
    </w:p>
    <w:p w:rsidR="0009184C" w:rsidRPr="005144A3" w:rsidRDefault="0009184C" w:rsidP="002E4513">
      <w:pPr>
        <w:spacing w:line="360" w:lineRule="auto"/>
        <w:ind w:firstLine="284"/>
        <w:jc w:val="both"/>
      </w:pPr>
    </w:p>
    <w:p w:rsidR="009F6F3B" w:rsidRDefault="005D5CC5" w:rsidP="005D5CC5">
      <w:pPr>
        <w:pStyle w:val="2"/>
        <w:spacing w:before="0" w:after="0" w:line="360" w:lineRule="auto"/>
        <w:jc w:val="both"/>
        <w:rPr>
          <w:rFonts w:ascii="Times New Roman" w:hAnsi="Times New Roman" w:cs="Times New Roman"/>
          <w:i w:val="0"/>
          <w:sz w:val="24"/>
          <w:szCs w:val="24"/>
        </w:rPr>
      </w:pPr>
      <w:bookmarkStart w:id="38" w:name="_Toc395803104"/>
      <w:bookmarkStart w:id="39" w:name="_Toc396220913"/>
      <w:r>
        <w:rPr>
          <w:rFonts w:ascii="Times New Roman" w:hAnsi="Times New Roman" w:cs="Times New Roman"/>
          <w:i w:val="0"/>
          <w:sz w:val="24"/>
          <w:szCs w:val="24"/>
        </w:rPr>
        <w:t>7.5.2</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Το νομισματικό υπόδειγμα με ατελή ευκαμψία</w:t>
      </w:r>
      <w:bookmarkEnd w:id="38"/>
      <w:bookmarkEnd w:id="39"/>
      <w:r>
        <w:rPr>
          <w:rFonts w:ascii="Times New Roman" w:hAnsi="Times New Roman" w:cs="Times New Roman"/>
          <w:i w:val="0"/>
          <w:sz w:val="24"/>
          <w:szCs w:val="24"/>
        </w:rPr>
        <w:t xml:space="preserve"> </w:t>
      </w:r>
    </w:p>
    <w:p w:rsidR="00116CCA" w:rsidRDefault="00B06654" w:rsidP="00D8205F">
      <w:pPr>
        <w:spacing w:line="360" w:lineRule="auto"/>
        <w:ind w:firstLine="720"/>
        <w:jc w:val="both"/>
      </w:pPr>
      <w:r>
        <w:t>Ο</w:t>
      </w:r>
      <w:r w:rsidRPr="00116CCA">
        <w:t xml:space="preserve"> </w:t>
      </w:r>
      <w:proofErr w:type="spellStart"/>
      <w:r w:rsidRPr="00B06654">
        <w:rPr>
          <w:lang w:val="en-US"/>
        </w:rPr>
        <w:t>Do</w:t>
      </w:r>
      <w:r w:rsidR="002B3507">
        <w:rPr>
          <w:lang w:val="en-US"/>
        </w:rPr>
        <w:t>r</w:t>
      </w:r>
      <w:r w:rsidRPr="00B06654">
        <w:rPr>
          <w:lang w:val="en-US"/>
        </w:rPr>
        <w:t>nbusch</w:t>
      </w:r>
      <w:proofErr w:type="spellEnd"/>
      <w:r w:rsidRPr="00116CCA">
        <w:t xml:space="preserve"> (1976) </w:t>
      </w:r>
      <w:proofErr w:type="spellStart"/>
      <w:r>
        <w:t>υποθέτωντας</w:t>
      </w:r>
      <w:proofErr w:type="spellEnd"/>
      <w:r w:rsidRPr="00116CCA">
        <w:t xml:space="preserve"> </w:t>
      </w:r>
      <w:r>
        <w:t>τις</w:t>
      </w:r>
      <w:r w:rsidRPr="00116CCA">
        <w:t xml:space="preserve"> </w:t>
      </w:r>
      <w:r w:rsidR="004B57D7">
        <w:t>συνηθι</w:t>
      </w:r>
      <w:r>
        <w:t>σμένες</w:t>
      </w:r>
      <w:r w:rsidRPr="00116CCA">
        <w:t xml:space="preserve"> </w:t>
      </w:r>
      <w:r>
        <w:t>συνθήκες</w:t>
      </w:r>
      <w:r w:rsidRPr="00116CCA">
        <w:t xml:space="preserve"> </w:t>
      </w:r>
      <w:r w:rsidR="00116CCA">
        <w:t>ότι</w:t>
      </w:r>
      <w:r w:rsidR="00116CCA" w:rsidRPr="00116CCA">
        <w:t xml:space="preserve"> </w:t>
      </w:r>
      <w:r w:rsidR="00116CCA">
        <w:t>η</w:t>
      </w:r>
      <w:r w:rsidR="00116CCA" w:rsidRPr="00116CCA">
        <w:t xml:space="preserve"> </w:t>
      </w:r>
      <w:r w:rsidR="00116CCA">
        <w:t>προσφορά</w:t>
      </w:r>
      <w:r w:rsidR="00116CCA" w:rsidRPr="00116CCA">
        <w:t xml:space="preserve"> </w:t>
      </w:r>
      <w:r w:rsidR="00116CCA">
        <w:t>χρήματος</w:t>
      </w:r>
      <w:r w:rsidR="00116CCA" w:rsidRPr="00116CCA">
        <w:t xml:space="preserve"> </w:t>
      </w:r>
      <w:r w:rsidR="00116CCA">
        <w:t>είναι</w:t>
      </w:r>
      <w:r w:rsidR="00116CCA" w:rsidRPr="00116CCA">
        <w:t xml:space="preserve"> </w:t>
      </w:r>
      <w:r w:rsidR="00116CCA">
        <w:t>εξωγενώς</w:t>
      </w:r>
      <w:r w:rsidR="00116CCA" w:rsidRPr="00116CCA">
        <w:t xml:space="preserve"> </w:t>
      </w:r>
      <w:r w:rsidR="00116CCA">
        <w:t>δεδομένη</w:t>
      </w:r>
      <w:r w:rsidR="00116CCA" w:rsidRPr="00116CCA">
        <w:t xml:space="preserve"> </w:t>
      </w:r>
      <w:r w:rsidR="00116CCA">
        <w:t>και</w:t>
      </w:r>
      <w:r w:rsidR="00116CCA" w:rsidRPr="00116CCA">
        <w:t xml:space="preserve"> </w:t>
      </w:r>
      <w:r w:rsidR="00116CCA">
        <w:t xml:space="preserve">ότι μακροπρόθεσμα ισχύει η ΙΑΔ, </w:t>
      </w:r>
      <w:proofErr w:type="spellStart"/>
      <w:r w:rsidR="00116CCA">
        <w:t>αναπτύσει</w:t>
      </w:r>
      <w:proofErr w:type="spellEnd"/>
      <w:r w:rsidR="00116CCA">
        <w:t xml:space="preserve"> ένα υπόδειγμα καθορισμού της συναλλαγματικής ισοτιμίας. Υποθέτει</w:t>
      </w:r>
      <w:r w:rsidR="00116CCA" w:rsidRPr="00116CCA">
        <w:t xml:space="preserve"> </w:t>
      </w:r>
      <w:r w:rsidR="00116CCA">
        <w:t>παλινδρομικές</w:t>
      </w:r>
      <w:r w:rsidR="00116CCA" w:rsidRPr="00116CCA">
        <w:t xml:space="preserve"> </w:t>
      </w:r>
      <w:r w:rsidR="00116CCA">
        <w:t>προσδοκίες</w:t>
      </w:r>
      <w:r w:rsidR="00116CCA" w:rsidRPr="00116CCA">
        <w:t xml:space="preserve"> (</w:t>
      </w:r>
      <w:r w:rsidR="00116CCA">
        <w:rPr>
          <w:lang w:val="en-US"/>
        </w:rPr>
        <w:t>R</w:t>
      </w:r>
      <w:r w:rsidRPr="00B06654">
        <w:rPr>
          <w:lang w:val="en-US"/>
        </w:rPr>
        <w:t>egressive</w:t>
      </w:r>
      <w:r w:rsidR="00116CCA" w:rsidRPr="00116CCA">
        <w:t xml:space="preserve"> </w:t>
      </w:r>
      <w:r w:rsidR="00116CCA">
        <w:rPr>
          <w:lang w:val="en-US"/>
        </w:rPr>
        <w:t>Expectations</w:t>
      </w:r>
      <w:r w:rsidR="00116CCA" w:rsidRPr="00116CCA">
        <w:t xml:space="preserve">) </w:t>
      </w:r>
      <w:r w:rsidR="00116CCA">
        <w:t>δηλαδή</w:t>
      </w:r>
      <w:r w:rsidR="00116CCA" w:rsidRPr="00116CCA">
        <w:t xml:space="preserve"> </w:t>
      </w:r>
      <w:r w:rsidR="00116CCA">
        <w:t>οποιαδήποτε</w:t>
      </w:r>
      <w:r w:rsidR="00116CCA" w:rsidRPr="00116CCA">
        <w:t xml:space="preserve"> </w:t>
      </w:r>
      <w:r w:rsidR="00116CCA">
        <w:t>κίνηση</w:t>
      </w:r>
      <w:r w:rsidR="00116CCA" w:rsidRPr="00116CCA">
        <w:t xml:space="preserve"> </w:t>
      </w:r>
      <w:r w:rsidR="00116CCA">
        <w:t>μακριά</w:t>
      </w:r>
      <w:r w:rsidR="00116CCA" w:rsidRPr="00116CCA">
        <w:t xml:space="preserve"> </w:t>
      </w:r>
      <w:r w:rsidR="00116CCA">
        <w:t>από</w:t>
      </w:r>
      <w:r w:rsidR="00116CCA" w:rsidRPr="00116CCA">
        <w:t xml:space="preserve"> </w:t>
      </w:r>
      <w:r w:rsidR="00116CCA">
        <w:t>την</w:t>
      </w:r>
      <w:r w:rsidR="00116CCA" w:rsidRPr="00116CCA">
        <w:t xml:space="preserve"> </w:t>
      </w:r>
      <w:r w:rsidR="00116CCA">
        <w:t xml:space="preserve">ισορροπία </w:t>
      </w:r>
      <w:proofErr w:type="spellStart"/>
      <w:r w:rsidR="00116CCA">
        <w:t>ενεργοποεί</w:t>
      </w:r>
      <w:proofErr w:type="spellEnd"/>
      <w:r w:rsidR="00116CCA">
        <w:t xml:space="preserve"> έναν μηχανισμό επιστροφής σε αυτήν. Σε</w:t>
      </w:r>
      <w:r w:rsidR="00116CCA" w:rsidRPr="00116CCA">
        <w:t xml:space="preserve"> </w:t>
      </w:r>
      <w:r w:rsidR="00116CCA">
        <w:t>αντίθεση</w:t>
      </w:r>
      <w:r w:rsidR="00116CCA" w:rsidRPr="00116CCA">
        <w:t xml:space="preserve"> </w:t>
      </w:r>
      <w:r w:rsidR="00116CCA">
        <w:t>με</w:t>
      </w:r>
      <w:r w:rsidR="00116CCA" w:rsidRPr="00116CCA">
        <w:t xml:space="preserve"> </w:t>
      </w:r>
      <w:r w:rsidR="00116CCA">
        <w:t>το</w:t>
      </w:r>
      <w:r w:rsidR="00116CCA" w:rsidRPr="00116CCA">
        <w:t xml:space="preserve">  </w:t>
      </w:r>
      <w:r w:rsidR="00116CCA">
        <w:t>υπόδειγμα</w:t>
      </w:r>
      <w:r w:rsidR="00116CCA" w:rsidRPr="00116CCA">
        <w:t xml:space="preserve"> </w:t>
      </w:r>
      <w:r w:rsidR="00116CCA">
        <w:t>των</w:t>
      </w:r>
      <w:r w:rsidR="00116CCA" w:rsidRPr="00116CCA">
        <w:t xml:space="preserve"> </w:t>
      </w:r>
      <w:r w:rsidR="00116CCA">
        <w:t>εύκαμπτων</w:t>
      </w:r>
      <w:r w:rsidR="00116CCA" w:rsidRPr="00116CCA">
        <w:t xml:space="preserve"> </w:t>
      </w:r>
      <w:r w:rsidR="00116CCA">
        <w:t>τιμών</w:t>
      </w:r>
      <w:r w:rsidR="00116CCA" w:rsidRPr="00116CCA">
        <w:t xml:space="preserve"> </w:t>
      </w:r>
      <w:r w:rsidR="00116CCA">
        <w:t>υποθέτει</w:t>
      </w:r>
      <w:r w:rsidR="00116CCA" w:rsidRPr="00116CCA">
        <w:t xml:space="preserve"> </w:t>
      </w:r>
      <w:r w:rsidR="00116CCA">
        <w:t>έναν</w:t>
      </w:r>
      <w:r w:rsidR="00116CCA" w:rsidRPr="00116CCA">
        <w:t xml:space="preserve"> </w:t>
      </w:r>
      <w:r w:rsidR="00116CCA">
        <w:t>βαθμό</w:t>
      </w:r>
      <w:r w:rsidR="00116CCA" w:rsidRPr="00116CCA">
        <w:t xml:space="preserve"> </w:t>
      </w:r>
      <w:r w:rsidR="00116CCA">
        <w:t>ακαμψίας</w:t>
      </w:r>
      <w:r w:rsidR="00FF337E">
        <w:t xml:space="preserve"> (</w:t>
      </w:r>
      <w:r w:rsidR="00FF337E">
        <w:rPr>
          <w:lang w:val="en-US"/>
        </w:rPr>
        <w:t>sticky</w:t>
      </w:r>
      <w:r w:rsidR="00FF337E" w:rsidRPr="00FF337E">
        <w:t xml:space="preserve"> </w:t>
      </w:r>
      <w:r w:rsidR="00FF337E">
        <w:rPr>
          <w:lang w:val="en-US"/>
        </w:rPr>
        <w:t>prices</w:t>
      </w:r>
      <w:r w:rsidR="00FF337E">
        <w:t>)</w:t>
      </w:r>
      <w:r w:rsidR="00116CCA">
        <w:t xml:space="preserve"> για τους μισθούς και τις τιμές των αγαθών ενώ αντίθετα δέχεται την πλήρη ευκαμψία για τις συναλλαγματικές ισοτιμίες.</w:t>
      </w:r>
    </w:p>
    <w:p w:rsidR="00116CCA" w:rsidRPr="00C44834" w:rsidRDefault="00116CCA" w:rsidP="00D8205F">
      <w:pPr>
        <w:spacing w:line="360" w:lineRule="auto"/>
        <w:ind w:firstLine="720"/>
        <w:jc w:val="both"/>
      </w:pPr>
      <w:r>
        <w:t>Κάτω από την υπόθεση των</w:t>
      </w:r>
      <w:r w:rsidRPr="00116CCA">
        <w:t xml:space="preserve"> </w:t>
      </w:r>
      <w:r>
        <w:t>ορθολογικών</w:t>
      </w:r>
      <w:r w:rsidRPr="00116CCA">
        <w:t xml:space="preserve"> </w:t>
      </w:r>
      <w:r>
        <w:t>προσδοκιών οι συμμετέχοντες στην αγορά συναλλάγματος γνωρίζουν την μακροχρόνια τιμή της συναλλ</w:t>
      </w:r>
      <w:r w:rsidR="004B57D7">
        <w:t>α</w:t>
      </w:r>
      <w:r>
        <w:t>γματικής ισοτιμίας στην ισορροπία.</w:t>
      </w:r>
      <w:r w:rsidRPr="00116CCA">
        <w:t xml:space="preserve"> Παρά το γεγονός αυτό, οι </w:t>
      </w:r>
      <w:r>
        <w:t>συναλλαγματικές ισοτιμίες</w:t>
      </w:r>
      <w:r w:rsidRPr="00116CCA">
        <w:t xml:space="preserve"> </w:t>
      </w:r>
      <w:r>
        <w:t>μπορούν</w:t>
      </w:r>
      <w:r w:rsidR="004B57D7">
        <w:t xml:space="preserve"> να υπερβούν την μακροχρόνια θέση</w:t>
      </w:r>
      <w:r w:rsidRPr="00116CCA">
        <w:t xml:space="preserve"> ισορροπίας </w:t>
      </w:r>
      <w:r>
        <w:t xml:space="preserve">τους, το λεγόμενο φαινόμενο της </w:t>
      </w:r>
      <w:proofErr w:type="spellStart"/>
      <w:r>
        <w:t>υπερακόντισης</w:t>
      </w:r>
      <w:proofErr w:type="spellEnd"/>
      <w:r w:rsidRPr="00116CCA">
        <w:t xml:space="preserve">. Δηλαδή, όταν η συναλλαγματική ισοτιμία είναι πάνω </w:t>
      </w:r>
      <w:r w:rsidR="00FF337E">
        <w:t xml:space="preserve">από την τιμή μακροχρόνιας </w:t>
      </w:r>
      <w:r w:rsidRPr="00116CCA">
        <w:t>ισορροπίας θα πέσει πολύ χαμηλότερα από τ</w:t>
      </w:r>
      <w:r w:rsidR="00FF337E">
        <w:t>ην τιμή</w:t>
      </w:r>
      <w:r w:rsidRPr="00116CCA">
        <w:t xml:space="preserve"> ισορροπίας πριν και πάλι </w:t>
      </w:r>
      <w:r w:rsidR="00FF337E">
        <w:t xml:space="preserve">ανέβει </w:t>
      </w:r>
      <w:r w:rsidRPr="00116CCA">
        <w:t xml:space="preserve">προς την ισορροπία. Ομοίως, μια αυξανόμενη </w:t>
      </w:r>
      <w:r w:rsidRPr="00116CCA">
        <w:lastRenderedPageBreak/>
        <w:t xml:space="preserve">συναλλαγματική ισοτιμία θα αυξηθεί πάνω από </w:t>
      </w:r>
      <w:r w:rsidR="00FF337E">
        <w:t>την τιμή</w:t>
      </w:r>
      <w:r w:rsidRPr="00116CCA">
        <w:t xml:space="preserve"> ισορροπίας πριν από την </w:t>
      </w:r>
      <w:r w:rsidR="00FF337E">
        <w:t>πτώση προς αυτή</w:t>
      </w:r>
      <w:r w:rsidRPr="00116CCA">
        <w:t xml:space="preserve">. Αυτό το αποτέλεσμα επιτυγχάνεται με την παραδοχή ότι </w:t>
      </w:r>
      <w:r w:rsidR="00FF337E">
        <w:t xml:space="preserve">η προσαρμογή στις αγορές αγαθών και εργασίας γίνεται αργά ενώ στην αγορά </w:t>
      </w:r>
      <w:proofErr w:type="spellStart"/>
      <w:r w:rsidR="00FF337E">
        <w:t>αξιογράφων</w:t>
      </w:r>
      <w:proofErr w:type="spellEnd"/>
      <w:r w:rsidR="00FF337E">
        <w:t xml:space="preserve"> άμεσα. Η αγορά συναλλάγματος ανήκει στην τελευταία αγορά και έτσι βραχυχρόνια οι μεταβολές στις συναλλαγματικές ισοτιμίες αποκλίνουν από τις μεταβολές  στις τιμές των αγαθών και τους μισθούς. Έτσι έχουμε απόκλιση από την βραχυχρόνια ισοδυναμία αγοραστικής δύναμης, παρόλο που μακροχρόνια υποθέτει ότι ισχύει.</w:t>
      </w:r>
    </w:p>
    <w:p w:rsidR="005E3D31" w:rsidRDefault="00FF337E" w:rsidP="00D8205F">
      <w:pPr>
        <w:spacing w:line="360" w:lineRule="auto"/>
        <w:ind w:firstLine="720"/>
        <w:jc w:val="both"/>
      </w:pPr>
      <w:r>
        <w:t xml:space="preserve">Η φορμαλιστική μορφή του υποδείγματος δίνεται ακολούθως. Όπου η πρώτη εξίσωση </w:t>
      </w:r>
      <w:proofErr w:type="spellStart"/>
      <w:r>
        <w:t>αναφαίρεται</w:t>
      </w:r>
      <w:proofErr w:type="spellEnd"/>
      <w:r>
        <w:t xml:space="preserve"> στην ισορροπία στην αγορά χρήματος όπου η προσφορά ισούται με την ζήτηση χρήματος.</w:t>
      </w:r>
    </w:p>
    <w:p w:rsidR="00FF337E" w:rsidRPr="005E3D31" w:rsidRDefault="00EA318F" w:rsidP="00D8205F">
      <w:pPr>
        <w:spacing w:line="360" w:lineRule="auto"/>
        <w:ind w:left="2160"/>
        <w:rPr>
          <w:i/>
        </w:rPr>
      </w:pP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=φ</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-μ</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oMath>
      <w:r w:rsidR="005E3D31">
        <w:rPr>
          <w:i/>
        </w:rPr>
        <w:t xml:space="preserve">   </w:t>
      </w:r>
      <w:r w:rsidR="00D8205F">
        <w:rPr>
          <w:i/>
        </w:rPr>
        <w:tab/>
      </w:r>
      <w:r w:rsidR="00D8205F">
        <w:rPr>
          <w:i/>
        </w:rPr>
        <w:tab/>
      </w:r>
      <w:r w:rsidR="00D8205F">
        <w:rPr>
          <w:i/>
        </w:rPr>
        <w:tab/>
      </w:r>
      <w:r w:rsidR="00D8205F">
        <w:rPr>
          <w:i/>
        </w:rPr>
        <w:tab/>
      </w:r>
      <w:r w:rsidR="005E3D31">
        <w:t>(7.</w:t>
      </w:r>
      <w:r w:rsidR="00D8205F">
        <w:t>17</w:t>
      </w:r>
      <w:r w:rsidR="005E3D31">
        <w:t>)</w:t>
      </w:r>
    </w:p>
    <w:p w:rsidR="00FF337E" w:rsidRDefault="00FF337E" w:rsidP="00D8205F">
      <w:pPr>
        <w:spacing w:line="360" w:lineRule="auto"/>
        <w:jc w:val="both"/>
      </w:pPr>
      <w:r>
        <w:t>Δεύτερον, το υπόδειγμα υποθέτει επίσης ότι</w:t>
      </w:r>
      <w:r w:rsidRPr="00E91B1D">
        <w:t xml:space="preserve"> ισχύει η συνθήκη του ακάλυπτου αρμπιτράζ επιτοκίων (ΑΑΕ – UIP) σε λογαριθμική μορφή:</w:t>
      </w:r>
    </w:p>
    <w:p w:rsidR="00FF337E" w:rsidRDefault="00EA318F" w:rsidP="00D8205F">
      <w:pPr>
        <w:spacing w:line="360" w:lineRule="auto"/>
        <w:ind w:left="2160"/>
      </w:pP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oMath>
      <w:r w:rsidR="00D8205F">
        <w:tab/>
      </w:r>
      <w:r w:rsidR="00D8205F">
        <w:tab/>
      </w:r>
      <w:r w:rsidR="00D8205F">
        <w:tab/>
      </w:r>
      <w:r w:rsidR="00D8205F">
        <w:tab/>
      </w:r>
      <w:r w:rsidR="00D8205F">
        <w:tab/>
        <w:t>(7.18</w:t>
      </w:r>
      <w:r w:rsidR="00FF337E">
        <w:t>)</w:t>
      </w:r>
    </w:p>
    <w:p w:rsidR="00116CCA" w:rsidRPr="005E3D31" w:rsidRDefault="005E3D31" w:rsidP="00D8205F">
      <w:pPr>
        <w:spacing w:line="360" w:lineRule="auto"/>
        <w:jc w:val="both"/>
      </w:pPr>
      <w:r>
        <w:t>Τρίτον</w:t>
      </w:r>
      <w:r w:rsidRPr="005E3D31">
        <w:t xml:space="preserve">, </w:t>
      </w:r>
      <w:proofErr w:type="spellStart"/>
      <w:r>
        <w:t>υποθέτωντας</w:t>
      </w:r>
      <w:proofErr w:type="spellEnd"/>
      <w:r>
        <w:t xml:space="preserve"> παλινδρομικές προσδοκίες η αναμενόμενη μεταβολή της συναλλαγματικής ισοτιμίας καθορίζεται από την απόκλιση της τρέχουσας συναλλαγματικής ισοτιμίας από την τιμή ισορροπίας  </w:t>
      </w:r>
      <m:oMath>
        <m:acc>
          <m:accPr>
            <m:chr m:val="̅"/>
            <m:ctrlPr>
              <w:rPr>
                <w:rFonts w:ascii="Cambria Math" w:hAnsi="Cambria Math"/>
                <w:i/>
                <w:lang w:val="en-US"/>
              </w:rPr>
            </m:ctrlPr>
          </m:accPr>
          <m:e>
            <m:r>
              <w:rPr>
                <w:rFonts w:ascii="Cambria Math" w:hAnsi="Cambria Math"/>
                <w:lang w:val="en-US"/>
              </w:rPr>
              <m:t>s</m:t>
            </m:r>
          </m:e>
        </m:acc>
      </m:oMath>
      <w:r>
        <w:t xml:space="preserve"> και από την παράμετρο θ που δείχνει τον βαθμό προσ</w:t>
      </w:r>
      <w:r w:rsidR="004B57D7">
        <w:t>αρμογής. Όσο μεγαλύτερο το θ τό</w:t>
      </w:r>
      <w:r>
        <w:t xml:space="preserve">σο ταχύτερος ο βαθμός προσαρμογής στην μακροχρόνια ισορροπία. </w:t>
      </w:r>
    </w:p>
    <w:p w:rsidR="005E3D31" w:rsidRDefault="00EA318F" w:rsidP="00D8205F">
      <w:pPr>
        <w:spacing w:line="360" w:lineRule="auto"/>
        <w:ind w:left="1440" w:firstLine="720"/>
      </w:pPr>
      <m:oMath>
        <m:sSubSup>
          <m:sSubSupPr>
            <m:ctrlPr>
              <w:rPr>
                <w:rFonts w:ascii="Cambria Math" w:hAnsi="Cambria Math"/>
                <w:i/>
              </w:rPr>
            </m:ctrlPr>
          </m:sSubSupPr>
          <m:e>
            <m:sSubSup>
              <m:sSubSupPr>
                <m:ctrlPr>
                  <w:rPr>
                    <w:rFonts w:ascii="Cambria Math" w:hAnsi="Cambria Math"/>
                    <w:i/>
                  </w:rPr>
                </m:ctrlPr>
              </m:sSubSup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rPr>
                  <m:t>Δ</m:t>
                </m:r>
                <m:r>
                  <w:rPr>
                    <w:rFonts w:ascii="Cambria Math" w:hAnsi="Cambria Math"/>
                    <w:lang w:val="en-US"/>
                  </w:rPr>
                  <m:t>s</m:t>
                </m:r>
              </m:e>
              <m:sub>
                <m:r>
                  <w:rPr>
                    <w:rFonts w:ascii="Cambria Math" w:hAnsi="Cambria Math"/>
                  </w:rPr>
                  <m:t>t+1</m:t>
                </m:r>
              </m:sub>
              <m:sup/>
            </m:sSubSup>
            <m:r>
              <w:rPr>
                <w:rFonts w:ascii="Cambria Math" w:hAnsi="Cambria Math"/>
              </w:rPr>
              <m:t>=</m:t>
            </m:r>
            <m:sSub>
              <m:sSubPr>
                <m:ctrlPr>
                  <w:rPr>
                    <w:rFonts w:ascii="Cambria Math" w:hAnsi="Cambria Math"/>
                    <w:i/>
                  </w:rPr>
                </m:ctrlPr>
              </m:sSubPr>
              <m:e>
                <m:r>
                  <w:rPr>
                    <w:rFonts w:ascii="Cambria Math" w:hAnsi="Cambria Math"/>
                  </w:rPr>
                  <m:t>θ(</m:t>
                </m:r>
                <m:acc>
                  <m:accPr>
                    <m:chr m:val="̅"/>
                    <m:ctrlPr>
                      <w:rPr>
                        <w:rFonts w:ascii="Cambria Math" w:hAnsi="Cambria Math"/>
                        <w:i/>
                        <w:lang w:val="en-US"/>
                      </w:rPr>
                    </m:ctrlPr>
                  </m:accPr>
                  <m:e>
                    <m:r>
                      <w:rPr>
                        <w:rFonts w:ascii="Cambria Math" w:hAnsi="Cambria Math"/>
                        <w:lang w:val="en-US"/>
                      </w:rPr>
                      <m:t>s</m:t>
                    </m:r>
                  </m:e>
                </m:acc>
                <m:r>
                  <w:rPr>
                    <w:rFonts w:ascii="Cambria Math" w:hAnsi="Cambria Math"/>
                  </w:rPr>
                  <m:t>-</m:t>
                </m:r>
                <m:r>
                  <w:rPr>
                    <w:rFonts w:ascii="Cambria Math" w:hAnsi="Cambria Math"/>
                    <w:lang w:val="en-US"/>
                  </w:rPr>
                  <m:t>s</m:t>
                </m:r>
              </m:e>
              <m:sub>
                <m:r>
                  <w:rPr>
                    <w:rFonts w:ascii="Cambria Math" w:hAnsi="Cambria Math"/>
                  </w:rPr>
                  <m:t>t</m:t>
                </m:r>
              </m:sub>
            </m:sSub>
            <m:r>
              <w:rPr>
                <w:rFonts w:ascii="Cambria Math" w:hAnsi="Cambria Math"/>
              </w:rPr>
              <m:t>)</m:t>
            </m:r>
          </m:e>
          <m:sub/>
          <m:sup/>
        </m:sSubSup>
      </m:oMath>
      <w:r w:rsidR="005E3D31">
        <w:t xml:space="preserve">  </w:t>
      </w:r>
      <w:r w:rsidR="00D8205F">
        <w:tab/>
      </w:r>
      <w:r w:rsidR="00D8205F">
        <w:tab/>
      </w:r>
      <w:r w:rsidR="00D8205F">
        <w:tab/>
      </w:r>
      <w:r w:rsidR="00D8205F">
        <w:tab/>
      </w:r>
      <w:r w:rsidR="005E3D31">
        <w:t>(7.</w:t>
      </w:r>
      <w:r w:rsidR="00D8205F">
        <w:t>19</w:t>
      </w:r>
      <w:r w:rsidR="005E3D31">
        <w:t xml:space="preserve"> )</w:t>
      </w:r>
    </w:p>
    <w:p w:rsidR="00B06654" w:rsidRDefault="005E3D31" w:rsidP="00D8205F">
      <w:pPr>
        <w:spacing w:line="360" w:lineRule="auto"/>
        <w:jc w:val="both"/>
      </w:pPr>
      <w:r>
        <w:t>Αντικαθιστώντας την τελευταία εξίσωση στην προτελευταία και μετά στην αμέσως προηγούμενη εξίσωση της αγοράς χρήματος καταλήγουμε στην βασική εξίσωση του υποδείγματος.</w:t>
      </w:r>
    </w:p>
    <w:p w:rsidR="005E3D31" w:rsidRDefault="00EA318F" w:rsidP="00D8205F">
      <w:pPr>
        <w:spacing w:line="360" w:lineRule="auto"/>
        <w:ind w:left="1440" w:firstLine="720"/>
        <w:jc w:val="both"/>
        <w:rPr>
          <w:i/>
        </w:rPr>
      </w:pP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=φ</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-μ</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-μ</m:t>
        </m:r>
        <m:sSub>
          <m:sSubPr>
            <m:ctrlPr>
              <w:rPr>
                <w:rFonts w:ascii="Cambria Math" w:hAnsi="Cambria Math"/>
                <w:i/>
              </w:rPr>
            </m:ctrlPr>
          </m:sSubPr>
          <m:e>
            <m:r>
              <w:rPr>
                <w:rFonts w:ascii="Cambria Math" w:hAnsi="Cambria Math"/>
              </w:rPr>
              <m:t>θ(</m:t>
            </m:r>
            <m:acc>
              <m:accPr>
                <m:chr m:val="̅"/>
                <m:ctrlPr>
                  <w:rPr>
                    <w:rFonts w:ascii="Cambria Math" w:hAnsi="Cambria Math"/>
                    <w:i/>
                    <w:lang w:val="en-US"/>
                  </w:rPr>
                </m:ctrlPr>
              </m:accPr>
              <m:e>
                <m:r>
                  <w:rPr>
                    <w:rFonts w:ascii="Cambria Math" w:hAnsi="Cambria Math"/>
                    <w:lang w:val="en-US"/>
                  </w:rPr>
                  <m:t>s</m:t>
                </m:r>
              </m:e>
            </m:acc>
            <m:r>
              <w:rPr>
                <w:rFonts w:ascii="Cambria Math" w:hAnsi="Cambria Math"/>
              </w:rPr>
              <m:t>-</m:t>
            </m:r>
            <m:r>
              <w:rPr>
                <w:rFonts w:ascii="Cambria Math" w:hAnsi="Cambria Math"/>
                <w:lang w:val="en-US"/>
              </w:rPr>
              <m:t>s</m:t>
            </m:r>
          </m:e>
          <m:sub>
            <m:r>
              <w:rPr>
                <w:rFonts w:ascii="Cambria Math" w:hAnsi="Cambria Math"/>
              </w:rPr>
              <m:t>t</m:t>
            </m:r>
          </m:sub>
        </m:sSub>
        <m:r>
          <w:rPr>
            <w:rFonts w:ascii="Cambria Math" w:hAnsi="Cambria Math"/>
          </w:rPr>
          <m:t>)</m:t>
        </m:r>
      </m:oMath>
      <w:r w:rsidR="005E3D31">
        <w:rPr>
          <w:i/>
        </w:rPr>
        <w:t xml:space="preserve">   </w:t>
      </w:r>
    </w:p>
    <w:p w:rsidR="002B3507" w:rsidRPr="00C44834" w:rsidRDefault="009562FB" w:rsidP="00D8205F">
      <w:pPr>
        <w:spacing w:line="360" w:lineRule="auto"/>
        <w:jc w:val="both"/>
      </w:pPr>
      <w:r w:rsidRPr="009562FB">
        <w:t>Στην συνέχεια μπορεί κάποιος να λύσει ως προς το</w:t>
      </w:r>
      <w:r>
        <w:rPr>
          <w:i/>
        </w:rPr>
        <w:t xml:space="preserve"> </w:t>
      </w:r>
      <w:r>
        <w:rPr>
          <w:i/>
          <w:lang w:val="en-US"/>
        </w:rPr>
        <w:t>s</w:t>
      </w:r>
      <w:r w:rsidRPr="009562FB">
        <w:rPr>
          <w:i/>
        </w:rPr>
        <w:t>.</w:t>
      </w:r>
      <w:r>
        <w:t xml:space="preserve"> Η διαγραμματική επίλυση του υποδείγματος ακολουθεί. Πιο συγκεκριμένα η ισορροπία στο γράφημα</w:t>
      </w:r>
      <w:r w:rsidR="00C20231">
        <w:t xml:space="preserve"> 7.11</w:t>
      </w:r>
      <w:r>
        <w:t xml:space="preserve"> παρουσιάζεται στο σημείο Ν που αντιστοιχεί σε ένα συνδυασμό </w:t>
      </w:r>
      <w:proofErr w:type="spellStart"/>
      <w:r>
        <w:rPr>
          <w:lang w:val="en-US"/>
        </w:rPr>
        <w:t>p</w:t>
      </w:r>
      <w:r w:rsidRPr="009562FB">
        <w:rPr>
          <w:vertAlign w:val="superscript"/>
          <w:lang w:val="en-US"/>
        </w:rPr>
        <w:t>e</w:t>
      </w:r>
      <w:proofErr w:type="spellEnd"/>
      <w:r w:rsidRPr="009562FB">
        <w:t xml:space="preserve">, </w:t>
      </w:r>
      <w:r>
        <w:rPr>
          <w:lang w:val="en-US"/>
        </w:rPr>
        <w:t>s</w:t>
      </w:r>
      <w:r w:rsidRPr="009562FB">
        <w:rPr>
          <w:vertAlign w:val="superscript"/>
          <w:lang w:val="en-US"/>
        </w:rPr>
        <w:t>e</w:t>
      </w:r>
      <w:r w:rsidRPr="009562FB">
        <w:t xml:space="preserve">. </w:t>
      </w:r>
      <w:r>
        <w:t xml:space="preserve">Θυμίζουμε ότι η συναλλαγματική ισοτιμία είναι εκφρασμένη ως ένα ξένο δίνει </w:t>
      </w:r>
      <w:r>
        <w:rPr>
          <w:lang w:val="en-US"/>
        </w:rPr>
        <w:t>s</w:t>
      </w:r>
      <w:r w:rsidRPr="009562FB">
        <w:t xml:space="preserve"> </w:t>
      </w:r>
      <w:r>
        <w:t>εγχώρια.</w:t>
      </w:r>
      <w:r w:rsidR="00D05BAC">
        <w:t xml:space="preserve"> </w:t>
      </w:r>
    </w:p>
    <w:p w:rsidR="002B3507" w:rsidRPr="00C44834" w:rsidRDefault="002B3507" w:rsidP="00623323">
      <w:pPr>
        <w:spacing w:line="360" w:lineRule="auto"/>
        <w:ind w:firstLine="284"/>
        <w:jc w:val="both"/>
      </w:pPr>
    </w:p>
    <w:p w:rsidR="002B3507" w:rsidRPr="002B3507" w:rsidRDefault="002B3507" w:rsidP="002B3507">
      <w:pPr>
        <w:spacing w:line="360" w:lineRule="auto"/>
        <w:ind w:left="1440"/>
        <w:jc w:val="both"/>
        <w:rPr>
          <w:b/>
        </w:rPr>
      </w:pPr>
      <w:r w:rsidRPr="009562FB">
        <w:rPr>
          <w:b/>
        </w:rPr>
        <w:t>Γράφημα 7</w:t>
      </w:r>
      <w:r w:rsidR="00C20231">
        <w:rPr>
          <w:b/>
        </w:rPr>
        <w:t>.11</w:t>
      </w:r>
      <w:r w:rsidRPr="002B3507">
        <w:rPr>
          <w:b/>
        </w:rPr>
        <w:t xml:space="preserve"> </w:t>
      </w:r>
      <w:r w:rsidRPr="002B3507">
        <w:t xml:space="preserve">Η ισορροπία στο υπόδειγμα </w:t>
      </w:r>
      <w:proofErr w:type="spellStart"/>
      <w:r w:rsidRPr="002B3507">
        <w:rPr>
          <w:lang w:val="en-US"/>
        </w:rPr>
        <w:t>Dornbusch</w:t>
      </w:r>
      <w:proofErr w:type="spellEnd"/>
    </w:p>
    <w:p w:rsidR="002B3507" w:rsidRPr="00F0740C" w:rsidRDefault="002B3507" w:rsidP="002B3507">
      <w:pPr>
        <w:spacing w:line="360" w:lineRule="auto"/>
        <w:ind w:firstLine="284"/>
        <w:jc w:val="center"/>
      </w:pPr>
      <w:r>
        <w:rPr>
          <w:noProof/>
        </w:rPr>
        <w:lastRenderedPageBreak/>
        <w:drawing>
          <wp:inline distT="0" distB="0" distL="0" distR="0">
            <wp:extent cx="3552825" cy="2771775"/>
            <wp:effectExtent l="19050" t="19050" r="28575" b="28575"/>
            <wp:docPr id="78887" name="Εικόνα 7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dorn_1.jpg"/>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2825" cy="2771775"/>
                    </a:xfrm>
                    <a:prstGeom prst="rect">
                      <a:avLst/>
                    </a:prstGeom>
                    <a:ln>
                      <a:solidFill>
                        <a:schemeClr val="tx1"/>
                      </a:solidFill>
                    </a:ln>
                  </pic:spPr>
                </pic:pic>
              </a:graphicData>
            </a:graphic>
          </wp:inline>
        </w:drawing>
      </w:r>
    </w:p>
    <w:p w:rsidR="002B3507" w:rsidRPr="00F0740C" w:rsidRDefault="002B3507" w:rsidP="002B3507">
      <w:pPr>
        <w:spacing w:line="360" w:lineRule="auto"/>
        <w:ind w:firstLine="284"/>
        <w:jc w:val="both"/>
      </w:pPr>
    </w:p>
    <w:p w:rsidR="00D8205F" w:rsidRDefault="00D05BAC" w:rsidP="00D8205F">
      <w:pPr>
        <w:spacing w:line="360" w:lineRule="auto"/>
        <w:ind w:firstLine="720"/>
        <w:jc w:val="both"/>
      </w:pPr>
      <w:r>
        <w:t>Η ΑΑ</w:t>
      </w:r>
      <w:r w:rsidR="00623323">
        <w:t xml:space="preserve"> δ</w:t>
      </w:r>
      <w:r>
        <w:t>ίνει τον γεωμετρικό τόπο των συνδυασμών τιμών και συναλλαγματικής ισοτιμίας</w:t>
      </w:r>
      <w:r w:rsidR="006946EB">
        <w:t>,</w:t>
      </w:r>
      <w:r>
        <w:t xml:space="preserve"> για τους οποίους ισχύει η ισορροπία στην αγορά χρήματος και συναλλάγματος. Το γιατί η </w:t>
      </w:r>
      <w:proofErr w:type="spellStart"/>
      <w:r>
        <w:t>κλιση</w:t>
      </w:r>
      <w:proofErr w:type="spellEnd"/>
      <w:r>
        <w:t xml:space="preserve"> της είναι </w:t>
      </w:r>
      <w:r w:rsidR="00623323">
        <w:t>αρνητική</w:t>
      </w:r>
      <w:r>
        <w:t xml:space="preserve"> εξηγείται από τρείς παρατηρήσεις. </w:t>
      </w:r>
      <w:r w:rsidR="00623323">
        <w:t>Ό</w:t>
      </w:r>
      <w:r>
        <w:t xml:space="preserve">ταν το </w:t>
      </w:r>
      <w:r>
        <w:rPr>
          <w:lang w:val="en-US"/>
        </w:rPr>
        <w:t>p</w:t>
      </w:r>
      <w:r w:rsidRPr="00D05BAC">
        <w:t xml:space="preserve"> </w:t>
      </w:r>
      <w:r>
        <w:t xml:space="preserve">είναι χαμηλό τότε η πραγματική προσφερόμενη ποσότητα χρήματος είναι υψηλή και κατά συνέπεια η ζήτηση χρήματος πρέπει να είναι υψηλή. </w:t>
      </w:r>
      <w:r w:rsidR="00337537">
        <w:t xml:space="preserve">Με δεδομένο ότι το </w:t>
      </w:r>
      <w:r w:rsidR="00337537">
        <w:rPr>
          <w:lang w:val="en-US"/>
        </w:rPr>
        <w:t>p</w:t>
      </w:r>
      <w:r w:rsidR="00337537">
        <w:t xml:space="preserve"> είναι χαμηλό και το </w:t>
      </w:r>
      <w:r w:rsidR="00337537">
        <w:rPr>
          <w:lang w:val="en-US"/>
        </w:rPr>
        <w:t>y</w:t>
      </w:r>
      <w:r w:rsidR="00337537" w:rsidRPr="00337537">
        <w:t xml:space="preserve"> </w:t>
      </w:r>
      <w:r w:rsidR="00337537">
        <w:t xml:space="preserve">σταθερό στην πλήρη απασχόληση η ζήτηση χρήματος αυξάνεται όταν το </w:t>
      </w:r>
      <w:r w:rsidR="00337537">
        <w:rPr>
          <w:lang w:val="en-US"/>
        </w:rPr>
        <w:t>r</w:t>
      </w:r>
      <w:r w:rsidR="00337537" w:rsidRPr="00337537">
        <w:t xml:space="preserve"> </w:t>
      </w:r>
      <w:r w:rsidR="00337537">
        <w:t xml:space="preserve">είναι χαμηλό. Όταν όμως το </w:t>
      </w:r>
      <w:r w:rsidR="00337537">
        <w:rPr>
          <w:lang w:val="en-US"/>
        </w:rPr>
        <w:t>r</w:t>
      </w:r>
      <w:r w:rsidR="00337537" w:rsidRPr="00337537">
        <w:t xml:space="preserve"> </w:t>
      </w:r>
      <w:r w:rsidR="00337537">
        <w:t xml:space="preserve">είναι χαμηλό και είναι σταθερό το </w:t>
      </w:r>
      <w:r w:rsidR="00337537">
        <w:rPr>
          <w:lang w:val="en-US"/>
        </w:rPr>
        <w:t>r</w:t>
      </w:r>
      <w:r w:rsidR="00337537" w:rsidRPr="00337537">
        <w:t xml:space="preserve">* </w:t>
      </w:r>
      <w:r w:rsidR="00337537">
        <w:t xml:space="preserve">από το ακάλυπτο αρμπιτράζ επιτοκίων προκειμένου να πειστούν να αγοράσουν εγχώριους τίτλους οι επενδυτές αναμένουν μια ανατίμηση του εγχώριου νομίσματος. Αλλά οι επενδυτές με παλινδρομικές προσδοκίες θα αναμένουν μια ανατίμηση </w:t>
      </w:r>
      <w:r w:rsidR="00623323">
        <w:t xml:space="preserve">(υποτίμηση) </w:t>
      </w:r>
      <w:r w:rsidR="00337537">
        <w:t>του εγχώριου νομίσ</w:t>
      </w:r>
      <w:r w:rsidR="00623323">
        <w:t xml:space="preserve">ματος μόνο όταν το νόμισμα είναι πολύ πιο κάτω (πάνω) από την μακροχρόνια τιμή ισορροπίας. Έτσι για χαμηλό </w:t>
      </w:r>
      <w:r w:rsidR="00623323">
        <w:rPr>
          <w:lang w:val="en-US"/>
        </w:rPr>
        <w:t>r</w:t>
      </w:r>
      <w:r w:rsidR="00623323">
        <w:t xml:space="preserve">, το </w:t>
      </w:r>
      <w:r w:rsidR="00623323">
        <w:rPr>
          <w:lang w:val="en-US"/>
        </w:rPr>
        <w:t>s</w:t>
      </w:r>
      <w:r w:rsidR="00623323" w:rsidRPr="00623323">
        <w:t xml:space="preserve"> </w:t>
      </w:r>
      <w:r w:rsidR="00623323">
        <w:t>θα πρέπει να είναι υψηλό.</w:t>
      </w:r>
      <w:r w:rsidR="00623323" w:rsidRPr="00623323">
        <w:t xml:space="preserve"> </w:t>
      </w:r>
    </w:p>
    <w:p w:rsidR="00F0740C" w:rsidRDefault="00623323" w:rsidP="00D8205F">
      <w:pPr>
        <w:spacing w:line="360" w:lineRule="auto"/>
        <w:ind w:firstLine="720"/>
        <w:jc w:val="both"/>
      </w:pPr>
      <w:proofErr w:type="gramStart"/>
      <w:r>
        <w:rPr>
          <w:lang w:val="en-US"/>
        </w:rPr>
        <w:t>H</w:t>
      </w:r>
      <w:r w:rsidRPr="00623323">
        <w:t xml:space="preserve"> </w:t>
      </w:r>
      <w:r>
        <w:rPr>
          <w:lang w:val="en-US"/>
        </w:rPr>
        <w:t>XX</w:t>
      </w:r>
      <w:r w:rsidRPr="00623323">
        <w:t xml:space="preserve"> </w:t>
      </w:r>
      <w:r>
        <w:t xml:space="preserve">δείχνει τους συνδυασμούς </w:t>
      </w:r>
      <w:r>
        <w:rPr>
          <w:lang w:val="en-US"/>
        </w:rPr>
        <w:t>p</w:t>
      </w:r>
      <w:r w:rsidRPr="00623323">
        <w:t xml:space="preserve">, </w:t>
      </w:r>
      <w:r>
        <w:rPr>
          <w:lang w:val="en-US"/>
        </w:rPr>
        <w:t>s</w:t>
      </w:r>
      <w:r w:rsidRPr="00623323">
        <w:t xml:space="preserve"> </w:t>
      </w:r>
      <w:r>
        <w:t>για τους οποίους υπάρχει ισορροπία στην αγορά αγαθών.</w:t>
      </w:r>
      <w:proofErr w:type="gramEnd"/>
      <w:r>
        <w:t xml:space="preserve"> Μια άνοδος των τιμών μειώνει την ζ</w:t>
      </w:r>
      <w:r w:rsidR="007B21AD">
        <w:t>ήτηση</w:t>
      </w:r>
      <w:r w:rsidR="007B21AD" w:rsidRPr="007B21AD">
        <w:t xml:space="preserve"> </w:t>
      </w:r>
      <w:r w:rsidR="007B21AD">
        <w:t xml:space="preserve">και αυτό οφείλεται σε δυο κυρίως λόγους. Μια άνοδος των τιμών χειροτερεύει την ανταγωνιστικότητα μέσα από την πραγματική συναλλαγματική </w:t>
      </w:r>
      <w:proofErr w:type="spellStart"/>
      <w:r w:rsidR="007B21AD">
        <w:t>ιοτιμία</w:t>
      </w:r>
      <w:proofErr w:type="spellEnd"/>
      <w:r w:rsidR="007B21AD">
        <w:t>. Για να ανακτήσει την χαμένη ανταγωνιστικότητα το εγχώριο νόμισμ</w:t>
      </w:r>
      <w:r w:rsidR="004B57D7">
        <w:t xml:space="preserve">α πρέπει να υποτιμηθεί </w:t>
      </w:r>
      <w:r w:rsidR="007B21AD">
        <w:t xml:space="preserve">. Έτσι </w:t>
      </w:r>
      <w:r w:rsidR="007B21AD">
        <w:rPr>
          <w:lang w:val="en-US"/>
        </w:rPr>
        <w:t>s</w:t>
      </w:r>
      <w:r w:rsidR="007B21AD" w:rsidRPr="007B21AD">
        <w:t xml:space="preserve"> </w:t>
      </w:r>
      <w:r w:rsidR="007B21AD">
        <w:t>και</w:t>
      </w:r>
      <w:r w:rsidR="007B21AD" w:rsidRPr="007B21AD">
        <w:t xml:space="preserve"> </w:t>
      </w:r>
      <w:r w:rsidR="007B21AD">
        <w:rPr>
          <w:lang w:val="en-US"/>
        </w:rPr>
        <w:t>p</w:t>
      </w:r>
      <w:r w:rsidR="007B21AD" w:rsidRPr="007B21AD">
        <w:t xml:space="preserve"> </w:t>
      </w:r>
      <w:r w:rsidR="007B21AD">
        <w:t xml:space="preserve">κινούνται στην ίδια κατεύθυνση. Εάν συνέβαινε μόνο αυτό τότε θα κινούμασταν πάνω στην </w:t>
      </w:r>
      <w:r w:rsidR="007B21AD">
        <w:rPr>
          <w:lang w:val="en-US"/>
        </w:rPr>
        <w:t>PPP</w:t>
      </w:r>
      <w:r w:rsidR="007B21AD" w:rsidRPr="007B21AD">
        <w:t>.</w:t>
      </w:r>
      <w:r w:rsidR="007B21AD">
        <w:t xml:space="preserve"> Όμως μια άνοδος των τιμών μειώνει την πραγματική προσφερόμενη ποσότητα </w:t>
      </w:r>
      <w:r w:rsidR="007B21AD">
        <w:lastRenderedPageBreak/>
        <w:t xml:space="preserve">χρήματος. Τα εγχώρια επιτόκια αυξάνονται κάνοντας την εγχώρια ζήτηση να μειωθεί. Έτσι για την εκκαθάριση της αγοράς αγαθών δεν είναι απαραίτητη η άνοδος της συναλλαγματικής ισοτιμίας που προτείνεται από την πραγματική συναλλαγματική ισοτιμία. Έτσι η ΧΧ είναι περισσότερο επίπεδη από ότι η </w:t>
      </w:r>
      <w:r w:rsidR="007B21AD">
        <w:rPr>
          <w:lang w:val="en-US"/>
        </w:rPr>
        <w:t>PPP</w:t>
      </w:r>
      <w:r w:rsidR="007B21AD" w:rsidRPr="007B21AD">
        <w:t xml:space="preserve">. </w:t>
      </w:r>
      <w:r w:rsidR="007B21AD">
        <w:t xml:space="preserve">Σημειώστε ότι κάτω από την ΧΧ </w:t>
      </w:r>
      <w:r w:rsidR="00F0740C">
        <w:t>υπάρχει πλεονάζουσα ζήτηση αγαθών και οι τιμές τείνουν να αυξάνονται ενώ πάνω από αυτή υπάρχει πλεονάζουσα προσφορά και οι τιμές τείνουν να μειώνονται. Υποθέτουμε ότι οι αγορές χρήματος και συναλλάγματος βρίσκονται πάντα σε ισορροπία έτσι κάθε φορά για παράδειγμα που βρισκόμαστε δεξιά της ΧΧ κινούμαστε πάνω στην ΑΑ προς το Ν μέσα από μια άνοδο των τιμών.</w:t>
      </w:r>
    </w:p>
    <w:p w:rsidR="00D8205F" w:rsidRDefault="00D8205F" w:rsidP="00D8205F">
      <w:pPr>
        <w:spacing w:line="360" w:lineRule="auto"/>
        <w:ind w:firstLine="720"/>
        <w:jc w:val="both"/>
      </w:pPr>
    </w:p>
    <w:p w:rsidR="002B3507" w:rsidRPr="002B3507" w:rsidRDefault="002B3507" w:rsidP="002B3507">
      <w:pPr>
        <w:spacing w:line="360" w:lineRule="auto"/>
        <w:jc w:val="center"/>
        <w:rPr>
          <w:b/>
        </w:rPr>
      </w:pPr>
      <w:r w:rsidRPr="009562FB">
        <w:rPr>
          <w:b/>
        </w:rPr>
        <w:t>Γράφημα 7.</w:t>
      </w:r>
      <w:r w:rsidR="00C20231">
        <w:rPr>
          <w:b/>
        </w:rPr>
        <w:t>12</w:t>
      </w:r>
      <w:r w:rsidRPr="009562FB">
        <w:rPr>
          <w:b/>
        </w:rPr>
        <w:t xml:space="preserve">   </w:t>
      </w:r>
      <w:r w:rsidRPr="002B3507">
        <w:t>Η επίδραση ενός νομισματικού σοκ</w:t>
      </w:r>
      <w:r>
        <w:rPr>
          <w:b/>
        </w:rPr>
        <w:t xml:space="preserve"> </w:t>
      </w:r>
      <w:r w:rsidRPr="002B3507">
        <w:t xml:space="preserve">στο υπόδειγμα </w:t>
      </w:r>
      <w:proofErr w:type="spellStart"/>
      <w:r w:rsidRPr="002B3507">
        <w:rPr>
          <w:lang w:val="en-US"/>
        </w:rPr>
        <w:t>Dornbusch</w:t>
      </w:r>
      <w:proofErr w:type="spellEnd"/>
    </w:p>
    <w:p w:rsidR="002B3507" w:rsidRDefault="002B3507" w:rsidP="002B3507">
      <w:pPr>
        <w:spacing w:line="360" w:lineRule="auto"/>
        <w:ind w:firstLine="284"/>
        <w:jc w:val="center"/>
      </w:pPr>
      <w:r>
        <w:rPr>
          <w:noProof/>
        </w:rPr>
        <w:drawing>
          <wp:inline distT="0" distB="0" distL="0" distR="0">
            <wp:extent cx="3486150" cy="2790825"/>
            <wp:effectExtent l="19050" t="19050" r="19050" b="28575"/>
            <wp:docPr id="78888" name="Εικόνα 7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dorn_2.jpg"/>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6150" cy="2790825"/>
                    </a:xfrm>
                    <a:prstGeom prst="rect">
                      <a:avLst/>
                    </a:prstGeom>
                    <a:ln>
                      <a:solidFill>
                        <a:schemeClr val="tx1"/>
                      </a:solidFill>
                    </a:ln>
                  </pic:spPr>
                </pic:pic>
              </a:graphicData>
            </a:graphic>
          </wp:inline>
        </w:drawing>
      </w:r>
    </w:p>
    <w:p w:rsidR="00D8205F" w:rsidRDefault="00D8205F" w:rsidP="00D8205F">
      <w:pPr>
        <w:spacing w:line="360" w:lineRule="auto"/>
        <w:jc w:val="both"/>
      </w:pPr>
    </w:p>
    <w:p w:rsidR="009562FB" w:rsidRPr="00FA1CD9" w:rsidRDefault="00F0740C" w:rsidP="00D8205F">
      <w:pPr>
        <w:spacing w:line="360" w:lineRule="auto"/>
        <w:ind w:firstLine="720"/>
        <w:jc w:val="both"/>
      </w:pPr>
      <w:r>
        <w:t>Η κατανόηση του υποδείγματος γίνεται καλύτερα μέσα από την διαγραμματική παρουσίαση μιας στιγμιαίας αύξησης στην προσφορά χρήματος</w:t>
      </w:r>
      <w:r w:rsidR="002B3507">
        <w:t xml:space="preserve"> (γράφημα</w:t>
      </w:r>
      <w:r w:rsidR="00C20231">
        <w:t xml:space="preserve"> 7.12</w:t>
      </w:r>
      <w:r w:rsidR="002B3507">
        <w:t>)</w:t>
      </w:r>
      <w:r>
        <w:t>. Η ΑΑ θα μετακινηθεί προς τα δεξιά. Δεν θα υπάρξει κάποια μόνιμη επίδραση στο ισοζύγιο πληρωμών και η ΙΑΔ θα ισχύσει στο νέο σημείο ισορροπίας Ν</w:t>
      </w:r>
      <w:r w:rsidRPr="00F0740C">
        <w:rPr>
          <w:vertAlign w:val="superscript"/>
        </w:rPr>
        <w:t>1</w:t>
      </w:r>
      <w:r>
        <w:t xml:space="preserve"> </w:t>
      </w:r>
      <w:proofErr w:type="spellStart"/>
      <w:r>
        <w:t>μετα</w:t>
      </w:r>
      <w:proofErr w:type="spellEnd"/>
      <w:r>
        <w:t xml:space="preserve"> την μετακίνηση της ΧΧ προς τα επάνω. Οι ορθολογικοί επενδυτές αντιλαμβάνονται αυτή την κίνηση. Το </w:t>
      </w:r>
      <w:proofErr w:type="spellStart"/>
      <w:r>
        <w:t>νεό</w:t>
      </w:r>
      <w:proofErr w:type="spellEnd"/>
      <w:r>
        <w:t xml:space="preserve"> σημείο μακροχρόνια</w:t>
      </w:r>
      <w:r w:rsidR="004B57D7">
        <w:t>ς</w:t>
      </w:r>
      <w:r>
        <w:t xml:space="preserve"> ισορροπίας επιτυγχάνεται σε δύο στάδια. Πρώτα η μη αναμενόμενη άνοδος στην προσφορά χρήματος μετακινεί την ΧΧ προς τα επάνω και οι επενδυτές αναμένουν μια ανατίμηση του ξένου νομίσματος στο </w:t>
      </w:r>
      <w:r>
        <w:rPr>
          <w:lang w:val="en-US"/>
        </w:rPr>
        <w:t>s</w:t>
      </w:r>
      <w:r w:rsidRPr="00F0740C">
        <w:rPr>
          <w:vertAlign w:val="superscript"/>
          <w:lang w:val="en-US"/>
        </w:rPr>
        <w:t>e</w:t>
      </w:r>
      <w:r w:rsidRPr="00F0740C">
        <w:rPr>
          <w:vertAlign w:val="superscript"/>
        </w:rPr>
        <w:t>1</w:t>
      </w:r>
      <w:r w:rsidRPr="00F0740C">
        <w:t xml:space="preserve">. </w:t>
      </w:r>
      <w:r>
        <w:t xml:space="preserve">Επειδή όμως </w:t>
      </w:r>
      <w:r w:rsidR="00FA1CD9">
        <w:t xml:space="preserve">οι εγχώριες τιμές κινούνται </w:t>
      </w:r>
      <w:r w:rsidR="00FA1CD9">
        <w:lastRenderedPageBreak/>
        <w:t xml:space="preserve">αργά, η αρχική αύξηση των πραγματικών </w:t>
      </w:r>
      <w:proofErr w:type="spellStart"/>
      <w:r w:rsidR="00FA1CD9">
        <w:t>ρευστώ</w:t>
      </w:r>
      <w:proofErr w:type="spellEnd"/>
      <w:r w:rsidR="00FA1CD9">
        <w:t xml:space="preserve"> διαθεσίμων και τα χαμηλά εγχώρια επιτόκια οδηγούν τους επενδυτές να πουλήσουν το εγχώριο νόμισμα ωθώντας άμεσα την συναλλαγματική ισοτιμία στο </w:t>
      </w:r>
      <w:r w:rsidR="00FA1CD9">
        <w:rPr>
          <w:lang w:val="en-US"/>
        </w:rPr>
        <w:t>s</w:t>
      </w:r>
      <w:r w:rsidR="00FA1CD9" w:rsidRPr="004B57D7">
        <w:rPr>
          <w:vertAlign w:val="superscript"/>
        </w:rPr>
        <w:t>2</w:t>
      </w:r>
      <w:r w:rsidR="00FA1CD9" w:rsidRPr="00FA1CD9">
        <w:t xml:space="preserve">. </w:t>
      </w:r>
      <w:r w:rsidR="00FA1CD9">
        <w:t xml:space="preserve">Εκεί όμως οι επενδυτές αναγνωρίζουν τις προϋποθέσεις ανατίμησης του εγχώριου νομίσματος για την αντιστάθμιση των χαμηλών επιτοκίων και η περαιτέρω υποτίμηση του </w:t>
      </w:r>
      <w:r w:rsidR="00D22A80">
        <w:t>ε</w:t>
      </w:r>
      <w:r w:rsidR="00FA1CD9">
        <w:t xml:space="preserve">γχώριου νομίσματος παύει. </w:t>
      </w:r>
      <w:r w:rsidR="00D22A80">
        <w:t>Τέλος σε αυτό το σημείο</w:t>
      </w:r>
      <w:r w:rsidR="00FA1CD9">
        <w:t xml:space="preserve"> ακολουθεί η βαθμιαία προσαρμογή των τιμών στην αγορά αγαθών που ωθεί προς την νέα συναλλαγματική ισοτιμία ισορροπίας </w:t>
      </w:r>
      <w:r w:rsidR="00FA1CD9">
        <w:rPr>
          <w:lang w:val="en-US"/>
        </w:rPr>
        <w:t>s</w:t>
      </w:r>
      <w:r w:rsidR="00FA1CD9" w:rsidRPr="00FA1CD9">
        <w:rPr>
          <w:vertAlign w:val="superscript"/>
          <w:lang w:val="en-US"/>
        </w:rPr>
        <w:t>e</w:t>
      </w:r>
      <w:r w:rsidR="00FA1CD9" w:rsidRPr="00FA1CD9">
        <w:rPr>
          <w:vertAlign w:val="superscript"/>
        </w:rPr>
        <w:t>1</w:t>
      </w:r>
      <w:r w:rsidR="00FA1CD9" w:rsidRPr="00FA1CD9">
        <w:t>.</w:t>
      </w:r>
    </w:p>
    <w:p w:rsidR="009562FB" w:rsidRDefault="009562FB" w:rsidP="00B06654">
      <w:pPr>
        <w:spacing w:line="360" w:lineRule="auto"/>
        <w:ind w:firstLine="284"/>
        <w:jc w:val="both"/>
      </w:pPr>
    </w:p>
    <w:p w:rsidR="005D5CC5" w:rsidRDefault="005D5CC5" w:rsidP="005D5CC5">
      <w:pPr>
        <w:pStyle w:val="2"/>
        <w:spacing w:before="0" w:after="0" w:line="360" w:lineRule="auto"/>
        <w:jc w:val="both"/>
        <w:rPr>
          <w:rFonts w:ascii="Times New Roman" w:hAnsi="Times New Roman" w:cs="Times New Roman"/>
          <w:i w:val="0"/>
          <w:sz w:val="24"/>
          <w:szCs w:val="24"/>
        </w:rPr>
      </w:pPr>
      <w:bookmarkStart w:id="40" w:name="_Toc395803105"/>
      <w:bookmarkStart w:id="41" w:name="_Toc396220914"/>
      <w:r>
        <w:rPr>
          <w:rFonts w:ascii="Times New Roman" w:hAnsi="Times New Roman" w:cs="Times New Roman"/>
          <w:i w:val="0"/>
          <w:sz w:val="24"/>
          <w:szCs w:val="24"/>
        </w:rPr>
        <w:t>7.5.3</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Το υπόδειγμα του διαφορικού πραγματικού επιτοκίου</w:t>
      </w:r>
      <w:bookmarkEnd w:id="40"/>
      <w:bookmarkEnd w:id="41"/>
      <w:r>
        <w:rPr>
          <w:rFonts w:ascii="Times New Roman" w:hAnsi="Times New Roman" w:cs="Times New Roman"/>
          <w:i w:val="0"/>
          <w:sz w:val="24"/>
          <w:szCs w:val="24"/>
        </w:rPr>
        <w:t xml:space="preserve"> </w:t>
      </w:r>
    </w:p>
    <w:p w:rsidR="00E91B1D" w:rsidRDefault="00E91B1D" w:rsidP="002426EE">
      <w:pPr>
        <w:spacing w:line="360" w:lineRule="auto"/>
        <w:ind w:firstLine="720"/>
        <w:jc w:val="both"/>
      </w:pPr>
      <w:r w:rsidRPr="00E91B1D">
        <w:t xml:space="preserve">Ο </w:t>
      </w:r>
      <w:proofErr w:type="spellStart"/>
      <w:r w:rsidRPr="00E91B1D">
        <w:t>Frankel</w:t>
      </w:r>
      <w:proofErr w:type="spellEnd"/>
      <w:r w:rsidRPr="00E91B1D">
        <w:t xml:space="preserve"> (1979) ανέπτυξε </w:t>
      </w:r>
      <w:r>
        <w:t xml:space="preserve">ένα πιο γενικό </w:t>
      </w:r>
      <w:r w:rsidRPr="00E91B1D">
        <w:t>υπόδειγμα</w:t>
      </w:r>
      <w:r>
        <w:t xml:space="preserve"> καθορισμού της συναλλαγματικής ισοτιμίας</w:t>
      </w:r>
      <w:r w:rsidRPr="00E91B1D">
        <w:t xml:space="preserve"> του οποίο</w:t>
      </w:r>
      <w:r>
        <w:t xml:space="preserve">υ ειδικές περιπτώσεις αποτελούν </w:t>
      </w:r>
      <w:r w:rsidRPr="00E91B1D">
        <w:t xml:space="preserve">το </w:t>
      </w:r>
      <w:r>
        <w:t>υπόδειγμα των εύκαμπτων τιμών (</w:t>
      </w:r>
      <w:proofErr w:type="spellStart"/>
      <w:r w:rsidRPr="00E91B1D">
        <w:t>flexible</w:t>
      </w:r>
      <w:proofErr w:type="spellEnd"/>
      <w:r w:rsidRPr="00E91B1D">
        <w:t>-</w:t>
      </w:r>
      <w:proofErr w:type="spellStart"/>
      <w:r w:rsidRPr="00E91B1D">
        <w:t>price</w:t>
      </w:r>
      <w:proofErr w:type="spellEnd"/>
      <w:r>
        <w:t xml:space="preserve"> </w:t>
      </w:r>
      <w:r>
        <w:rPr>
          <w:lang w:val="en-US"/>
        </w:rPr>
        <w:t>model</w:t>
      </w:r>
      <w:r>
        <w:t>)</w:t>
      </w:r>
      <w:r w:rsidRPr="00E91B1D">
        <w:t xml:space="preserve"> και το </w:t>
      </w:r>
      <w:r>
        <w:t xml:space="preserve">υπόδειγμα με την ατελή ευκαμψία τιμών </w:t>
      </w:r>
      <w:r w:rsidRPr="00E91B1D">
        <w:t>(</w:t>
      </w:r>
      <w:proofErr w:type="spellStart"/>
      <w:r w:rsidRPr="00E91B1D">
        <w:t>sticky</w:t>
      </w:r>
      <w:proofErr w:type="spellEnd"/>
      <w:r w:rsidRPr="00E91B1D">
        <w:t>-</w:t>
      </w:r>
      <w:proofErr w:type="spellStart"/>
      <w:r w:rsidRPr="00E91B1D">
        <w:t>price</w:t>
      </w:r>
      <w:proofErr w:type="spellEnd"/>
      <w:r w:rsidRPr="00E91B1D">
        <w:t xml:space="preserve"> </w:t>
      </w:r>
      <w:r>
        <w:rPr>
          <w:lang w:val="en-US"/>
        </w:rPr>
        <w:t>model</w:t>
      </w:r>
      <w:r w:rsidRPr="00E91B1D">
        <w:t xml:space="preserve">). Το υπόδειγμα ξεκινά με τη γνωστή συνθήκη ισορροπίας </w:t>
      </w:r>
      <w:r>
        <w:t>στις αγορές</w:t>
      </w:r>
      <w:r w:rsidRPr="00E91B1D">
        <w:t xml:space="preserve"> χρ</w:t>
      </w:r>
      <w:r>
        <w:t>ήματος των δύο χωρών.</w:t>
      </w:r>
    </w:p>
    <w:p w:rsidR="00E91B1D" w:rsidRPr="00D8205F" w:rsidRDefault="00EA318F" w:rsidP="00D8205F">
      <w:pPr>
        <w:spacing w:line="360" w:lineRule="auto"/>
        <w:ind w:left="1440" w:firstLine="720"/>
        <w:jc w:val="both"/>
        <w:rPr>
          <w:i/>
          <w:lang w:val="en-US"/>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=φ</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-μ</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oMath>
      </m:oMathPara>
    </w:p>
    <w:p w:rsidR="00E91B1D" w:rsidRPr="00D8205F" w:rsidRDefault="00EA318F" w:rsidP="00D8205F">
      <w:pPr>
        <w:spacing w:line="360" w:lineRule="auto"/>
        <w:ind w:left="1440" w:firstLine="720"/>
        <w:jc w:val="both"/>
        <w:rPr>
          <w:i/>
          <w:lang w:val="en-US"/>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t</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=φ</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-μ</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oMath>
      </m:oMathPara>
    </w:p>
    <w:p w:rsidR="00E91B1D" w:rsidRPr="00E91B1D" w:rsidRDefault="00E91B1D" w:rsidP="002426EE">
      <w:pPr>
        <w:spacing w:line="360" w:lineRule="auto"/>
        <w:jc w:val="both"/>
      </w:pPr>
      <w:r w:rsidRPr="00E91B1D">
        <w:t>Στην συνέχεια αφαιρούμε την δεύτερη από την πρώτη εξίσωση</w:t>
      </w:r>
      <w:r>
        <w:t xml:space="preserve"> και βρίσκουμε:</w:t>
      </w:r>
    </w:p>
    <w:p w:rsidR="00CC277D" w:rsidRDefault="00EA318F" w:rsidP="00CC277D">
      <w:pPr>
        <w:spacing w:line="360" w:lineRule="auto"/>
        <w:ind w:firstLine="284"/>
        <w:jc w:val="center"/>
      </w:pPr>
      <m:oMath>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r>
              <m:rPr>
                <m:sty m:val="p"/>
              </m:rPr>
              <w:rPr>
                <w:rFonts w:ascii="Cambria Math" w:hAnsi="Cambria Math"/>
              </w:rPr>
              <m:t>-m</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-p</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t</m:t>
                </m:r>
              </m:sub>
              <m:sup>
                <m:r>
                  <m:rPr>
                    <m:sty m:val="p"/>
                  </m:rPr>
                  <w:rPr>
                    <w:rFonts w:ascii="Cambria Math" w:hAnsi="Cambria Math"/>
                  </w:rPr>
                  <m:t>*</m:t>
                </m:r>
              </m:sup>
            </m:sSubSup>
          </m:e>
        </m:d>
        <m:r>
          <m:rPr>
            <m:sty m:val="p"/>
          </m:rPr>
          <w:rPr>
            <w:rFonts w:ascii="Cambria Math" w:hAnsi="Cambria Math"/>
          </w:rPr>
          <m:t>-μ</m:t>
        </m:r>
        <m:d>
          <m:dPr>
            <m:ctrlPr>
              <w:rPr>
                <w:rFonts w:ascii="Cambria Math" w:hAnsi="Cambria Math"/>
              </w:rPr>
            </m:ctrlPr>
          </m:d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t</m:t>
                </m:r>
              </m:sub>
              <m:sup>
                <m:r>
                  <m:rPr>
                    <m:sty m:val="p"/>
                  </m:rPr>
                  <w:rPr>
                    <w:rFonts w:ascii="Cambria Math" w:hAnsi="Cambria Math"/>
                  </w:rPr>
                  <m:t>*</m:t>
                </m:r>
              </m:sup>
            </m:sSubSup>
          </m:e>
        </m:d>
      </m:oMath>
      <w:r w:rsidR="00CC277D">
        <w:tab/>
        <w:t>(7.</w:t>
      </w:r>
      <w:r w:rsidR="00D8205F">
        <w:t>20</w:t>
      </w:r>
      <w:r w:rsidR="00CC277D">
        <w:t>)</w:t>
      </w:r>
    </w:p>
    <w:p w:rsidR="00E91B1D" w:rsidRDefault="00E91B1D" w:rsidP="002426EE">
      <w:pPr>
        <w:spacing w:line="360" w:lineRule="auto"/>
        <w:jc w:val="both"/>
      </w:pPr>
      <w:r>
        <w:t>Λαμβάνοντας υπόψη ότι</w:t>
      </w:r>
      <w:r w:rsidRPr="00E91B1D">
        <w:t xml:space="preserve"> ισχύει η συνθήκη του ακάλυπτου αρμπιτράζ επιτοκίων (ΑΑΕ – UIP) σε λογαριθμική μορφή:</w:t>
      </w:r>
    </w:p>
    <w:p w:rsidR="004D02B0" w:rsidRDefault="00EA318F" w:rsidP="00220632">
      <w:pPr>
        <w:spacing w:line="360" w:lineRule="auto"/>
        <w:ind w:left="720" w:firstLine="720"/>
        <w:jc w:val="both"/>
      </w:pP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oMath>
      <w:r w:rsidR="004D02B0">
        <w:tab/>
      </w:r>
      <w:r w:rsidR="00220632">
        <w:tab/>
      </w:r>
      <w:r w:rsidR="00220632">
        <w:tab/>
      </w:r>
      <w:r w:rsidR="00220632">
        <w:tab/>
      </w:r>
      <w:r w:rsidR="00220632">
        <w:tab/>
        <w:t xml:space="preserve">    </w:t>
      </w:r>
      <w:r w:rsidR="004D02B0">
        <w:t>(</w:t>
      </w:r>
      <w:r w:rsidR="00714B58">
        <w:t>7.</w:t>
      </w:r>
      <w:r w:rsidR="00D8205F">
        <w:t>21</w:t>
      </w:r>
      <w:r w:rsidR="004D02B0">
        <w:t xml:space="preserve"> )</w:t>
      </w:r>
    </w:p>
    <w:p w:rsidR="00137875" w:rsidRDefault="00137875" w:rsidP="002426EE">
      <w:pPr>
        <w:spacing w:line="360" w:lineRule="auto"/>
        <w:ind w:firstLine="720"/>
        <w:jc w:val="both"/>
      </w:pPr>
      <w:r>
        <w:t xml:space="preserve">Ο ρυθμός μεταβολής της αναμενόμενης συναλλαγματικής ισοτιμίας </w:t>
      </w:r>
      <w:r w:rsidRPr="00137875">
        <w:t xml:space="preserve">σχετίζεται θετικά </w:t>
      </w:r>
      <w:r w:rsidR="004B57D7">
        <w:t xml:space="preserve">τόσο </w:t>
      </w:r>
      <w:r w:rsidRPr="00137875">
        <w:t>με τη</w:t>
      </w:r>
      <w:r>
        <w:t xml:space="preserve">ν απόκλιση της μακροχρόνιας τιμής ισορροπίας της συναλλαγματικής ισοτιμίας από την τρέχουσα </w:t>
      </w:r>
      <w:r w:rsidR="00714B58">
        <w:t>συναλλαγματική ισοτιμία</w:t>
      </w:r>
      <w:r w:rsidRPr="00137875">
        <w:t>,</w:t>
      </w:r>
      <w:r w:rsidR="004B57D7">
        <w:t xml:space="preserve"> όσο</w:t>
      </w:r>
      <w:r w:rsidRPr="00137875">
        <w:t xml:space="preserve"> </w:t>
      </w:r>
      <w:r>
        <w:t>και με τον διαφορικό αναμενόμενο πληθωρισμό.</w:t>
      </w:r>
    </w:p>
    <w:p w:rsidR="004D02B0" w:rsidRDefault="00EA318F" w:rsidP="002426EE">
      <w:pPr>
        <w:spacing w:line="360" w:lineRule="auto"/>
        <w:ind w:left="720" w:firstLine="720"/>
        <w:jc w:val="both"/>
      </w:pPr>
      <m:oMath>
        <m:sSubSup>
          <m:sSubSupPr>
            <m:ctrlPr>
              <w:rPr>
                <w:rFonts w:ascii="Cambria Math" w:hAnsi="Cambria Math"/>
                <w:i/>
              </w:rPr>
            </m:ctrlPr>
          </m:sSubSupPr>
          <m:e>
            <m:sSubSup>
              <m:sSubSupPr>
                <m:ctrlPr>
                  <w:rPr>
                    <w:rFonts w:ascii="Cambria Math" w:hAnsi="Cambria Math"/>
                    <w:i/>
                  </w:rPr>
                </m:ctrlPr>
              </m:sSubSup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rPr>
                  <m:t>Δ</m:t>
                </m:r>
                <m:r>
                  <w:rPr>
                    <w:rFonts w:ascii="Cambria Math" w:hAnsi="Cambria Math"/>
                    <w:lang w:val="en-US"/>
                  </w:rPr>
                  <m:t>s</m:t>
                </m:r>
              </m:e>
              <m:sub>
                <m:r>
                  <w:rPr>
                    <w:rFonts w:ascii="Cambria Math" w:hAnsi="Cambria Math"/>
                  </w:rPr>
                  <m:t>t+1</m:t>
                </m:r>
              </m:sub>
              <m:sup/>
            </m:sSubSup>
            <m:r>
              <w:rPr>
                <w:rFonts w:ascii="Cambria Math" w:hAnsi="Cambria Math"/>
              </w:rPr>
              <m:t>=</m:t>
            </m:r>
            <m:sSub>
              <m:sSubPr>
                <m:ctrlPr>
                  <w:rPr>
                    <w:rFonts w:ascii="Cambria Math" w:hAnsi="Cambria Math"/>
                    <w:i/>
                  </w:rPr>
                </m:ctrlPr>
              </m:sSubPr>
              <m:e>
                <m:r>
                  <w:rPr>
                    <w:rFonts w:ascii="Cambria Math" w:hAnsi="Cambria Math"/>
                  </w:rPr>
                  <m:t>θ(</m:t>
                </m:r>
                <m:acc>
                  <m:accPr>
                    <m:chr m:val="̅"/>
                    <m:ctrlPr>
                      <w:rPr>
                        <w:rFonts w:ascii="Cambria Math" w:hAnsi="Cambria Math"/>
                        <w:i/>
                        <w:lang w:val="en-US"/>
                      </w:rPr>
                    </m:ctrlPr>
                  </m:accPr>
                  <m:e>
                    <m:r>
                      <w:rPr>
                        <w:rFonts w:ascii="Cambria Math" w:hAnsi="Cambria Math"/>
                        <w:lang w:val="en-US"/>
                      </w:rPr>
                      <m:t>s</m:t>
                    </m:r>
                  </m:e>
                </m:acc>
                <m:r>
                  <w:rPr>
                    <w:rFonts w:ascii="Cambria Math" w:hAnsi="Cambria Math"/>
                  </w:rPr>
                  <m:t>-</m:t>
                </m:r>
                <m:r>
                  <w:rPr>
                    <w:rFonts w:ascii="Cambria Math" w:hAnsi="Cambria Math"/>
                    <w:lang w:val="en-US"/>
                  </w:rPr>
                  <m:t>s</m:t>
                </m:r>
              </m:e>
              <m:sub>
                <m:r>
                  <w:rPr>
                    <w:rFonts w:ascii="Cambria Math" w:hAnsi="Cambria Math"/>
                  </w:rPr>
                  <m:t>t</m:t>
                </m:r>
              </m:sub>
            </m:sSub>
            <m:r>
              <w:rPr>
                <w:rFonts w:ascii="Cambria Math" w:hAnsi="Cambria Math"/>
              </w:rPr>
              <m:t>)</m:t>
            </m:r>
          </m:e>
          <m:sub/>
          <m:sup/>
        </m:sSubSup>
        <m:r>
          <w:rPr>
            <w:rFonts w:ascii="Cambria Math" w:hAnsi="Cambria Math"/>
          </w:rPr>
          <m:t>+</m:t>
        </m:r>
        <m:d>
          <m:dPr>
            <m:ctrlPr>
              <w:rPr>
                <w:rFonts w:ascii="Cambria Math" w:hAnsi="Cambria Math"/>
                <w:i/>
              </w:rPr>
            </m:ctrlPr>
          </m:dPr>
          <m:e>
            <m:sSubSup>
              <m:sSubSupPr>
                <m:ctrlPr>
                  <w:rPr>
                    <w:rFonts w:ascii="Cambria Math" w:hAnsi="Cambria Math"/>
                    <w:i/>
                    <w:lang w:val="en-US"/>
                  </w:rPr>
                </m:ctrlPr>
              </m:sSubSupPr>
              <m:e>
                <m:r>
                  <w:rPr>
                    <w:rFonts w:ascii="Cambria Math" w:hAnsi="Cambria Math"/>
                  </w:rPr>
                  <m:t>π</m:t>
                </m:r>
              </m:e>
              <m:sub>
                <m:r>
                  <w:rPr>
                    <w:rFonts w:ascii="Cambria Math" w:hAnsi="Cambria Math"/>
                    <w:lang w:val="en-US"/>
                  </w:rPr>
                  <m:t>t</m:t>
                </m:r>
              </m:sub>
              <m:sup>
                <m:r>
                  <w:rPr>
                    <w:rFonts w:ascii="Cambria Math" w:hAnsi="Cambria Math"/>
                    <w:lang w:val="en-US"/>
                  </w:rPr>
                  <m:t>e</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lang w:val="en-US"/>
                  </w:rPr>
                  <m:t>e</m:t>
                </m:r>
                <m:r>
                  <w:rPr>
                    <w:rFonts w:ascii="Cambria Math" w:hAnsi="Cambria Math"/>
                  </w:rPr>
                  <m:t>*</m:t>
                </m:r>
              </m:sup>
            </m:sSubSup>
          </m:e>
        </m:d>
      </m:oMath>
      <w:r w:rsidR="004D02B0">
        <w:tab/>
      </w:r>
      <w:r w:rsidR="002426EE" w:rsidRPr="002426EE">
        <w:tab/>
      </w:r>
      <w:r w:rsidR="002426EE" w:rsidRPr="002426EE">
        <w:tab/>
      </w:r>
      <w:r w:rsidR="002426EE" w:rsidRPr="002426EE">
        <w:tab/>
      </w:r>
      <w:r w:rsidR="004D02B0">
        <w:t>(</w:t>
      </w:r>
      <w:r w:rsidR="00714B58">
        <w:t>7.</w:t>
      </w:r>
      <w:r w:rsidR="00220632">
        <w:t>22</w:t>
      </w:r>
      <w:r w:rsidR="004D02B0">
        <w:t xml:space="preserve">) </w:t>
      </w:r>
      <w:r w:rsidR="00137875">
        <w:t xml:space="preserve"> </w:t>
      </w:r>
    </w:p>
    <w:p w:rsidR="004D02B0" w:rsidRPr="004D02B0" w:rsidRDefault="004D02B0" w:rsidP="002426EE">
      <w:pPr>
        <w:spacing w:line="360" w:lineRule="auto"/>
        <w:ind w:firstLine="720"/>
        <w:jc w:val="both"/>
      </w:pPr>
      <w:r>
        <w:t>Ο συντελεστής θ δείχνει τον ρυθμό με τον οποίο επιστρέφει στην μακροχρόνια ισορροπία η συναλλαγματική ισοτιμία. Συνδυάζοντας τις σχέσεις (</w:t>
      </w:r>
      <w:r w:rsidR="00714B58">
        <w:t>7.</w:t>
      </w:r>
      <w:r w:rsidR="00220632">
        <w:t>21</w:t>
      </w:r>
      <w:r>
        <w:t>) και (</w:t>
      </w:r>
      <w:r w:rsidR="00714B58">
        <w:t>7.</w:t>
      </w:r>
      <w:r w:rsidR="00220632">
        <w:t>22</w:t>
      </w:r>
      <w:r>
        <w:t xml:space="preserve">) μπορούμε να δείξουμε ότι η απόκλιση της συναλλαγματικής ισοτιμίας από την μακροχρόνια τιμή ισορροπίας είναι συνάρτηση της πραγματικής </w:t>
      </w:r>
      <w:proofErr w:type="spellStart"/>
      <w:r>
        <w:t>επιτοκιακής</w:t>
      </w:r>
      <w:proofErr w:type="spellEnd"/>
      <w:r>
        <w:t xml:space="preserve"> διαφοράς.</w:t>
      </w:r>
    </w:p>
    <w:p w:rsidR="004D02B0" w:rsidRDefault="004D02B0" w:rsidP="002426EE">
      <w:pPr>
        <w:spacing w:line="360" w:lineRule="auto"/>
        <w:ind w:left="720" w:firstLine="720"/>
        <w:jc w:val="both"/>
      </w:pPr>
      <w:r w:rsidRPr="004D02B0">
        <w:rPr>
          <w:position w:val="-24"/>
        </w:rPr>
        <w:object w:dxaOrig="3159" w:dyaOrig="620">
          <v:shape id="_x0000_i1084" type="#_x0000_t75" style="width:159.05pt;height:30.05pt" o:ole="" fillcolor="window">
            <v:imagedata r:id="rId141" o:title=""/>
          </v:shape>
          <o:OLEObject Type="Embed" ProgID="Equation.3" ShapeID="_x0000_i1084" DrawAspect="Content" ObjectID="_1475064897" r:id="rId142"/>
        </w:object>
      </w:r>
      <w:r w:rsidR="00CC277D">
        <w:t xml:space="preserve"> </w:t>
      </w:r>
      <w:r w:rsidR="002426EE" w:rsidRPr="002426EE">
        <w:tab/>
      </w:r>
      <w:r w:rsidR="002426EE" w:rsidRPr="002426EE">
        <w:tab/>
      </w:r>
      <w:r w:rsidR="002426EE" w:rsidRPr="002426EE">
        <w:tab/>
      </w:r>
      <w:r w:rsidR="002426EE" w:rsidRPr="002426EE">
        <w:tab/>
      </w:r>
      <w:r w:rsidR="00CC277D">
        <w:t>(7.</w:t>
      </w:r>
      <w:r w:rsidR="00453F39" w:rsidRPr="00453F39">
        <w:t>23</w:t>
      </w:r>
      <w:r w:rsidR="00CC277D">
        <w:t>)</w:t>
      </w:r>
    </w:p>
    <w:p w:rsidR="00714B58" w:rsidRDefault="00714B58" w:rsidP="002426EE">
      <w:pPr>
        <w:spacing w:line="360" w:lineRule="auto"/>
        <w:jc w:val="both"/>
      </w:pPr>
      <w:r>
        <w:t xml:space="preserve">Στην μακροχρόνια όμως περίοδο τα πραγματικά επιτόκια μεταξύ των δύο χωρών εξισώνονται με αποτέλεσμα </w:t>
      </w:r>
      <w:r w:rsidRPr="00714B58">
        <w:rPr>
          <w:position w:val="-12"/>
        </w:rPr>
        <w:object w:dxaOrig="1939" w:dyaOrig="380">
          <v:shape id="_x0000_i1085" type="#_x0000_t75" style="width:98.9pt;height:19.4pt" o:ole="" fillcolor="window">
            <v:imagedata r:id="rId143" o:title=""/>
          </v:shape>
          <o:OLEObject Type="Embed" ProgID="Equation.3" ShapeID="_x0000_i1085" DrawAspect="Content" ObjectID="_1475064898" r:id="rId144"/>
        </w:object>
      </w:r>
      <w:r>
        <w:t xml:space="preserve"> =&gt; </w:t>
      </w:r>
      <w:r w:rsidR="00CC277D" w:rsidRPr="00714B58">
        <w:rPr>
          <w:position w:val="-12"/>
        </w:rPr>
        <w:object w:dxaOrig="1939" w:dyaOrig="380">
          <v:shape id="_x0000_i1086" type="#_x0000_t75" style="width:98.9pt;height:19.4pt" o:ole="" fillcolor="window">
            <v:imagedata r:id="rId145" o:title=""/>
          </v:shape>
          <o:OLEObject Type="Embed" ProgID="Equation.3" ShapeID="_x0000_i1086" DrawAspect="Content" ObjectID="_1475064899" r:id="rId146"/>
        </w:object>
      </w:r>
      <w:r>
        <w:tab/>
        <w:t>(7.</w:t>
      </w:r>
      <w:r w:rsidR="00453F39" w:rsidRPr="00453F39">
        <w:t>24</w:t>
      </w:r>
      <w:r>
        <w:t>)</w:t>
      </w:r>
    </w:p>
    <w:p w:rsidR="00714B58" w:rsidRDefault="00714B58" w:rsidP="002426EE">
      <w:pPr>
        <w:spacing w:line="360" w:lineRule="auto"/>
        <w:jc w:val="both"/>
      </w:pPr>
      <w:r>
        <w:t xml:space="preserve">Και η ΙΑΔ στην μακροχρόνια περίοδο </w:t>
      </w:r>
      <w:r w:rsidRPr="006B61E9">
        <w:rPr>
          <w:position w:val="-12"/>
        </w:rPr>
        <w:object w:dxaOrig="1120" w:dyaOrig="380">
          <v:shape id="_x0000_i1087" type="#_x0000_t75" style="width:56.95pt;height:19.4pt" o:ole="" fillcolor="window">
            <v:imagedata r:id="rId147" o:title=""/>
          </v:shape>
          <o:OLEObject Type="Embed" ProgID="Equation.3" ShapeID="_x0000_i1087" DrawAspect="Content" ObjectID="_1475064900" r:id="rId148"/>
        </w:object>
      </w:r>
      <w:r w:rsidR="00453F39" w:rsidRPr="00453F39">
        <w:tab/>
      </w:r>
      <w:r w:rsidR="00453F39" w:rsidRPr="00453F39">
        <w:tab/>
      </w:r>
      <w:r w:rsidR="00453F39" w:rsidRPr="00453F39">
        <w:tab/>
      </w:r>
      <w:r w:rsidR="002426EE" w:rsidRPr="002426EE">
        <w:tab/>
      </w:r>
      <w:r>
        <w:t>(7.</w:t>
      </w:r>
      <w:r w:rsidR="00453F39" w:rsidRPr="00453F39">
        <w:t>25</w:t>
      </w:r>
      <w:r>
        <w:t>)</w:t>
      </w:r>
    </w:p>
    <w:p w:rsidR="00714B58" w:rsidRPr="00CC277D" w:rsidRDefault="00714B58" w:rsidP="002426EE">
      <w:pPr>
        <w:spacing w:line="360" w:lineRule="auto"/>
        <w:jc w:val="both"/>
      </w:pPr>
      <w:r>
        <w:t xml:space="preserve">Αντικαθιστώντας τις παραπάνω δύο εξισώσεις στην  </w:t>
      </w:r>
      <w:r w:rsidR="00CC277D">
        <w:t>(7.</w:t>
      </w:r>
      <w:r w:rsidR="002426EE" w:rsidRPr="002426EE">
        <w:t>20</w:t>
      </w:r>
      <w:r w:rsidR="00CC277D">
        <w:t xml:space="preserve">) και λύνοντας ως προς </w:t>
      </w:r>
      <w:r w:rsidR="00CC277D" w:rsidRPr="00CC277D">
        <w:rPr>
          <w:position w:val="-6"/>
        </w:rPr>
        <w:object w:dxaOrig="200" w:dyaOrig="260">
          <v:shape id="_x0000_i1088" type="#_x0000_t75" style="width:11.9pt;height:11.9pt" o:ole="" fillcolor="window">
            <v:imagedata r:id="rId149" o:title=""/>
          </v:shape>
          <o:OLEObject Type="Embed" ProgID="Equation.3" ShapeID="_x0000_i1088" DrawAspect="Content" ObjectID="_1475064901" r:id="rId150"/>
        </w:object>
      </w:r>
      <w:r w:rsidR="00CC277D">
        <w:t>έχουμε την μακροχρόνια τιμή ισορροπίας για την συναλλαγματική ισοτιμία.</w:t>
      </w:r>
    </w:p>
    <w:p w:rsidR="00CC277D" w:rsidRDefault="00EA318F" w:rsidP="00CC277D">
      <w:pPr>
        <w:spacing w:line="360" w:lineRule="auto"/>
        <w:ind w:firstLine="284"/>
        <w:jc w:val="center"/>
      </w:pPr>
      <m:oMath>
        <m:acc>
          <m:accPr>
            <m:chr m:val="̅"/>
            <m:ctrlPr>
              <w:rPr>
                <w:rFonts w:ascii="Cambria Math" w:hAnsi="Cambria Math"/>
                <w:i/>
                <w:lang w:val="en-US"/>
              </w:rPr>
            </m:ctrlPr>
          </m:accPr>
          <m:e>
            <m:r>
              <w:rPr>
                <w:rFonts w:ascii="Cambria Math" w:hAnsi="Cambria Math"/>
                <w:lang w:val="en-US"/>
              </w:rPr>
              <m:t>s</m:t>
            </m:r>
          </m:e>
        </m:acc>
        <m:r>
          <w:rPr>
            <w:rFonts w:ascii="Cambria Math" w:hAnsi="Cambria Math"/>
          </w:rPr>
          <m:t>=</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r>
              <m:rPr>
                <m:sty m:val="p"/>
              </m:rPr>
              <w:rPr>
                <w:rFonts w:ascii="Cambria Math" w:hAnsi="Cambria Math"/>
              </w:rPr>
              <m:t>-m</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t</m:t>
                </m:r>
              </m:sub>
              <m:sup>
                <m:r>
                  <m:rPr>
                    <m:sty m:val="p"/>
                  </m:rPr>
                  <w:rPr>
                    <w:rFonts w:ascii="Cambria Math" w:hAnsi="Cambria Math"/>
                  </w:rPr>
                  <m:t>*</m:t>
                </m:r>
              </m:sup>
            </m:sSubSup>
          </m:e>
        </m:d>
        <m:r>
          <m:rPr>
            <m:sty m:val="p"/>
          </m:rPr>
          <w:rPr>
            <w:rFonts w:ascii="Cambria Math" w:hAnsi="Cambria Math"/>
          </w:rPr>
          <m:t>+μ</m:t>
        </m:r>
        <m:d>
          <m:dPr>
            <m:ctrlPr>
              <w:rPr>
                <w:rFonts w:ascii="Cambria Math" w:hAnsi="Cambria Math"/>
              </w:rPr>
            </m:ctrlPr>
          </m:dPr>
          <m:e>
            <m:r>
              <m:rPr>
                <m:sty m:val="p"/>
              </m:rPr>
              <w:rPr>
                <w:rFonts w:ascii="Cambria Math" w:hAnsi="Cambria Math"/>
                <w:position w:val="-12"/>
              </w:rPr>
              <w:object w:dxaOrig="820" w:dyaOrig="380">
                <v:shape id="_x0000_i1096" type="#_x0000_t75" style="width:41.95pt;height:19.4pt" o:ole="">
                  <v:imagedata r:id="rId151" o:title=""/>
                </v:shape>
                <o:OLEObject Type="Embed" ProgID="Equation.3" ShapeID="_x0000_i1096" DrawAspect="Content" ObjectID="_1475064902" r:id="rId152"/>
              </w:object>
            </m:r>
          </m:e>
        </m:d>
      </m:oMath>
      <w:r w:rsidR="00CC277D">
        <w:tab/>
      </w:r>
    </w:p>
    <w:p w:rsidR="00CC277D" w:rsidRDefault="00CC277D" w:rsidP="002426EE">
      <w:pPr>
        <w:spacing w:line="360" w:lineRule="auto"/>
        <w:jc w:val="both"/>
      </w:pPr>
      <w:r>
        <w:t>Στην συνέχεια αντικαθιστώντας αυτή την σχέση μέσα στην ακόλουθη σχέση που προέκυψε από την (7</w:t>
      </w:r>
      <w:r w:rsidR="00453F39" w:rsidRPr="00453F39">
        <w:t>.22</w:t>
      </w:r>
      <w:r>
        <w:t>)</w:t>
      </w:r>
    </w:p>
    <w:p w:rsidR="00CC277D" w:rsidRDefault="00CC277D" w:rsidP="00453F39">
      <w:pPr>
        <w:spacing w:line="360" w:lineRule="auto"/>
        <w:ind w:left="720" w:firstLine="720"/>
        <w:jc w:val="both"/>
      </w:pPr>
      <w:r w:rsidRPr="004D02B0">
        <w:rPr>
          <w:position w:val="-24"/>
        </w:rPr>
        <w:object w:dxaOrig="3000" w:dyaOrig="620">
          <v:shape id="_x0000_i1089" type="#_x0000_t75" style="width:151.5pt;height:30.05pt" o:ole="" fillcolor="window">
            <v:imagedata r:id="rId153" o:title=""/>
          </v:shape>
          <o:OLEObject Type="Embed" ProgID="Equation.3" ShapeID="_x0000_i1089" DrawAspect="Content" ObjectID="_1475064903" r:id="rId154"/>
        </w:object>
      </w:r>
    </w:p>
    <w:p w:rsidR="00CC277D" w:rsidRDefault="00CC277D" w:rsidP="002426EE">
      <w:pPr>
        <w:spacing w:line="360" w:lineRule="auto"/>
        <w:jc w:val="both"/>
      </w:pPr>
      <w:r>
        <w:t>Βρίσκουμε ότι τελικά η συναλλαγματική ισοτιμία καθορίζεται από τους παράγοντες που παρουσιάζονται στην ακόλουθη σχέση.</w:t>
      </w:r>
    </w:p>
    <w:p w:rsidR="00CC277D" w:rsidRDefault="00EA318F" w:rsidP="004D02B0">
      <w:pPr>
        <w:spacing w:line="360" w:lineRule="auto"/>
        <w:ind w:firstLine="284"/>
        <w:jc w:val="both"/>
      </w:pPr>
      <m:oMathPara>
        <m:oMath>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hAnsi="Cambria Math"/>
            </w:rPr>
            <m:t>=</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r>
                <m:rPr>
                  <m:sty m:val="p"/>
                </m:rPr>
                <w:rPr>
                  <w:rFonts w:ascii="Cambria Math" w:hAnsi="Cambria Math"/>
                </w:rPr>
                <m:t>-m</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y</m:t>
                  </m:r>
                </m:e>
                <m:sub>
                  <m:r>
                    <m:rPr>
                      <m:sty m:val="p"/>
                    </m:rPr>
                    <w:rPr>
                      <w:rFonts w:ascii="Cambria Math" w:hAnsi="Cambria Math"/>
                    </w:rPr>
                    <m:t>t</m:t>
                  </m:r>
                </m:sub>
                <m:sup>
                  <m:r>
                    <m:rPr>
                      <m:sty m:val="p"/>
                    </m:rPr>
                    <w:rPr>
                      <w:rFonts w:ascii="Cambria Math" w:hAnsi="Cambria Math"/>
                    </w:rPr>
                    <m:t>*</m:t>
                  </m:r>
                </m:sup>
              </m:sSubSup>
            </m:e>
          </m:d>
          <m:r>
            <m:rPr>
              <m:sty m:val="p"/>
            </m:rPr>
            <w:rPr>
              <w:rFonts w:ascii="Cambria Math" w:hAnsi="Cambria Math"/>
            </w:rPr>
            <m:t>+μ</m:t>
          </m:r>
          <m:d>
            <m:dPr>
              <m:ctrlPr>
                <w:rPr>
                  <w:rFonts w:ascii="Cambria Math" w:hAnsi="Cambria Math"/>
                </w:rPr>
              </m:ctrlPr>
            </m:dPr>
            <m:e>
              <m:r>
                <m:rPr>
                  <m:sty m:val="p"/>
                </m:rPr>
                <w:rPr>
                  <w:rFonts w:ascii="Cambria Math" w:hAnsi="Cambria Math"/>
                  <w:position w:val="-12"/>
                </w:rPr>
                <w:object w:dxaOrig="820" w:dyaOrig="380">
                  <v:shape id="_x0000_i1097" type="#_x0000_t75" style="width:41.95pt;height:19.4pt" o:ole="">
                    <v:imagedata r:id="rId151" o:title=""/>
                  </v:shape>
                  <o:OLEObject Type="Embed" ProgID="Equation.3" ShapeID="_x0000_i1097" DrawAspect="Content" ObjectID="_1475064904" r:id="rId155"/>
                </w:object>
              </m:r>
            </m:e>
          </m:d>
          <m:r>
            <m:rPr>
              <m:sty m:val="p"/>
            </m:rPr>
            <w:rPr>
              <w:rFonts w:ascii="Cambria Math" w:hAnsi="Cambria Math"/>
              <w:position w:val="-24"/>
            </w:rPr>
            <w:object w:dxaOrig="2340" w:dyaOrig="620">
              <v:shape id="_x0000_i1090" type="#_x0000_t75" style="width:117.1pt;height:30.05pt" o:ole="">
                <v:imagedata r:id="rId156" o:title=""/>
              </v:shape>
              <o:OLEObject Type="Embed" ProgID="Equation.3" ShapeID="_x0000_i1090" DrawAspect="Content" ObjectID="_1475064905" r:id="rId157"/>
            </w:object>
          </m:r>
        </m:oMath>
      </m:oMathPara>
    </w:p>
    <w:p w:rsidR="00E91B1D" w:rsidRPr="00725329" w:rsidRDefault="00725329" w:rsidP="002426EE">
      <w:pPr>
        <w:spacing w:line="360" w:lineRule="auto"/>
        <w:ind w:firstLine="720"/>
        <w:jc w:val="both"/>
      </w:pPr>
      <w:r w:rsidRPr="00725329">
        <w:t>Στο νομισματικό υπόδειγμα με πλήρη ευκαμψία τιμών, η προσαρμογή προς την κατάσταση ισο</w:t>
      </w:r>
      <w:r>
        <w:t>ρροπίας λαμβάνει χώρα στιγμιαία που</w:t>
      </w:r>
      <w:r w:rsidRPr="00725329">
        <w:t xml:space="preserve"> σημαίνει ότι ο συντελεστής </w:t>
      </w:r>
      <w:r w:rsidRPr="00725329">
        <w:rPr>
          <w:i/>
          <w:iCs/>
        </w:rPr>
        <w:t xml:space="preserve">θ </w:t>
      </w:r>
      <w:r w:rsidR="00EE17C5">
        <w:t>τείνει σ</w:t>
      </w:r>
      <w:r w:rsidRPr="00725329">
        <w:t>το άπειρο</w:t>
      </w:r>
      <w:r w:rsidR="00EE17C5">
        <w:t>, μηδενίζοντας τον τελευταίο παράγοντα στην παραπάνω εξίσωση</w:t>
      </w:r>
      <w:r>
        <w:t>. Αντίθετα στ</w:t>
      </w:r>
      <w:r w:rsidRPr="00725329">
        <w:t xml:space="preserve">ο υπόδειγμα </w:t>
      </w:r>
      <w:proofErr w:type="spellStart"/>
      <w:r w:rsidRPr="00725329">
        <w:t>Frankel</w:t>
      </w:r>
      <w:proofErr w:type="spellEnd"/>
      <w:r w:rsidRPr="00725329">
        <w:t>, η προσαρμογή προς την κατάσταση της μακροχρόνιας ισορροπίας υποτίθεται ότι π</w:t>
      </w:r>
      <w:r w:rsidR="004B57D7">
        <w:t>ραγματοποιείται με σχετικά αργό</w:t>
      </w:r>
      <w:r w:rsidRPr="00725329">
        <w:t xml:space="preserve"> ρυθμό, έτσι ώστε ο συντελεστής προσαρμογής </w:t>
      </w:r>
      <w:r w:rsidRPr="00725329">
        <w:rPr>
          <w:i/>
          <w:iCs/>
        </w:rPr>
        <w:t xml:space="preserve">θ </w:t>
      </w:r>
      <w:r w:rsidRPr="00725329">
        <w:t xml:space="preserve">να είναι ένας πεπερασμένος αριθμός. </w:t>
      </w:r>
      <w:r>
        <w:t>Συμπεραίνουμε λοιπόν ότι τ</w:t>
      </w:r>
      <w:r w:rsidRPr="00725329">
        <w:t xml:space="preserve">ο νομισματικό υπόδειγμα με πλήρη ευκαμψία τιμών, αποτελεί ειδική περίπτωση του υποδείγματος </w:t>
      </w:r>
      <w:proofErr w:type="spellStart"/>
      <w:r w:rsidRPr="00725329">
        <w:t>Frankel</w:t>
      </w:r>
      <w:proofErr w:type="spellEnd"/>
      <w:r w:rsidRPr="00725329">
        <w:t>.</w:t>
      </w:r>
    </w:p>
    <w:p w:rsidR="002B3507" w:rsidRPr="00201EBA" w:rsidRDefault="002B3507" w:rsidP="00A129BE">
      <w:pPr>
        <w:pStyle w:val="2"/>
        <w:spacing w:before="0" w:after="0" w:line="360" w:lineRule="auto"/>
        <w:jc w:val="both"/>
        <w:rPr>
          <w:rFonts w:ascii="Times New Roman" w:hAnsi="Times New Roman" w:cs="Times New Roman"/>
          <w:i w:val="0"/>
          <w:sz w:val="24"/>
          <w:szCs w:val="24"/>
        </w:rPr>
      </w:pPr>
    </w:p>
    <w:p w:rsidR="00A129BE" w:rsidRPr="004B57D7" w:rsidRDefault="00A129BE" w:rsidP="00A129BE">
      <w:pPr>
        <w:pStyle w:val="2"/>
        <w:spacing w:before="0" w:after="0" w:line="360" w:lineRule="auto"/>
        <w:jc w:val="both"/>
        <w:rPr>
          <w:rFonts w:ascii="Times New Roman" w:hAnsi="Times New Roman" w:cs="Times New Roman"/>
          <w:i w:val="0"/>
          <w:sz w:val="24"/>
          <w:szCs w:val="24"/>
        </w:rPr>
      </w:pPr>
      <w:bookmarkStart w:id="42" w:name="_Toc395803106"/>
      <w:bookmarkStart w:id="43" w:name="_Toc396220915"/>
      <w:r>
        <w:rPr>
          <w:rFonts w:ascii="Times New Roman" w:hAnsi="Times New Roman" w:cs="Times New Roman"/>
          <w:i w:val="0"/>
          <w:sz w:val="24"/>
          <w:szCs w:val="24"/>
        </w:rPr>
        <w:t>7.5.3</w:t>
      </w:r>
      <w:r w:rsidRPr="00580915">
        <w:rPr>
          <w:rFonts w:ascii="Times New Roman" w:hAnsi="Times New Roman" w:cs="Times New Roman"/>
          <w:i w:val="0"/>
          <w:sz w:val="24"/>
          <w:szCs w:val="24"/>
        </w:rPr>
        <w:t xml:space="preserve"> </w:t>
      </w:r>
      <w:r>
        <w:rPr>
          <w:rFonts w:ascii="Times New Roman" w:hAnsi="Times New Roman" w:cs="Times New Roman"/>
          <w:i w:val="0"/>
          <w:sz w:val="24"/>
          <w:szCs w:val="24"/>
        </w:rPr>
        <w:t>Το υπόδειγμα ισορροπίας του χαρτοφυλακίου</w:t>
      </w:r>
      <w:bookmarkEnd w:id="42"/>
      <w:bookmarkEnd w:id="43"/>
      <w:r>
        <w:rPr>
          <w:rFonts w:ascii="Times New Roman" w:hAnsi="Times New Roman" w:cs="Times New Roman"/>
          <w:i w:val="0"/>
          <w:sz w:val="24"/>
          <w:szCs w:val="24"/>
        </w:rPr>
        <w:t xml:space="preserve">  </w:t>
      </w:r>
    </w:p>
    <w:p w:rsidR="0090031A" w:rsidRPr="004B57D7" w:rsidRDefault="00C44834" w:rsidP="00453F39">
      <w:pPr>
        <w:spacing w:line="360" w:lineRule="auto"/>
        <w:ind w:firstLine="720"/>
        <w:contextualSpacing/>
        <w:jc w:val="both"/>
        <w:rPr>
          <w:rFonts w:eastAsia="Calibri"/>
          <w:lang w:eastAsia="en-US"/>
        </w:rPr>
      </w:pPr>
      <w:r w:rsidRPr="004B57D7">
        <w:rPr>
          <w:rFonts w:eastAsia="Calibri"/>
          <w:lang w:eastAsia="en-US"/>
        </w:rPr>
        <w:t xml:space="preserve">Μια από τις σημαντικές αδυναμίες του απλού νομισματικού υποδείγματος είναι η υπόθεση περί πλήρους ευκαμψίας των τιμών. Το υπόδειγμα των </w:t>
      </w:r>
      <w:proofErr w:type="spellStart"/>
      <w:r w:rsidRPr="004B57D7">
        <w:rPr>
          <w:rFonts w:eastAsia="Calibri"/>
          <w:lang w:val="en-US" w:eastAsia="en-US"/>
        </w:rPr>
        <w:t>Mundell</w:t>
      </w:r>
      <w:proofErr w:type="spellEnd"/>
      <w:r w:rsidRPr="004B57D7">
        <w:rPr>
          <w:rFonts w:eastAsia="Calibri"/>
          <w:lang w:eastAsia="en-US"/>
        </w:rPr>
        <w:t>-</w:t>
      </w:r>
      <w:r w:rsidRPr="004B57D7">
        <w:rPr>
          <w:rFonts w:eastAsia="Calibri"/>
          <w:lang w:val="en-US" w:eastAsia="en-US"/>
        </w:rPr>
        <w:t>Fleming</w:t>
      </w:r>
      <w:r w:rsidRPr="004B57D7">
        <w:rPr>
          <w:rFonts w:eastAsia="Calibri"/>
          <w:lang w:eastAsia="en-US"/>
        </w:rPr>
        <w:t xml:space="preserve"> (δεν παρουσιάστηκε για λόγους οικονομίας ο ενδιαφερόμενος ανα</w:t>
      </w:r>
      <w:r w:rsidR="002426EE" w:rsidRPr="004B57D7">
        <w:rPr>
          <w:rFonts w:eastAsia="Calibri"/>
          <w:lang w:eastAsia="en-US"/>
        </w:rPr>
        <w:t>γνώστης μπορεί να απευθυνθεί στα</w:t>
      </w:r>
      <w:r w:rsidRPr="004B57D7">
        <w:rPr>
          <w:rFonts w:eastAsia="Calibri"/>
          <w:lang w:eastAsia="en-US"/>
        </w:rPr>
        <w:t xml:space="preserve"> βιβ</w:t>
      </w:r>
      <w:r w:rsidR="002426EE" w:rsidRPr="004B57D7">
        <w:rPr>
          <w:rFonts w:eastAsia="Calibri"/>
          <w:lang w:eastAsia="en-US"/>
        </w:rPr>
        <w:t>λία των</w:t>
      </w:r>
      <w:r w:rsidRPr="004B57D7">
        <w:rPr>
          <w:rFonts w:eastAsia="Calibri"/>
          <w:lang w:eastAsia="en-US"/>
        </w:rPr>
        <w:t xml:space="preserve"> </w:t>
      </w:r>
      <w:proofErr w:type="spellStart"/>
      <w:r w:rsidRPr="004B57D7">
        <w:rPr>
          <w:rFonts w:eastAsia="Calibri"/>
          <w:lang w:eastAsia="en-US"/>
        </w:rPr>
        <w:t>Λεβεντάκη</w:t>
      </w:r>
      <w:proofErr w:type="spellEnd"/>
      <w:r w:rsidR="002426EE" w:rsidRPr="004B57D7">
        <w:rPr>
          <w:rFonts w:eastAsia="Calibri"/>
          <w:lang w:eastAsia="en-US"/>
        </w:rPr>
        <w:t>, 2003 και</w:t>
      </w:r>
      <w:r w:rsidRPr="004B57D7">
        <w:rPr>
          <w:rFonts w:eastAsia="Calibri"/>
          <w:lang w:eastAsia="en-US"/>
        </w:rPr>
        <w:t xml:space="preserve"> </w:t>
      </w:r>
      <w:proofErr w:type="spellStart"/>
      <w:r w:rsidRPr="004B57D7">
        <w:rPr>
          <w:rFonts w:eastAsia="Calibri"/>
          <w:lang w:val="en-US" w:eastAsia="en-US"/>
        </w:rPr>
        <w:t>Pilbeam</w:t>
      </w:r>
      <w:proofErr w:type="spellEnd"/>
      <w:r w:rsidR="00453F39" w:rsidRPr="004B57D7">
        <w:rPr>
          <w:rFonts w:eastAsia="Calibri"/>
          <w:lang w:eastAsia="en-US"/>
        </w:rPr>
        <w:t>, 2006</w:t>
      </w:r>
      <w:r w:rsidRPr="004B57D7">
        <w:rPr>
          <w:rFonts w:eastAsia="Calibri"/>
          <w:lang w:eastAsia="en-US"/>
        </w:rPr>
        <w:t>) εστιάζεται στην αγορά αγαθών</w:t>
      </w:r>
      <w:r>
        <w:rPr>
          <w:rFonts w:eastAsia="Calibri"/>
          <w:sz w:val="22"/>
          <w:szCs w:val="22"/>
          <w:lang w:eastAsia="en-US"/>
        </w:rPr>
        <w:t xml:space="preserve"> </w:t>
      </w:r>
      <w:proofErr w:type="spellStart"/>
      <w:r w:rsidRPr="004B57D7">
        <w:rPr>
          <w:rFonts w:eastAsia="Calibri"/>
          <w:lang w:eastAsia="en-US"/>
        </w:rPr>
        <w:t>υποθέτωντας</w:t>
      </w:r>
      <w:proofErr w:type="spellEnd"/>
      <w:r w:rsidRPr="004B57D7">
        <w:rPr>
          <w:rFonts w:eastAsia="Calibri"/>
          <w:lang w:eastAsia="en-US"/>
        </w:rPr>
        <w:t xml:space="preserve"> σταθερές τιμές, ενώ το υπόδειγμα του </w:t>
      </w:r>
      <w:proofErr w:type="spellStart"/>
      <w:r w:rsidRPr="004B57D7">
        <w:rPr>
          <w:rFonts w:eastAsia="Calibri"/>
          <w:lang w:val="en-US" w:eastAsia="en-US"/>
        </w:rPr>
        <w:t>Dornbusch</w:t>
      </w:r>
      <w:proofErr w:type="spellEnd"/>
      <w:r w:rsidRPr="004B57D7">
        <w:rPr>
          <w:rFonts w:eastAsia="Calibri"/>
          <w:lang w:eastAsia="en-US"/>
        </w:rPr>
        <w:t xml:space="preserve"> υποθέτει πλήρη ευκαμψία στην αγορά χρήματος και ατελή ευκαμψία στην αγορά </w:t>
      </w:r>
      <w:r w:rsidRPr="004B57D7">
        <w:rPr>
          <w:rFonts w:eastAsia="Calibri"/>
          <w:lang w:eastAsia="en-US"/>
        </w:rPr>
        <w:lastRenderedPageBreak/>
        <w:t xml:space="preserve">αγαθών. Βραχυχρόνια η ισοδυναμία αγοραστικής δύναμης δεν </w:t>
      </w:r>
      <w:r w:rsidR="00453F39" w:rsidRPr="004B57D7">
        <w:rPr>
          <w:rFonts w:eastAsia="Calibri"/>
          <w:lang w:eastAsia="en-US"/>
        </w:rPr>
        <w:t xml:space="preserve">ισχύει αλλά μακροχρόνια ισχύει. </w:t>
      </w:r>
      <w:r w:rsidRPr="004B57D7">
        <w:rPr>
          <w:rFonts w:eastAsia="Calibri"/>
          <w:lang w:eastAsia="en-US"/>
        </w:rPr>
        <w:t xml:space="preserve">Παρά </w:t>
      </w:r>
      <w:proofErr w:type="spellStart"/>
      <w:r w:rsidRPr="004B57D7">
        <w:rPr>
          <w:rFonts w:eastAsia="Calibri"/>
          <w:lang w:eastAsia="en-US"/>
        </w:rPr>
        <w:t>ταυτα</w:t>
      </w:r>
      <w:proofErr w:type="spellEnd"/>
      <w:r w:rsidRPr="004B57D7">
        <w:rPr>
          <w:rFonts w:eastAsia="Calibri"/>
          <w:lang w:eastAsia="en-US"/>
        </w:rPr>
        <w:t xml:space="preserve"> και αυτό το υπόδειγμα παρουσιάζει αδυναμίες. Βασική αδυναμία του υποδείγματος όπως και του νομισματικού υποδείγματος είναι η υπόθεση περί τέλειας υποκατάστασης μεταξύ </w:t>
      </w:r>
      <w:proofErr w:type="spellStart"/>
      <w:r w:rsidRPr="004B57D7">
        <w:rPr>
          <w:rFonts w:eastAsia="Calibri"/>
          <w:lang w:eastAsia="en-US"/>
        </w:rPr>
        <w:t>εχώριων</w:t>
      </w:r>
      <w:proofErr w:type="spellEnd"/>
      <w:r w:rsidRPr="004B57D7">
        <w:rPr>
          <w:rFonts w:eastAsia="Calibri"/>
          <w:lang w:eastAsia="en-US"/>
        </w:rPr>
        <w:t xml:space="preserve"> και ξένων ομολόγων, η τέλεια κινητικότητα του κεφαλαίου και η υπόθεση ότι  το ακάλυπτο </w:t>
      </w:r>
      <w:proofErr w:type="spellStart"/>
      <w:r w:rsidRPr="004B57D7">
        <w:rPr>
          <w:rFonts w:eastAsia="Calibri"/>
          <w:lang w:eastAsia="en-US"/>
        </w:rPr>
        <w:t>αρμιτράζ</w:t>
      </w:r>
      <w:proofErr w:type="spellEnd"/>
      <w:r w:rsidRPr="004B57D7">
        <w:rPr>
          <w:rFonts w:eastAsia="Calibri"/>
          <w:lang w:eastAsia="en-US"/>
        </w:rPr>
        <w:t xml:space="preserve"> επιτοκίων ισχύει πάντα. Στο υπόδειγμα ισορροπίας του χαρτοφυλακίου υποτίθεται ατελής υποκατάσταση </w:t>
      </w:r>
      <w:proofErr w:type="spellStart"/>
      <w:r w:rsidRPr="004B57D7">
        <w:rPr>
          <w:rFonts w:eastAsia="Calibri"/>
          <w:lang w:eastAsia="en-US"/>
        </w:rPr>
        <w:t>μετάξυ</w:t>
      </w:r>
      <w:proofErr w:type="spellEnd"/>
      <w:r w:rsidRPr="004B57D7">
        <w:rPr>
          <w:rFonts w:eastAsia="Calibri"/>
          <w:lang w:eastAsia="en-US"/>
        </w:rPr>
        <w:t xml:space="preserve"> εγχώριων και ξένων ομολόγων. Οι επενδυτές απεχθάνονται τον κίνδυνο και δέχονται να αναλάβουν επιπλέον κίνδυνο λαμβάνοντας μια επιπλέον απόδοση γνωστή στην βιβλιογραφία ως πριμ κινδύνου (</w:t>
      </w:r>
      <w:r w:rsidRPr="004B57D7">
        <w:rPr>
          <w:rFonts w:eastAsia="Calibri"/>
          <w:lang w:val="en-US" w:eastAsia="en-US"/>
        </w:rPr>
        <w:t>risk</w:t>
      </w:r>
      <w:r w:rsidRPr="004B57D7">
        <w:rPr>
          <w:rFonts w:eastAsia="Calibri"/>
          <w:lang w:eastAsia="en-US"/>
        </w:rPr>
        <w:t xml:space="preserve"> </w:t>
      </w:r>
      <w:r w:rsidRPr="004B57D7">
        <w:rPr>
          <w:rFonts w:eastAsia="Calibri"/>
          <w:lang w:val="en-US" w:eastAsia="en-US"/>
        </w:rPr>
        <w:t>premium</w:t>
      </w:r>
      <w:r w:rsidRPr="004B57D7">
        <w:rPr>
          <w:rFonts w:eastAsia="Calibri"/>
          <w:lang w:eastAsia="en-US"/>
        </w:rPr>
        <w:t xml:space="preserve">, </w:t>
      </w:r>
      <w:r w:rsidRPr="004B57D7">
        <w:rPr>
          <w:rFonts w:eastAsia="Calibri"/>
          <w:lang w:val="en-US" w:eastAsia="en-US"/>
        </w:rPr>
        <w:t>RP</w:t>
      </w:r>
      <w:r w:rsidRPr="004B57D7">
        <w:rPr>
          <w:rFonts w:eastAsia="Calibri"/>
          <w:lang w:eastAsia="en-US"/>
        </w:rPr>
        <w:t>).</w:t>
      </w:r>
      <w:r w:rsidR="0090031A" w:rsidRPr="004B57D7">
        <w:rPr>
          <w:rFonts w:eastAsia="Calibri"/>
          <w:lang w:eastAsia="en-US"/>
        </w:rPr>
        <w:t xml:space="preserve"> Έτσι διαφοροποιείται η μη καλυμμένη ισοδυναμία επιτοκίων ως ακολούθως:</w:t>
      </w:r>
    </w:p>
    <w:p w:rsidR="00C44834" w:rsidRPr="0090031A" w:rsidRDefault="00C44834" w:rsidP="00453F39">
      <w:pPr>
        <w:spacing w:line="360" w:lineRule="auto"/>
        <w:ind w:left="720" w:firstLine="720"/>
        <w:contextualSpacing/>
        <w:jc w:val="both"/>
        <w:rPr>
          <w:rFonts w:eastAsia="Calibri"/>
          <w:i/>
          <w:sz w:val="22"/>
          <w:szCs w:val="22"/>
          <w:lang w:eastAsia="en-US"/>
        </w:rPr>
      </w:pPr>
      <w:r>
        <w:rPr>
          <w:rFonts w:eastAsia="Calibri"/>
          <w:sz w:val="22"/>
          <w:szCs w:val="22"/>
          <w:lang w:eastAsia="en-US"/>
        </w:rPr>
        <w:t xml:space="preserve">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RP</m:t>
            </m:r>
          </m:e>
          <m:sub>
            <m:r>
              <w:rPr>
                <w:rFonts w:ascii="Cambria Math" w:hAnsi="Cambria Math"/>
                <w:lang w:val="en-US"/>
              </w:rPr>
              <m:t>t</m:t>
            </m:r>
          </m:sub>
        </m:sSub>
      </m:oMath>
    </w:p>
    <w:p w:rsidR="0090031A" w:rsidRPr="004B57D7" w:rsidRDefault="0090031A" w:rsidP="00453F39">
      <w:pPr>
        <w:spacing w:line="360" w:lineRule="auto"/>
        <w:ind w:firstLine="720"/>
        <w:contextualSpacing/>
        <w:jc w:val="both"/>
        <w:rPr>
          <w:rFonts w:eastAsia="Calibri"/>
          <w:lang w:eastAsia="en-US"/>
        </w:rPr>
      </w:pPr>
      <w:r w:rsidRPr="004B57D7">
        <w:rPr>
          <w:rFonts w:eastAsia="Calibri"/>
          <w:lang w:eastAsia="en-US"/>
        </w:rPr>
        <w:t xml:space="preserve">Αυτό το </w:t>
      </w:r>
      <w:proofErr w:type="spellStart"/>
      <w:r w:rsidRPr="004B57D7">
        <w:rPr>
          <w:rFonts w:eastAsia="Calibri"/>
          <w:lang w:eastAsia="en-US"/>
        </w:rPr>
        <w:t>πρίμ</w:t>
      </w:r>
      <w:proofErr w:type="spellEnd"/>
      <w:r w:rsidRPr="004B57D7">
        <w:rPr>
          <w:rFonts w:eastAsia="Calibri"/>
          <w:lang w:eastAsia="en-US"/>
        </w:rPr>
        <w:t xml:space="preserve"> κινδύνου έρχεται να αποζημιώσει για τον κίνδυνο μιας απρόσμενης μεταβολή στην νομισματική ισοτιμία αλλά και κίνδυνο χώρας που θα αναλύσουμε εκτενέστατα στο κεφάλαιο εννιά. Η ανάπτυξη της </w:t>
      </w:r>
      <w:proofErr w:type="spellStart"/>
      <w:r w:rsidRPr="004B57D7">
        <w:rPr>
          <w:rFonts w:eastAsia="Calibri"/>
          <w:lang w:eastAsia="en-US"/>
        </w:rPr>
        <w:t>θωρίας</w:t>
      </w:r>
      <w:proofErr w:type="spellEnd"/>
      <w:r w:rsidRPr="004B57D7">
        <w:rPr>
          <w:rFonts w:eastAsia="Calibri"/>
          <w:lang w:eastAsia="en-US"/>
        </w:rPr>
        <w:t xml:space="preserve"> από τους </w:t>
      </w:r>
      <w:r w:rsidRPr="004B57D7">
        <w:rPr>
          <w:rFonts w:eastAsia="Calibri"/>
          <w:lang w:val="en-US" w:eastAsia="en-US"/>
        </w:rPr>
        <w:t>Branson</w:t>
      </w:r>
      <w:r w:rsidRPr="004B57D7">
        <w:rPr>
          <w:rFonts w:eastAsia="Calibri"/>
          <w:lang w:eastAsia="en-US"/>
        </w:rPr>
        <w:t xml:space="preserve"> (1976) και </w:t>
      </w:r>
      <w:proofErr w:type="spellStart"/>
      <w:r w:rsidRPr="004B57D7">
        <w:rPr>
          <w:rFonts w:eastAsia="Calibri"/>
          <w:lang w:val="en-US" w:eastAsia="en-US"/>
        </w:rPr>
        <w:t>Kouri</w:t>
      </w:r>
      <w:proofErr w:type="spellEnd"/>
      <w:r w:rsidRPr="004B57D7">
        <w:rPr>
          <w:rFonts w:eastAsia="Calibri"/>
          <w:lang w:eastAsia="en-US"/>
        </w:rPr>
        <w:t xml:space="preserve"> (1976, 1977) στηρίζεται στο γεγονός ότι ο συνολικός πλούτος εκφρασμένος σε εγχώριο νόμισμα (</w:t>
      </w:r>
      <w:r w:rsidRPr="004B57D7">
        <w:rPr>
          <w:rFonts w:eastAsia="Calibri"/>
          <w:lang w:val="en-US" w:eastAsia="en-US"/>
        </w:rPr>
        <w:t>w</w:t>
      </w:r>
      <w:r w:rsidRPr="004B57D7">
        <w:rPr>
          <w:rFonts w:eastAsia="Calibri"/>
          <w:lang w:eastAsia="en-US"/>
        </w:rPr>
        <w:t>) μπορεί να γραφτεί ότι αποτελείται από χρήμα (Μ) εγχώρια ομόλογα (Β) και ξένα ομόλογα (</w:t>
      </w:r>
      <w:r w:rsidRPr="004B57D7">
        <w:rPr>
          <w:rFonts w:eastAsia="Calibri"/>
          <w:lang w:val="en-US" w:eastAsia="en-US"/>
        </w:rPr>
        <w:t>F</w:t>
      </w:r>
      <w:r w:rsidRPr="004B57D7">
        <w:rPr>
          <w:rFonts w:eastAsia="Calibri"/>
          <w:lang w:eastAsia="en-US"/>
        </w:rPr>
        <w:t xml:space="preserve">). Η θεωρία αυτή προσδιορίζει τον συνδυασμό </w:t>
      </w:r>
      <w:r w:rsidRPr="004B57D7">
        <w:rPr>
          <w:rFonts w:eastAsia="Calibri"/>
          <w:lang w:val="en-US" w:eastAsia="en-US"/>
        </w:rPr>
        <w:t>r</w:t>
      </w:r>
      <w:r w:rsidRPr="004B57D7">
        <w:rPr>
          <w:rFonts w:eastAsia="Calibri"/>
          <w:lang w:eastAsia="en-US"/>
        </w:rPr>
        <w:t xml:space="preserve"> και </w:t>
      </w:r>
      <w:r w:rsidRPr="004B57D7">
        <w:rPr>
          <w:rFonts w:eastAsia="Calibri"/>
          <w:lang w:val="en-US" w:eastAsia="en-US"/>
        </w:rPr>
        <w:t>s</w:t>
      </w:r>
      <w:r w:rsidRPr="004B57D7">
        <w:rPr>
          <w:rFonts w:eastAsia="Calibri"/>
          <w:lang w:eastAsia="en-US"/>
        </w:rPr>
        <w:t xml:space="preserve"> για τον οποίο οι τρείς αγορές χρήματος, εγχώριων και ξένων ομολόγων βρίσκονται ταυτόχρονα σε ισορροπία.</w:t>
      </w:r>
    </w:p>
    <w:p w:rsidR="00C44834" w:rsidRDefault="0064233F" w:rsidP="004B57D7">
      <w:pPr>
        <w:spacing w:line="360" w:lineRule="auto"/>
        <w:ind w:firstLine="720"/>
        <w:contextualSpacing/>
        <w:jc w:val="both"/>
        <w:rPr>
          <w:rFonts w:eastAsia="Calibri"/>
        </w:rPr>
      </w:pPr>
      <w:r w:rsidRPr="004B57D7">
        <w:rPr>
          <w:rFonts w:eastAsia="Calibri"/>
          <w:lang w:eastAsia="en-US"/>
        </w:rPr>
        <w:t>Πιο συγκεκριμένα στην αγορά χρήματος η προσφορά χρήματος ισούται με την ζήτηση χρήματος που είναι μια θετική συνάρτηση (</w:t>
      </w:r>
      <w:r w:rsidRPr="004B57D7">
        <w:rPr>
          <w:rFonts w:eastAsia="Calibri"/>
          <w:lang w:val="en-US" w:eastAsia="en-US"/>
        </w:rPr>
        <w:t>m</w:t>
      </w:r>
      <w:r w:rsidRPr="004B57D7">
        <w:rPr>
          <w:rFonts w:eastAsia="Calibri"/>
          <w:lang w:eastAsia="en-US"/>
        </w:rPr>
        <w:t>) του πλούτου και μια αρνητική συνάρτηση του εγχώριου επιτοκίου, και της ξένης απόδοσης</w:t>
      </w:r>
      <w:r>
        <w:rPr>
          <w:rFonts w:eastAsia="Calibri"/>
          <w:sz w:val="22"/>
          <w:szCs w:val="22"/>
          <w:lang w:eastAsia="en-US"/>
        </w:rPr>
        <w:t xml:space="preserve"> </w:t>
      </w:r>
      <w:r w:rsidR="0090031A" w:rsidRPr="0090031A">
        <w:rPr>
          <w:rFonts w:eastAsia="Calibri"/>
          <w:sz w:val="22"/>
          <w:szCs w:val="22"/>
          <w:lang w:eastAsia="en-US"/>
        </w:rPr>
        <w:t xml:space="preserve"> </w:t>
      </w:r>
      <m:oMath>
        <m:r>
          <w:rPr>
            <w:rFonts w:ascii="Cambria Math" w:eastAsia="Calibri" w:hAnsi="Cambria Math"/>
            <w:sz w:val="22"/>
            <w:szCs w:val="22"/>
            <w:lang w:eastAsia="en-US"/>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rPr>
          <m:t>)</m:t>
        </m:r>
      </m:oMath>
      <w:r>
        <w:rPr>
          <w:rFonts w:eastAsia="Calibri"/>
        </w:rPr>
        <w:t>.</w:t>
      </w:r>
    </w:p>
    <w:p w:rsidR="0064233F" w:rsidRPr="00453F39" w:rsidRDefault="00EA318F" w:rsidP="00453F39">
      <w:pPr>
        <w:spacing w:line="360" w:lineRule="auto"/>
        <w:ind w:left="1440" w:firstLine="720"/>
        <w:contextualSpacing/>
        <w:jc w:val="both"/>
        <w:rPr>
          <w:rFonts w:eastAsia="Calibri"/>
          <w:lang w:val="en-US"/>
        </w:rPr>
      </w:pPr>
      <m:oMathPara>
        <m:oMathParaPr>
          <m:jc m:val="left"/>
        </m:oMathParaP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t</m:t>
              </m:r>
            </m:sub>
          </m:sSub>
          <m:r>
            <w:rPr>
              <w:rFonts w:ascii="Cambria Math" w:hAnsi="Cambria Math"/>
              <w:lang w:val="en-US"/>
            </w:rPr>
            <m:t>=m(</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lang w:val="en-US"/>
            </w:rPr>
            <m:t>, w)</m:t>
          </m:r>
        </m:oMath>
      </m:oMathPara>
    </w:p>
    <w:p w:rsidR="0064233F" w:rsidRDefault="0064233F" w:rsidP="004B57D7">
      <w:pPr>
        <w:spacing w:line="360" w:lineRule="auto"/>
        <w:ind w:firstLine="720"/>
        <w:contextualSpacing/>
        <w:jc w:val="both"/>
        <w:rPr>
          <w:rFonts w:eastAsia="Calibri"/>
        </w:rPr>
      </w:pPr>
      <w:r>
        <w:rPr>
          <w:rFonts w:eastAsia="Calibri"/>
        </w:rPr>
        <w:t>Στην αγορά ομο</w:t>
      </w:r>
      <w:r w:rsidR="004B57D7">
        <w:rPr>
          <w:rFonts w:eastAsia="Calibri"/>
        </w:rPr>
        <w:t>λ</w:t>
      </w:r>
      <w:r>
        <w:rPr>
          <w:rFonts w:eastAsia="Calibri"/>
        </w:rPr>
        <w:t xml:space="preserve">όγων στην ισορροπία η </w:t>
      </w:r>
      <w:proofErr w:type="spellStart"/>
      <w:r>
        <w:rPr>
          <w:rFonts w:eastAsia="Calibri"/>
        </w:rPr>
        <w:t>προσφόρά</w:t>
      </w:r>
      <w:proofErr w:type="spellEnd"/>
      <w:r>
        <w:rPr>
          <w:rFonts w:eastAsia="Calibri"/>
        </w:rPr>
        <w:t xml:space="preserve"> ομολόγων ισούται με την  ζήτηση ομολόγων που είναι μια θετική συνάρτηση της απόδοσης των</w:t>
      </w:r>
      <w:r w:rsidR="004B57D7">
        <w:rPr>
          <w:rFonts w:eastAsia="Calibri"/>
        </w:rPr>
        <w:t xml:space="preserve"> εγχώριων ομολόγων και του πλού</w:t>
      </w:r>
      <w:r>
        <w:rPr>
          <w:rFonts w:eastAsia="Calibri"/>
        </w:rPr>
        <w:t>τ</w:t>
      </w:r>
      <w:r w:rsidR="004B57D7">
        <w:rPr>
          <w:rFonts w:eastAsia="Calibri"/>
        </w:rPr>
        <w:t>ο</w:t>
      </w:r>
      <w:r>
        <w:rPr>
          <w:rFonts w:eastAsia="Calibri"/>
        </w:rPr>
        <w:t>υ της οικονομίας</w:t>
      </w:r>
      <w:r w:rsidR="004B57D7">
        <w:rPr>
          <w:rFonts w:eastAsia="Calibri"/>
        </w:rPr>
        <w:t>,</w:t>
      </w:r>
      <w:r>
        <w:rPr>
          <w:rFonts w:eastAsia="Calibri"/>
        </w:rPr>
        <w:t xml:space="preserve"> και αρνητική συνάρτηση της απόδοσης των ομολόγων της αλλοδαπής </w:t>
      </w:r>
      <m:oMath>
        <m:r>
          <w:rPr>
            <w:rFonts w:ascii="Cambria Math" w:eastAsia="Calibri" w:hAnsi="Cambria Math"/>
            <w:sz w:val="22"/>
            <w:szCs w:val="22"/>
            <w:lang w:eastAsia="en-US"/>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rPr>
          <m:t>)</m:t>
        </m:r>
      </m:oMath>
      <w:r>
        <w:rPr>
          <w:rFonts w:eastAsia="Calibri"/>
        </w:rPr>
        <w:t>.</w:t>
      </w:r>
    </w:p>
    <w:p w:rsidR="0064233F" w:rsidRPr="00453F39" w:rsidRDefault="00EA318F" w:rsidP="00453F39">
      <w:pPr>
        <w:spacing w:line="360" w:lineRule="auto"/>
        <w:ind w:left="1440" w:firstLine="720"/>
        <w:contextualSpacing/>
        <w:jc w:val="both"/>
        <w:rPr>
          <w:rFonts w:eastAsia="Calibri"/>
          <w:lang w:val="en-US"/>
        </w:rPr>
      </w:pPr>
      <m:oMathPara>
        <m:oMathParaPr>
          <m:jc m:val="left"/>
        </m:oMathPara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t</m:t>
              </m:r>
            </m:sub>
          </m:sSub>
          <m:r>
            <w:rPr>
              <w:rFonts w:ascii="Cambria Math" w:hAnsi="Cambria Math"/>
              <w:lang w:val="en-US"/>
            </w:rPr>
            <m:t>=b(</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lang w:val="en-US"/>
            </w:rPr>
            <m:t>, w)</m:t>
          </m:r>
        </m:oMath>
      </m:oMathPara>
    </w:p>
    <w:p w:rsidR="00453F39" w:rsidRPr="007039F6" w:rsidRDefault="0064233F" w:rsidP="00B01414">
      <w:pPr>
        <w:spacing w:line="360" w:lineRule="auto"/>
        <w:contextualSpacing/>
        <w:jc w:val="both"/>
        <w:rPr>
          <w:rFonts w:eastAsia="Calibri"/>
        </w:rPr>
      </w:pPr>
      <w:r>
        <w:rPr>
          <w:rFonts w:eastAsia="Calibri"/>
        </w:rPr>
        <w:t>Ενώ η ισορροπία αντίστοιχα στην αγορά ξένων ομολόγων επιτυγχάνεται όταν η προσφο</w:t>
      </w:r>
      <w:r w:rsidR="004B57D7">
        <w:rPr>
          <w:rFonts w:eastAsia="Calibri"/>
        </w:rPr>
        <w:t>ρά τους σε εγχώριο νόμισμα ισού</w:t>
      </w:r>
      <w:r>
        <w:rPr>
          <w:rFonts w:eastAsia="Calibri"/>
        </w:rPr>
        <w:t xml:space="preserve">ται με την ζήτηση τους που είναι μια </w:t>
      </w:r>
      <w:r>
        <w:rPr>
          <w:rFonts w:eastAsia="Calibri"/>
        </w:rPr>
        <w:lastRenderedPageBreak/>
        <w:t>συνάρτηση αρνητική του εγχώριου επιτοκίου και θετική της απόδοσης του ξένου ομολόγου και του πλούτου.</w:t>
      </w:r>
    </w:p>
    <w:p w:rsidR="00B01414" w:rsidRPr="00453F39" w:rsidRDefault="00453F39" w:rsidP="00B01414">
      <w:pPr>
        <w:spacing w:line="360" w:lineRule="auto"/>
        <w:contextualSpacing/>
        <w:jc w:val="both"/>
        <w:rPr>
          <w:rFonts w:eastAsia="Calibri"/>
          <w:lang w:val="en-US"/>
        </w:rPr>
      </w:pPr>
      <w:r w:rsidRPr="007039F6">
        <w:rPr>
          <w:rFonts w:eastAsia="Calibri"/>
        </w:rPr>
        <w:tab/>
      </w:r>
      <w:r w:rsidRPr="007039F6">
        <w:rPr>
          <w:rFonts w:eastAsia="Calibri"/>
        </w:rPr>
        <w:tab/>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t</m:t>
            </m:r>
          </m:sub>
        </m:sSub>
        <m:r>
          <w:rPr>
            <w:rFonts w:ascii="Cambria Math" w:hAnsi="Cambria Math"/>
            <w:lang w:val="en-US"/>
          </w:rPr>
          <m:t>=f(</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t</m:t>
            </m:r>
          </m:sub>
          <m:sup>
            <m:r>
              <w:rPr>
                <w:rFonts w:ascii="Cambria Math" w:hAnsi="Cambria Math"/>
              </w:rPr>
              <m:t>*</m:t>
            </m:r>
          </m:sup>
        </m:sSubSup>
        <m:r>
          <w:rPr>
            <w:rFonts w:ascii="Cambria Math" w:hAnsi="Cambria Math"/>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rPr>
          <m:t>Δ</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r>
          <w:rPr>
            <w:rFonts w:ascii="Cambria Math" w:hAnsi="Cambria Math"/>
            <w:lang w:val="en-US"/>
          </w:rPr>
          <m:t>, w)</m:t>
        </m:r>
      </m:oMath>
    </w:p>
    <w:p w:rsidR="0064233F" w:rsidRDefault="00B01414" w:rsidP="002426EE">
      <w:pPr>
        <w:spacing w:line="360" w:lineRule="auto"/>
        <w:ind w:firstLine="720"/>
        <w:contextualSpacing/>
        <w:jc w:val="both"/>
        <w:rPr>
          <w:rFonts w:eastAsia="Calibri"/>
        </w:rPr>
      </w:pPr>
      <w:r>
        <w:rPr>
          <w:rFonts w:eastAsia="Calibri"/>
        </w:rPr>
        <w:t>Η γραφική απεικόνιση όλων αυτών γίνεται στο γράφημα</w:t>
      </w:r>
      <w:r w:rsidR="00C20231">
        <w:rPr>
          <w:rFonts w:eastAsia="Calibri"/>
        </w:rPr>
        <w:t xml:space="preserve"> 7.13</w:t>
      </w:r>
      <w:r>
        <w:rPr>
          <w:rFonts w:eastAsia="Calibri"/>
        </w:rPr>
        <w:t>. Πιο συγκεκριμένα η καμπύλη ΜΜ έχει θετική κλίση γιατί μ</w:t>
      </w:r>
      <w:r w:rsidRPr="00B01414">
        <w:rPr>
          <w:rFonts w:eastAsia="Calibri"/>
        </w:rPr>
        <w:t>ια αύξηση της συναλλαγματικής</w:t>
      </w:r>
      <w:r>
        <w:rPr>
          <w:rFonts w:eastAsia="Calibri"/>
        </w:rPr>
        <w:t xml:space="preserve"> ισοτιμίας προκαλεί την αύξηση </w:t>
      </w:r>
      <w:r w:rsidRPr="00B01414">
        <w:rPr>
          <w:rFonts w:eastAsia="Calibri"/>
        </w:rPr>
        <w:t>σε</w:t>
      </w:r>
      <w:r>
        <w:rPr>
          <w:rFonts w:eastAsia="Calibri"/>
        </w:rPr>
        <w:t xml:space="preserve"> εγχώριο νόμισμα</w:t>
      </w:r>
      <w:r w:rsidRPr="00B01414">
        <w:rPr>
          <w:rFonts w:eastAsia="Calibri"/>
        </w:rPr>
        <w:t xml:space="preserve"> της αξίας των ομολόγων της αλλοδαπής (</w:t>
      </w:r>
      <w:r>
        <w:rPr>
          <w:rFonts w:eastAsia="Calibri"/>
          <w:lang w:val="en-US"/>
        </w:rPr>
        <w:t>s</w:t>
      </w:r>
      <w:r w:rsidRPr="00B01414">
        <w:rPr>
          <w:rFonts w:eastAsia="Calibri"/>
        </w:rPr>
        <w:t>F).</w:t>
      </w:r>
      <w:r>
        <w:rPr>
          <w:rFonts w:eastAsia="Calibri"/>
        </w:rPr>
        <w:t xml:space="preserve"> Αυτό</w:t>
      </w:r>
      <w:r w:rsidRPr="00B01414">
        <w:rPr>
          <w:rFonts w:eastAsia="Calibri"/>
        </w:rPr>
        <w:t xml:space="preserve"> </w:t>
      </w:r>
      <w:r>
        <w:rPr>
          <w:rFonts w:eastAsia="Calibri"/>
        </w:rPr>
        <w:t>οδηγεί με την σειρά του σ</w:t>
      </w:r>
      <w:r w:rsidRPr="00B01414">
        <w:rPr>
          <w:rFonts w:eastAsia="Calibri"/>
        </w:rPr>
        <w:t>την αύξηση του πλούτου και κατά συνέπεια της ζήτησης χρήματος. Με δεδομένη την προσφορά χρήματος, η ισορροπία στην εγχώρια</w:t>
      </w:r>
      <w:r>
        <w:rPr>
          <w:rFonts w:eastAsia="Calibri"/>
        </w:rPr>
        <w:t xml:space="preserve"> </w:t>
      </w:r>
      <w:r w:rsidRPr="00B01414">
        <w:rPr>
          <w:rFonts w:eastAsia="Calibri"/>
        </w:rPr>
        <w:t>αγορά χρήματος αποκαθίσταται με την αύξηση του εγχώριου επιτοκίου.</w:t>
      </w:r>
      <w:r>
        <w:rPr>
          <w:rFonts w:eastAsia="Calibri"/>
        </w:rPr>
        <w:t xml:space="preserve"> Έτσι καταλήγουμε στο καινούργιο σημείο ισορροπίας να έχουμε μεγαλύτερα </w:t>
      </w:r>
      <w:r>
        <w:rPr>
          <w:rFonts w:eastAsia="Calibri"/>
          <w:lang w:val="en-US"/>
        </w:rPr>
        <w:t>s</w:t>
      </w:r>
      <w:r w:rsidRPr="00B01414">
        <w:rPr>
          <w:rFonts w:eastAsia="Calibri"/>
        </w:rPr>
        <w:t xml:space="preserve"> </w:t>
      </w:r>
      <w:r>
        <w:rPr>
          <w:rFonts w:eastAsia="Calibri"/>
        </w:rPr>
        <w:t xml:space="preserve">και </w:t>
      </w:r>
      <w:r>
        <w:rPr>
          <w:rFonts w:eastAsia="Calibri"/>
          <w:lang w:val="en-US"/>
        </w:rPr>
        <w:t>r</w:t>
      </w:r>
      <w:r w:rsidRPr="00B01414">
        <w:rPr>
          <w:rFonts w:eastAsia="Calibri"/>
        </w:rPr>
        <w:t>.</w:t>
      </w:r>
    </w:p>
    <w:p w:rsidR="0070701A" w:rsidRPr="004B57D7" w:rsidRDefault="0070701A" w:rsidP="00453F39">
      <w:pPr>
        <w:contextualSpacing/>
        <w:jc w:val="both"/>
        <w:rPr>
          <w:rFonts w:eastAsia="Calibri"/>
          <w:sz w:val="22"/>
          <w:szCs w:val="22"/>
        </w:rPr>
      </w:pPr>
      <w:r w:rsidRPr="0070701A">
        <w:rPr>
          <w:rFonts w:eastAsia="Calibri"/>
          <w:b/>
        </w:rPr>
        <w:t>Γράφημα</w:t>
      </w:r>
      <w:r w:rsidR="00C20231">
        <w:rPr>
          <w:rFonts w:eastAsia="Calibri"/>
          <w:b/>
        </w:rPr>
        <w:t xml:space="preserve"> 7.13</w:t>
      </w:r>
      <w:r w:rsidRPr="0070701A">
        <w:rPr>
          <w:rFonts w:eastAsia="Calibri"/>
          <w:b/>
        </w:rPr>
        <w:t xml:space="preserve"> </w:t>
      </w:r>
      <w:r w:rsidR="004B57D7" w:rsidRPr="004B57D7">
        <w:rPr>
          <w:rFonts w:eastAsia="Calibri"/>
          <w:sz w:val="22"/>
          <w:szCs w:val="22"/>
        </w:rPr>
        <w:t>Γ</w:t>
      </w:r>
      <w:r w:rsidRPr="004B57D7">
        <w:rPr>
          <w:rFonts w:eastAsia="Calibri"/>
          <w:sz w:val="22"/>
          <w:szCs w:val="22"/>
        </w:rPr>
        <w:t>ραφική απεικόνιση του υποδείγματος ισορροπίας του χαρτοφυλακίου</w:t>
      </w:r>
    </w:p>
    <w:p w:rsidR="0070701A" w:rsidRPr="0070701A" w:rsidRDefault="0070701A" w:rsidP="0070701A">
      <w:pPr>
        <w:spacing w:line="360" w:lineRule="auto"/>
        <w:contextualSpacing/>
        <w:jc w:val="center"/>
        <w:rPr>
          <w:rFonts w:eastAsia="Calibri"/>
        </w:rPr>
      </w:pPr>
      <w:r>
        <w:rPr>
          <w:rFonts w:eastAsia="Calibri"/>
          <w:noProof/>
        </w:rPr>
        <w:drawing>
          <wp:inline distT="0" distB="0" distL="0" distR="0">
            <wp:extent cx="2897579" cy="2724417"/>
            <wp:effectExtent l="19050" t="19050" r="17145" b="19050"/>
            <wp:docPr id="78889" name="Εικόνα 7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PB_1.jpg"/>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2610" cy="2729147"/>
                    </a:xfrm>
                    <a:prstGeom prst="rect">
                      <a:avLst/>
                    </a:prstGeom>
                    <a:ln>
                      <a:solidFill>
                        <a:schemeClr val="tx1"/>
                      </a:solidFill>
                    </a:ln>
                  </pic:spPr>
                </pic:pic>
              </a:graphicData>
            </a:graphic>
          </wp:inline>
        </w:drawing>
      </w:r>
    </w:p>
    <w:p w:rsidR="0070701A" w:rsidRDefault="0070701A" w:rsidP="0070701A">
      <w:pPr>
        <w:spacing w:line="360" w:lineRule="auto"/>
        <w:contextualSpacing/>
        <w:jc w:val="both"/>
        <w:rPr>
          <w:rFonts w:eastAsia="Calibri"/>
        </w:rPr>
      </w:pPr>
    </w:p>
    <w:p w:rsidR="0070701A" w:rsidRDefault="00B01414" w:rsidP="00453F39">
      <w:pPr>
        <w:spacing w:line="360" w:lineRule="auto"/>
        <w:ind w:firstLine="720"/>
        <w:contextualSpacing/>
        <w:jc w:val="both"/>
        <w:rPr>
          <w:rFonts w:eastAsia="Calibri"/>
        </w:rPr>
      </w:pPr>
      <w:r>
        <w:rPr>
          <w:rFonts w:eastAsia="Calibri"/>
        </w:rPr>
        <w:t xml:space="preserve">Η καμπύλη ΒΒ που δείχνει του συνδυασμούς </w:t>
      </w:r>
      <w:r>
        <w:rPr>
          <w:rFonts w:eastAsia="Calibri"/>
          <w:lang w:val="en-US"/>
        </w:rPr>
        <w:t>s</w:t>
      </w:r>
      <w:r w:rsidRPr="00B01414">
        <w:rPr>
          <w:rFonts w:eastAsia="Calibri"/>
        </w:rPr>
        <w:t xml:space="preserve">, </w:t>
      </w:r>
      <w:r>
        <w:rPr>
          <w:rFonts w:eastAsia="Calibri"/>
          <w:lang w:val="en-US"/>
        </w:rPr>
        <w:t>r</w:t>
      </w:r>
      <w:r w:rsidRPr="00B01414">
        <w:rPr>
          <w:rFonts w:eastAsia="Calibri"/>
        </w:rPr>
        <w:t xml:space="preserve"> </w:t>
      </w:r>
      <w:r>
        <w:rPr>
          <w:rFonts w:eastAsia="Calibri"/>
        </w:rPr>
        <w:t>για τους οποίους ισχύει η ισορροπία στην αγορά εγχώριων ομολόγων έχει αρνητική κλίση. Αυτό εξηγείται από το γεγονός ότι μ</w:t>
      </w:r>
      <w:r w:rsidRPr="00B01414">
        <w:rPr>
          <w:rFonts w:eastAsia="Calibri"/>
        </w:rPr>
        <w:t>ια αύξηση της συναλλαγματικής</w:t>
      </w:r>
      <w:r>
        <w:rPr>
          <w:rFonts w:eastAsia="Calibri"/>
        </w:rPr>
        <w:t xml:space="preserve"> ισοτιμίας προκαλεί την αύξηση </w:t>
      </w:r>
      <w:r w:rsidRPr="00B01414">
        <w:rPr>
          <w:rFonts w:eastAsia="Calibri"/>
        </w:rPr>
        <w:t>σε</w:t>
      </w:r>
      <w:r>
        <w:rPr>
          <w:rFonts w:eastAsia="Calibri"/>
        </w:rPr>
        <w:t xml:space="preserve"> εγχώριο νόμισμα</w:t>
      </w:r>
      <w:r w:rsidRPr="00B01414">
        <w:rPr>
          <w:rFonts w:eastAsia="Calibri"/>
        </w:rPr>
        <w:t xml:space="preserve"> της αξίας των ομολόγων της αλλοδαπής </w:t>
      </w:r>
      <w:r>
        <w:rPr>
          <w:rFonts w:eastAsia="Calibri"/>
        </w:rPr>
        <w:t>που με την σειρά της αυξάνει τον πλούτο και κατά συνέπεια και την</w:t>
      </w:r>
      <w:r w:rsidR="00BD7AEE">
        <w:rPr>
          <w:rFonts w:eastAsia="Calibri"/>
        </w:rPr>
        <w:t xml:space="preserve"> ζήτηση</w:t>
      </w:r>
      <w:r w:rsidR="004B57D7">
        <w:rPr>
          <w:rFonts w:eastAsia="Calibri"/>
        </w:rPr>
        <w:t xml:space="preserve"> για εγχώρια ομόλογα. Όμως με δε</w:t>
      </w:r>
      <w:r w:rsidR="00BD7AEE">
        <w:rPr>
          <w:rFonts w:eastAsia="Calibri"/>
        </w:rPr>
        <w:t>δομένη την προσφορά ομολόγων η αυξημένη ζήτηση θα οδηγήσει σε πτώση του εγχώριου επιτοκίου ισορροπίας.</w:t>
      </w:r>
      <w:r w:rsidRPr="00B01414">
        <w:rPr>
          <w:rFonts w:eastAsia="Calibri"/>
        </w:rPr>
        <w:t xml:space="preserve"> </w:t>
      </w:r>
      <w:r>
        <w:rPr>
          <w:rFonts w:eastAsia="Calibri"/>
        </w:rPr>
        <w:t xml:space="preserve">Έτσι καταλήγουμε στο καινούργιο σημείο ισορροπίας να έχουμε μεγαλύτερα </w:t>
      </w:r>
      <w:r>
        <w:rPr>
          <w:rFonts w:eastAsia="Calibri"/>
          <w:lang w:val="en-US"/>
        </w:rPr>
        <w:t>s</w:t>
      </w:r>
      <w:r w:rsidRPr="00B01414">
        <w:rPr>
          <w:rFonts w:eastAsia="Calibri"/>
        </w:rPr>
        <w:t xml:space="preserve"> </w:t>
      </w:r>
      <w:r>
        <w:rPr>
          <w:rFonts w:eastAsia="Calibri"/>
        </w:rPr>
        <w:t>και</w:t>
      </w:r>
      <w:r w:rsidR="00BD7AEE">
        <w:rPr>
          <w:rFonts w:eastAsia="Calibri"/>
        </w:rPr>
        <w:t xml:space="preserve"> μικρότερο</w:t>
      </w:r>
      <w:r>
        <w:rPr>
          <w:rFonts w:eastAsia="Calibri"/>
        </w:rPr>
        <w:t xml:space="preserve"> </w:t>
      </w:r>
      <w:r>
        <w:rPr>
          <w:rFonts w:eastAsia="Calibri"/>
          <w:lang w:val="en-US"/>
        </w:rPr>
        <w:t>r</w:t>
      </w:r>
      <w:r w:rsidRPr="00B01414">
        <w:rPr>
          <w:rFonts w:eastAsia="Calibri"/>
        </w:rPr>
        <w:t>.</w:t>
      </w:r>
      <w:r w:rsidR="0070701A">
        <w:rPr>
          <w:rFonts w:eastAsia="Calibri"/>
        </w:rPr>
        <w:t xml:space="preserve"> </w:t>
      </w:r>
    </w:p>
    <w:p w:rsidR="00BD7AEE" w:rsidRDefault="0070701A" w:rsidP="00C20231">
      <w:pPr>
        <w:spacing w:line="360" w:lineRule="auto"/>
        <w:ind w:firstLine="720"/>
        <w:contextualSpacing/>
        <w:jc w:val="both"/>
        <w:rPr>
          <w:rFonts w:eastAsia="Calibri"/>
        </w:rPr>
      </w:pPr>
      <w:r>
        <w:rPr>
          <w:rFonts w:eastAsia="Calibri"/>
        </w:rPr>
        <w:lastRenderedPageBreak/>
        <w:t>Σχετικά με την κλίση της</w:t>
      </w:r>
      <w:r w:rsidRPr="0070701A">
        <w:rPr>
          <w:rFonts w:eastAsia="Calibri"/>
        </w:rPr>
        <w:t xml:space="preserve"> </w:t>
      </w:r>
      <w:r>
        <w:rPr>
          <w:rFonts w:eastAsia="Calibri"/>
          <w:lang w:val="en-US"/>
        </w:rPr>
        <w:t>FF</w:t>
      </w:r>
      <w:r w:rsidRPr="0070701A">
        <w:rPr>
          <w:rFonts w:eastAsia="Calibri"/>
        </w:rPr>
        <w:t xml:space="preserve"> </w:t>
      </w:r>
      <w:r>
        <w:rPr>
          <w:rFonts w:eastAsia="Calibri"/>
        </w:rPr>
        <w:t>μπορούμε να πούμε ότι μ</w:t>
      </w:r>
      <w:r w:rsidR="00BD7AEE" w:rsidRPr="00BD7AEE">
        <w:rPr>
          <w:rFonts w:eastAsia="Calibri"/>
        </w:rPr>
        <w:t>ια αύξηση της συναλλαγματικής ισοτι</w:t>
      </w:r>
      <w:r w:rsidR="00BD7AEE">
        <w:rPr>
          <w:rFonts w:eastAsia="Calibri"/>
        </w:rPr>
        <w:t>μίας προκαλεί αύξηση της αξίας σε εγχώριο νόμισμα</w:t>
      </w:r>
      <w:r w:rsidR="00BD7AEE" w:rsidRPr="00BD7AEE">
        <w:rPr>
          <w:rFonts w:eastAsia="Calibri"/>
        </w:rPr>
        <w:t xml:space="preserve"> των ξένων ομολόγων η οποία με τη σειρά της αυξάνει τον πλούτο και τη ζήτηση των ξένων ομολόγων. Ταυτόχρονα, όμως, αυξάνει και την προσφορά των ξένων ομολόγων (</w:t>
      </w:r>
      <w:proofErr w:type="spellStart"/>
      <w:r w:rsidR="00BD7AEE" w:rsidRPr="00BD7AEE">
        <w:rPr>
          <w:rFonts w:eastAsia="Calibri"/>
          <w:i/>
          <w:iCs/>
        </w:rPr>
        <w:t>eF</w:t>
      </w:r>
      <w:proofErr w:type="spellEnd"/>
      <w:r w:rsidR="00BD7AEE">
        <w:rPr>
          <w:rFonts w:eastAsia="Calibri"/>
        </w:rPr>
        <w:t>)</w:t>
      </w:r>
      <w:r w:rsidR="00BD7AEE" w:rsidRPr="00BD7AEE">
        <w:rPr>
          <w:rFonts w:eastAsia="Calibri"/>
        </w:rPr>
        <w:t xml:space="preserve"> περισσότερο από τη ζήτηση </w:t>
      </w:r>
      <w:r w:rsidR="00BD7AEE">
        <w:rPr>
          <w:rFonts w:eastAsia="Calibri"/>
        </w:rPr>
        <w:t xml:space="preserve">με αποτέλεσμα </w:t>
      </w:r>
      <w:r w:rsidR="00BD7AEE" w:rsidRPr="00BD7AEE">
        <w:rPr>
          <w:rFonts w:eastAsia="Calibri"/>
        </w:rPr>
        <w:t>να υπάρχει υπερβάλλουσα προσφορά ξένων ομολόγων. Η ισορροπία στην αγορά αποκαθίσταται με την πτώση</w:t>
      </w:r>
      <w:r w:rsidR="00BD7AEE">
        <w:rPr>
          <w:rFonts w:eastAsia="Calibri"/>
        </w:rPr>
        <w:t xml:space="preserve"> του εγχώριου επιτοκίου. Έτσι </w:t>
      </w:r>
      <w:r w:rsidR="00BD7AEE" w:rsidRPr="00BD7AEE">
        <w:rPr>
          <w:rFonts w:eastAsia="Calibri"/>
        </w:rPr>
        <w:t xml:space="preserve">τα εγχώρια ομόλογα γίνονται λιγότερο ελκυστικά και οι εγχώριοι επενδυτές </w:t>
      </w:r>
      <w:r w:rsidR="00BD7AEE">
        <w:rPr>
          <w:rFonts w:eastAsia="Calibri"/>
        </w:rPr>
        <w:t>στοχεύουν</w:t>
      </w:r>
      <w:r w:rsidR="00BD7AEE" w:rsidRPr="00BD7AEE">
        <w:rPr>
          <w:rFonts w:eastAsia="Calibri"/>
        </w:rPr>
        <w:t xml:space="preserve"> </w:t>
      </w:r>
      <w:r w:rsidR="00BD7AEE">
        <w:rPr>
          <w:rFonts w:eastAsia="Calibri"/>
        </w:rPr>
        <w:t>σ</w:t>
      </w:r>
      <w:r w:rsidR="00BD7AEE" w:rsidRPr="00BD7AEE">
        <w:rPr>
          <w:rFonts w:eastAsia="Calibri"/>
        </w:rPr>
        <w:t>τα ξένα ομόλογα με αποτέλεσμα να αυξάνεται η ζήτησή τους και να απορροφάτ</w:t>
      </w:r>
      <w:r w:rsidR="00BD7AEE">
        <w:rPr>
          <w:rFonts w:eastAsia="Calibri"/>
        </w:rPr>
        <w:t>αι η υπερβάλλουσα προσφορά τους</w:t>
      </w:r>
      <w:r w:rsidR="00BD7AEE" w:rsidRPr="00BD7AEE">
        <w:rPr>
          <w:rFonts w:eastAsia="Calibri"/>
        </w:rPr>
        <w:t>.</w:t>
      </w:r>
      <w:r w:rsidR="00BD7AEE">
        <w:rPr>
          <w:rFonts w:eastAsia="Calibri"/>
        </w:rPr>
        <w:t xml:space="preserve"> Η κλίση της </w:t>
      </w:r>
      <w:r w:rsidR="00BD7AEE">
        <w:rPr>
          <w:rFonts w:eastAsia="Calibri"/>
          <w:lang w:val="en-US"/>
        </w:rPr>
        <w:t>FF</w:t>
      </w:r>
      <w:r w:rsidR="00BD7AEE" w:rsidRPr="00BD7AEE">
        <w:rPr>
          <w:rFonts w:eastAsia="Calibri"/>
        </w:rPr>
        <w:t xml:space="preserve"> </w:t>
      </w:r>
      <w:r w:rsidR="00BD7AEE">
        <w:rPr>
          <w:rFonts w:eastAsia="Calibri"/>
        </w:rPr>
        <w:t xml:space="preserve">είναι </w:t>
      </w:r>
      <w:r w:rsidR="004B57D7">
        <w:rPr>
          <w:rFonts w:eastAsia="Calibri"/>
        </w:rPr>
        <w:t>μικρότερη από αυτήν της ΒΒ</w:t>
      </w:r>
      <w:r w:rsidR="00BD7AEE">
        <w:rPr>
          <w:rFonts w:eastAsia="Calibri"/>
        </w:rPr>
        <w:t xml:space="preserve"> επειδή οι μεταβολές στο εγχώριο επιτόκιο επηρ</w:t>
      </w:r>
      <w:r w:rsidR="004B57D7">
        <w:rPr>
          <w:rFonts w:eastAsia="Calibri"/>
        </w:rPr>
        <w:t>ε</w:t>
      </w:r>
      <w:r w:rsidR="00BD7AEE">
        <w:rPr>
          <w:rFonts w:eastAsia="Calibri"/>
        </w:rPr>
        <w:t>άζουν περισσότερο τα εγχώρια ομόλογα και λιγότερο τα ξένα.</w:t>
      </w:r>
    </w:p>
    <w:p w:rsidR="00C20231" w:rsidRDefault="00B46FF5" w:rsidP="00C20231">
      <w:pPr>
        <w:spacing w:line="360" w:lineRule="auto"/>
        <w:ind w:firstLine="720"/>
        <w:contextualSpacing/>
        <w:jc w:val="both"/>
        <w:rPr>
          <w:rFonts w:eastAsia="Calibri"/>
        </w:rPr>
      </w:pPr>
      <w:r>
        <w:rPr>
          <w:rFonts w:eastAsia="Calibri"/>
        </w:rPr>
        <w:t>Σε αντίθεση με τα νομισματικά υποδείγματα, η</w:t>
      </w:r>
      <w:r w:rsidR="00BD7AEE">
        <w:rPr>
          <w:rFonts w:eastAsia="Calibri"/>
        </w:rPr>
        <w:t xml:space="preserve"> προσθήκη του πριμ κινδύνου επιτρέπει οι πολιτικές ανοικτής αγοράς από την κεντρική τράπεζα να έχουν διαφορετική επίδραση στα επιτόκια και την συναλλαγματική ισοτιμία</w:t>
      </w:r>
      <w:r>
        <w:rPr>
          <w:rFonts w:eastAsia="Calibri"/>
        </w:rPr>
        <w:t>. Κ</w:t>
      </w:r>
      <w:r w:rsidR="00BD7AEE">
        <w:rPr>
          <w:rFonts w:eastAsia="Calibri"/>
        </w:rPr>
        <w:t xml:space="preserve">αι δίνει την δυνατότητα στις νομισματικές αρχές να κάνουν χρήση της λεγόμενης </w:t>
      </w:r>
      <w:r>
        <w:rPr>
          <w:rFonts w:eastAsia="Calibri"/>
        </w:rPr>
        <w:t xml:space="preserve">παρεμβατικής </w:t>
      </w:r>
      <w:r w:rsidR="00BD7AEE">
        <w:rPr>
          <w:rFonts w:eastAsia="Calibri"/>
        </w:rPr>
        <w:t>πολιτικής αποστείρωσης</w:t>
      </w:r>
      <w:r>
        <w:rPr>
          <w:rFonts w:eastAsia="Calibri"/>
        </w:rPr>
        <w:t xml:space="preserve"> η οποία δεν μεταβάλλει την προσφορά χρήματος.</w:t>
      </w:r>
    </w:p>
    <w:p w:rsidR="00B01414" w:rsidRDefault="00B46FF5" w:rsidP="00C20231">
      <w:pPr>
        <w:spacing w:line="360" w:lineRule="auto"/>
        <w:ind w:firstLine="720"/>
        <w:contextualSpacing/>
        <w:jc w:val="both"/>
        <w:rPr>
          <w:rFonts w:eastAsia="Calibri"/>
        </w:rPr>
      </w:pPr>
      <w:r>
        <w:rPr>
          <w:rFonts w:eastAsia="Calibri"/>
        </w:rPr>
        <w:t>Όλα αυτά γίνονται εύκολα αντιληπτά με το ακόλουθο παράδειγμα όπου δείχνει γραφικά την επίδραση που έχει μια παρεμβατική πολιτική στην αγορά συναλλάγματος από την κεντρική τράπεζα.</w:t>
      </w:r>
      <w:r w:rsidR="00BD7AEE">
        <w:rPr>
          <w:rFonts w:eastAsia="Calibri"/>
        </w:rPr>
        <w:t xml:space="preserve"> </w:t>
      </w:r>
      <w:r w:rsidR="0070701A">
        <w:rPr>
          <w:rFonts w:eastAsia="Calibri"/>
        </w:rPr>
        <w:t xml:space="preserve">Έστω ότι η ΕΚΤ αποφασίζει ότι το ευρώ έναντι του </w:t>
      </w:r>
      <w:r w:rsidR="0070701A" w:rsidRPr="0070701A">
        <w:rPr>
          <w:rFonts w:eastAsia="Calibri"/>
        </w:rPr>
        <w:t>γι</w:t>
      </w:r>
      <w:r w:rsidR="0070701A">
        <w:rPr>
          <w:rFonts w:eastAsia="Calibri"/>
        </w:rPr>
        <w:t>έν είναι υπερτιμημένο και αποφασίζει να παρέμβει στην αγορά συναλλάγματος αγοράζοντας γιέν πουλώντας ευρώ. Αυτό οδηγεί σε αύξηση της προσφοράς</w:t>
      </w:r>
      <w:r w:rsidR="004B57D7">
        <w:rPr>
          <w:rFonts w:eastAsia="Calibri"/>
        </w:rPr>
        <w:t xml:space="preserve"> </w:t>
      </w:r>
      <w:r w:rsidR="0070701A">
        <w:rPr>
          <w:rFonts w:eastAsia="Calibri"/>
        </w:rPr>
        <w:t>χρήματος στην Ευρωζώνη και μείωση της προσφοράς χρήματος στην Ιαπωνία. Χρησιμοποιώντας το γράφημα</w:t>
      </w:r>
      <w:r w:rsidR="00C20231">
        <w:rPr>
          <w:rFonts w:eastAsia="Calibri"/>
        </w:rPr>
        <w:t xml:space="preserve"> 7.14</w:t>
      </w:r>
      <w:r w:rsidR="0070701A">
        <w:rPr>
          <w:rFonts w:eastAsia="Calibri"/>
        </w:rPr>
        <w:t xml:space="preserve"> και τις βασικές αρχές του υποδείγματος του χαρτοφυλακίου θα δούμε τις συνέπει</w:t>
      </w:r>
      <w:r w:rsidR="00173F1A">
        <w:rPr>
          <w:rFonts w:eastAsia="Calibri"/>
        </w:rPr>
        <w:t>ε</w:t>
      </w:r>
      <w:r w:rsidR="0070701A">
        <w:rPr>
          <w:rFonts w:eastAsia="Calibri"/>
        </w:rPr>
        <w:t>ς αυτής της πολιτικής στην συναλλαγματική ισοτιμία και το εγχώριο επιτόκιο</w:t>
      </w:r>
      <w:r w:rsidR="00CB19A2">
        <w:rPr>
          <w:rFonts w:eastAsia="Calibri"/>
        </w:rPr>
        <w:t>. Ξεκ</w:t>
      </w:r>
      <w:r w:rsidR="007B4A5C">
        <w:rPr>
          <w:rFonts w:eastAsia="Calibri"/>
        </w:rPr>
        <w:t>ινάμε την ανάλυση με την μετακίνηση της ΜΜ προς τα δεξιά μια και αυξάνεται η προσφορά χρήματος στην Ευρωζώνη. Η άνοδος όμως της συναλλαγματικής ισοτιμίας του γιεν αυξάνει και την προσφορά ξένων ομολόγων (</w:t>
      </w:r>
      <w:proofErr w:type="spellStart"/>
      <w:r w:rsidR="007B4A5C">
        <w:rPr>
          <w:rFonts w:eastAsia="Calibri"/>
          <w:lang w:val="en-US"/>
        </w:rPr>
        <w:t>sF</w:t>
      </w:r>
      <w:proofErr w:type="spellEnd"/>
      <w:r w:rsidR="007B4A5C">
        <w:rPr>
          <w:rFonts w:eastAsia="Calibri"/>
        </w:rPr>
        <w:t>)</w:t>
      </w:r>
      <w:r w:rsidR="007B4A5C" w:rsidRPr="007B4A5C">
        <w:rPr>
          <w:rFonts w:eastAsia="Calibri"/>
        </w:rPr>
        <w:t xml:space="preserve"> </w:t>
      </w:r>
      <w:r w:rsidR="007B4A5C">
        <w:rPr>
          <w:rFonts w:eastAsia="Calibri"/>
        </w:rPr>
        <w:t xml:space="preserve"> μετακινώντας την</w:t>
      </w:r>
      <w:r w:rsidR="008270FF">
        <w:rPr>
          <w:rFonts w:eastAsia="Calibri"/>
        </w:rPr>
        <w:t xml:space="preserve"> </w:t>
      </w:r>
      <w:r w:rsidR="007B4A5C">
        <w:rPr>
          <w:rFonts w:eastAsia="Calibri"/>
          <w:lang w:val="en-US"/>
        </w:rPr>
        <w:t>F</w:t>
      </w:r>
      <w:r w:rsidR="007B4A5C" w:rsidRPr="007B4A5C">
        <w:rPr>
          <w:rFonts w:eastAsia="Calibri"/>
          <w:vertAlign w:val="subscript"/>
        </w:rPr>
        <w:t>1</w:t>
      </w:r>
      <w:r w:rsidR="007B4A5C">
        <w:rPr>
          <w:rFonts w:eastAsia="Calibri"/>
          <w:lang w:val="en-US"/>
        </w:rPr>
        <w:t>F</w:t>
      </w:r>
      <w:r w:rsidR="007B4A5C" w:rsidRPr="007B4A5C">
        <w:rPr>
          <w:rFonts w:eastAsia="Calibri"/>
          <w:vertAlign w:val="subscript"/>
        </w:rPr>
        <w:t xml:space="preserve">1 </w:t>
      </w:r>
      <w:r w:rsidR="007B4A5C" w:rsidRPr="007B4A5C">
        <w:rPr>
          <w:rFonts w:eastAsia="Calibri"/>
        </w:rPr>
        <w:t xml:space="preserve">στην </w:t>
      </w:r>
      <w:r w:rsidR="007B4A5C">
        <w:rPr>
          <w:rFonts w:eastAsia="Calibri"/>
          <w:lang w:val="en-US"/>
        </w:rPr>
        <w:t>F</w:t>
      </w:r>
      <w:r w:rsidR="007B4A5C">
        <w:rPr>
          <w:rFonts w:eastAsia="Calibri"/>
          <w:vertAlign w:val="subscript"/>
        </w:rPr>
        <w:t>2</w:t>
      </w:r>
      <w:r w:rsidR="007B4A5C">
        <w:rPr>
          <w:rFonts w:eastAsia="Calibri"/>
          <w:lang w:val="en-US"/>
        </w:rPr>
        <w:t>F</w:t>
      </w:r>
      <w:r w:rsidR="007B4A5C">
        <w:rPr>
          <w:rFonts w:eastAsia="Calibri"/>
          <w:vertAlign w:val="subscript"/>
        </w:rPr>
        <w:t>2</w:t>
      </w:r>
      <w:r w:rsidR="007B4A5C">
        <w:rPr>
          <w:rFonts w:eastAsia="Calibri"/>
        </w:rPr>
        <w:t>. Το νέο σημείο ισορροπίας τελικά γίνεται το σημείο Β, όπου έχουμε χαμηλότερο εγχώριο επιτόκιο και υποτίμηση του ευρώ έναντι του γιέν.</w:t>
      </w:r>
    </w:p>
    <w:p w:rsidR="00D94170" w:rsidRDefault="00D94170" w:rsidP="00B01414">
      <w:pPr>
        <w:spacing w:line="360" w:lineRule="auto"/>
        <w:contextualSpacing/>
        <w:jc w:val="both"/>
        <w:rPr>
          <w:rFonts w:eastAsia="Calibri"/>
        </w:rPr>
      </w:pPr>
    </w:p>
    <w:p w:rsidR="0070701A" w:rsidRDefault="0070701A" w:rsidP="00AF4096">
      <w:pPr>
        <w:contextualSpacing/>
        <w:jc w:val="both"/>
        <w:rPr>
          <w:rFonts w:eastAsia="Calibri"/>
        </w:rPr>
      </w:pPr>
      <w:r w:rsidRPr="0070701A">
        <w:rPr>
          <w:rFonts w:eastAsia="Calibri"/>
          <w:b/>
        </w:rPr>
        <w:t>Γράφημα</w:t>
      </w:r>
      <w:r w:rsidR="00C20231">
        <w:rPr>
          <w:rFonts w:eastAsia="Calibri"/>
          <w:b/>
        </w:rPr>
        <w:t xml:space="preserve"> 7.14</w:t>
      </w:r>
      <w:r w:rsidR="00AF4096" w:rsidRPr="00AF4096">
        <w:rPr>
          <w:rFonts w:eastAsia="Calibri"/>
          <w:b/>
        </w:rPr>
        <w:t xml:space="preserve"> </w:t>
      </w:r>
      <w:r w:rsidRPr="0070701A">
        <w:rPr>
          <w:rFonts w:eastAsia="Calibri"/>
        </w:rPr>
        <w:t>Παρεμβατική πολιτική μη αποστείρωσης στην αγορά συναλλάγματος</w:t>
      </w:r>
      <w:r>
        <w:rPr>
          <w:rFonts w:eastAsia="Calibri"/>
          <w:b/>
        </w:rPr>
        <w:t xml:space="preserve"> </w:t>
      </w:r>
    </w:p>
    <w:p w:rsidR="0070701A" w:rsidRDefault="0070701A" w:rsidP="0070701A">
      <w:pPr>
        <w:spacing w:line="360" w:lineRule="auto"/>
        <w:contextualSpacing/>
        <w:jc w:val="center"/>
        <w:rPr>
          <w:rFonts w:eastAsia="Calibri"/>
        </w:rPr>
      </w:pPr>
      <w:r>
        <w:rPr>
          <w:rFonts w:eastAsia="Calibri"/>
          <w:noProof/>
        </w:rPr>
        <w:lastRenderedPageBreak/>
        <w:drawing>
          <wp:inline distT="0" distB="0" distL="0" distR="0">
            <wp:extent cx="3429129" cy="3241964"/>
            <wp:effectExtent l="19050" t="19050" r="19050" b="15875"/>
            <wp:docPr id="78890" name="Εικόνα 7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PB_2.jpg"/>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3425" cy="3255480"/>
                    </a:xfrm>
                    <a:prstGeom prst="rect">
                      <a:avLst/>
                    </a:prstGeom>
                    <a:ln>
                      <a:solidFill>
                        <a:schemeClr val="tx1"/>
                      </a:solidFill>
                    </a:ln>
                  </pic:spPr>
                </pic:pic>
              </a:graphicData>
            </a:graphic>
          </wp:inline>
        </w:drawing>
      </w:r>
    </w:p>
    <w:p w:rsidR="007B4A5C" w:rsidRDefault="007B4A5C" w:rsidP="00B01414">
      <w:pPr>
        <w:spacing w:line="360" w:lineRule="auto"/>
        <w:contextualSpacing/>
        <w:jc w:val="both"/>
        <w:rPr>
          <w:rFonts w:eastAsia="Calibri"/>
        </w:rPr>
      </w:pPr>
    </w:p>
    <w:p w:rsidR="00B317A6" w:rsidRDefault="007B4A5C" w:rsidP="00AF4096">
      <w:pPr>
        <w:spacing w:line="360" w:lineRule="auto"/>
        <w:ind w:firstLine="720"/>
        <w:contextualSpacing/>
        <w:jc w:val="both"/>
        <w:rPr>
          <w:rFonts w:eastAsia="Calibri"/>
        </w:rPr>
      </w:pPr>
      <w:r>
        <w:rPr>
          <w:rFonts w:eastAsia="Calibri"/>
        </w:rPr>
        <w:t>Εάν όμως η κεντρική τράπεζα ήθελε να παρέμβει χωρίς όμως να αυξήσει την ποσότητα χρήματος ώστε να αποφύγει την διαμόρφωση πληθωριστικών προσδοκιών, θα έπρεπε με την αγορά των γιέν ταυτόχρονα να πουλήσει κάποια από τα εγχώρια ομόλογα που έχει στην κατοχή της. Έτσι θα εξουδετερωθεί η αρχική μετατόπιση της Μ</w:t>
      </w:r>
      <w:r w:rsidRPr="008270FF">
        <w:rPr>
          <w:rFonts w:eastAsia="Calibri"/>
          <w:vertAlign w:val="subscript"/>
        </w:rPr>
        <w:t>1</w:t>
      </w:r>
      <w:r>
        <w:rPr>
          <w:rFonts w:eastAsia="Calibri"/>
        </w:rPr>
        <w:t>Μ</w:t>
      </w:r>
      <w:r w:rsidRPr="008270FF">
        <w:rPr>
          <w:rFonts w:eastAsia="Calibri"/>
          <w:vertAlign w:val="subscript"/>
        </w:rPr>
        <w:t>1</w:t>
      </w:r>
      <w:r>
        <w:rPr>
          <w:rFonts w:eastAsia="Calibri"/>
        </w:rPr>
        <w:t xml:space="preserve"> και θα παραμείνει σταθερή. Αυτή </w:t>
      </w:r>
      <w:r w:rsidR="00EE17C5">
        <w:rPr>
          <w:rFonts w:eastAsia="Calibri"/>
        </w:rPr>
        <w:t xml:space="preserve">η </w:t>
      </w:r>
      <w:r>
        <w:rPr>
          <w:rFonts w:eastAsia="Calibri"/>
        </w:rPr>
        <w:t xml:space="preserve">κίνηση </w:t>
      </w:r>
      <w:proofErr w:type="spellStart"/>
      <w:r>
        <w:rPr>
          <w:rFonts w:eastAsia="Calibri"/>
        </w:rPr>
        <w:t>εκμέρους</w:t>
      </w:r>
      <w:proofErr w:type="spellEnd"/>
      <w:r>
        <w:rPr>
          <w:rFonts w:eastAsia="Calibri"/>
        </w:rPr>
        <w:t xml:space="preserve"> της ΕΚΤ μετατοπίζει την Β</w:t>
      </w:r>
      <w:r w:rsidRPr="008270FF">
        <w:rPr>
          <w:rFonts w:eastAsia="Calibri"/>
          <w:vertAlign w:val="subscript"/>
        </w:rPr>
        <w:t>1</w:t>
      </w:r>
      <w:r>
        <w:rPr>
          <w:rFonts w:eastAsia="Calibri"/>
        </w:rPr>
        <w:t>Β</w:t>
      </w:r>
      <w:r w:rsidRPr="008270FF">
        <w:rPr>
          <w:rFonts w:eastAsia="Calibri"/>
          <w:vertAlign w:val="subscript"/>
        </w:rPr>
        <w:t>1</w:t>
      </w:r>
      <w:r>
        <w:rPr>
          <w:rFonts w:eastAsia="Calibri"/>
        </w:rPr>
        <w:t xml:space="preserve"> προς τα δεξιά στην Β</w:t>
      </w:r>
      <w:r w:rsidRPr="008270FF">
        <w:rPr>
          <w:rFonts w:eastAsia="Calibri"/>
          <w:vertAlign w:val="subscript"/>
        </w:rPr>
        <w:t>2</w:t>
      </w:r>
      <w:r>
        <w:rPr>
          <w:rFonts w:eastAsia="Calibri"/>
        </w:rPr>
        <w:t>Β</w:t>
      </w:r>
      <w:r w:rsidRPr="008270FF">
        <w:rPr>
          <w:rFonts w:eastAsia="Calibri"/>
          <w:vertAlign w:val="subscript"/>
        </w:rPr>
        <w:t>2</w:t>
      </w:r>
      <w:r>
        <w:rPr>
          <w:rFonts w:eastAsia="Calibri"/>
        </w:rPr>
        <w:t>.</w:t>
      </w:r>
      <w:r w:rsidR="00B317A6">
        <w:rPr>
          <w:rFonts w:eastAsia="Calibri"/>
        </w:rPr>
        <w:t xml:space="preserve"> Ενώ λόγω της ανόδου της</w:t>
      </w:r>
      <w:r w:rsidR="00B317A6" w:rsidRPr="00B317A6">
        <w:rPr>
          <w:rFonts w:eastAsia="Calibri"/>
        </w:rPr>
        <w:t xml:space="preserve"> </w:t>
      </w:r>
      <w:proofErr w:type="spellStart"/>
      <w:r w:rsidR="00B317A6">
        <w:rPr>
          <w:rFonts w:eastAsia="Calibri"/>
        </w:rPr>
        <w:t>συναλαγματικής</w:t>
      </w:r>
      <w:proofErr w:type="spellEnd"/>
      <w:r w:rsidR="00B317A6">
        <w:rPr>
          <w:rFonts w:eastAsia="Calibri"/>
        </w:rPr>
        <w:t xml:space="preserve"> ισοτιμίας </w:t>
      </w:r>
      <w:r w:rsidR="004B57D7">
        <w:rPr>
          <w:rFonts w:eastAsia="Calibri"/>
          <w:lang w:val="en-US"/>
        </w:rPr>
        <w:t>S</w:t>
      </w:r>
      <w:r w:rsidR="00B317A6">
        <w:rPr>
          <w:rFonts w:eastAsia="Calibri"/>
        </w:rPr>
        <w:t xml:space="preserve"> έχουμε μετατόπιση της </w:t>
      </w:r>
      <w:r w:rsidR="00B317A6">
        <w:rPr>
          <w:rFonts w:eastAsia="Calibri"/>
          <w:lang w:val="en-US"/>
        </w:rPr>
        <w:t>F</w:t>
      </w:r>
      <w:r w:rsidR="00B317A6" w:rsidRPr="008270FF">
        <w:rPr>
          <w:rFonts w:eastAsia="Calibri"/>
          <w:vertAlign w:val="subscript"/>
        </w:rPr>
        <w:t>1</w:t>
      </w:r>
      <w:r w:rsidR="00B317A6">
        <w:rPr>
          <w:rFonts w:eastAsia="Calibri"/>
          <w:lang w:val="en-US"/>
        </w:rPr>
        <w:t>F</w:t>
      </w:r>
      <w:r w:rsidR="00B317A6" w:rsidRPr="008270FF">
        <w:rPr>
          <w:rFonts w:eastAsia="Calibri"/>
          <w:vertAlign w:val="subscript"/>
        </w:rPr>
        <w:t>1</w:t>
      </w:r>
      <w:r w:rsidR="00B317A6" w:rsidRPr="00B317A6">
        <w:rPr>
          <w:rFonts w:eastAsia="Calibri"/>
        </w:rPr>
        <w:t xml:space="preserve"> </w:t>
      </w:r>
      <w:r w:rsidR="00B317A6">
        <w:rPr>
          <w:rFonts w:eastAsia="Calibri"/>
        </w:rPr>
        <w:t xml:space="preserve">στην </w:t>
      </w:r>
      <w:r w:rsidR="00B317A6">
        <w:rPr>
          <w:rFonts w:eastAsia="Calibri"/>
          <w:lang w:val="en-US"/>
        </w:rPr>
        <w:t>F</w:t>
      </w:r>
      <w:r w:rsidR="00B317A6" w:rsidRPr="008270FF">
        <w:rPr>
          <w:rFonts w:eastAsia="Calibri"/>
          <w:vertAlign w:val="subscript"/>
        </w:rPr>
        <w:t>2</w:t>
      </w:r>
      <w:r w:rsidR="00B317A6">
        <w:rPr>
          <w:rFonts w:eastAsia="Calibri"/>
          <w:lang w:val="en-US"/>
        </w:rPr>
        <w:t>F</w:t>
      </w:r>
      <w:r w:rsidR="00B317A6" w:rsidRPr="008270FF">
        <w:rPr>
          <w:rFonts w:eastAsia="Calibri"/>
          <w:vertAlign w:val="subscript"/>
        </w:rPr>
        <w:t>2</w:t>
      </w:r>
      <w:r w:rsidR="00B317A6" w:rsidRPr="00B317A6">
        <w:rPr>
          <w:rFonts w:eastAsia="Calibri"/>
        </w:rPr>
        <w:t xml:space="preserve">. </w:t>
      </w:r>
      <w:r w:rsidR="00B317A6">
        <w:rPr>
          <w:rFonts w:eastAsia="Calibri"/>
        </w:rPr>
        <w:t>Τελικά στην ισορροπία καταλήγουμε με υψηλότερο επιτόκιο και υποτιμημένο</w:t>
      </w:r>
      <w:r w:rsidR="00D94170" w:rsidRPr="00D94170">
        <w:rPr>
          <w:rFonts w:eastAsia="Calibri"/>
        </w:rPr>
        <w:t xml:space="preserve"> </w:t>
      </w:r>
      <w:r w:rsidR="00D94170">
        <w:rPr>
          <w:rFonts w:eastAsia="Calibri"/>
        </w:rPr>
        <w:t>εγχώριο</w:t>
      </w:r>
      <w:r w:rsidR="00B317A6">
        <w:rPr>
          <w:rFonts w:eastAsia="Calibri"/>
        </w:rPr>
        <w:t xml:space="preserve"> νόμι</w:t>
      </w:r>
      <w:r w:rsidR="00C20231">
        <w:rPr>
          <w:rFonts w:eastAsia="Calibri"/>
        </w:rPr>
        <w:t>σμα (όπως φαίνεται στο γράφημα 7.15</w:t>
      </w:r>
      <w:r w:rsidR="00B317A6">
        <w:rPr>
          <w:rFonts w:eastAsia="Calibri"/>
        </w:rPr>
        <w:t>) αποφεύγοντας την δημιουργία πληθωριστικών προσδοκιών.</w:t>
      </w:r>
    </w:p>
    <w:p w:rsidR="0070701A" w:rsidRDefault="00B317A6" w:rsidP="00B01414">
      <w:pPr>
        <w:spacing w:line="360" w:lineRule="auto"/>
        <w:contextualSpacing/>
        <w:jc w:val="both"/>
        <w:rPr>
          <w:rFonts w:eastAsia="Calibri"/>
        </w:rPr>
      </w:pPr>
      <w:r w:rsidRPr="00B317A6">
        <w:rPr>
          <w:rFonts w:eastAsia="Calibri"/>
        </w:rPr>
        <w:t xml:space="preserve"> </w:t>
      </w:r>
      <w:r w:rsidR="007B4A5C">
        <w:rPr>
          <w:rFonts w:eastAsia="Calibri"/>
        </w:rPr>
        <w:t xml:space="preserve"> </w:t>
      </w:r>
    </w:p>
    <w:p w:rsidR="0070701A" w:rsidRDefault="0070701A" w:rsidP="00055855">
      <w:pPr>
        <w:rPr>
          <w:rFonts w:eastAsia="Calibri"/>
        </w:rPr>
      </w:pPr>
      <w:r w:rsidRPr="0070701A">
        <w:rPr>
          <w:rFonts w:eastAsia="Calibri"/>
          <w:b/>
        </w:rPr>
        <w:t>Γράφημα</w:t>
      </w:r>
      <w:r w:rsidR="00C20231">
        <w:rPr>
          <w:rFonts w:eastAsia="Calibri"/>
          <w:b/>
        </w:rPr>
        <w:t xml:space="preserve"> 7.15 </w:t>
      </w:r>
      <w:r w:rsidRPr="0070701A">
        <w:rPr>
          <w:rFonts w:eastAsia="Calibri"/>
        </w:rPr>
        <w:t>Παρεμβατική πολιτική αποστείρωσης στην αγορά συναλλάγματος</w:t>
      </w:r>
      <w:r>
        <w:rPr>
          <w:rFonts w:eastAsia="Calibri"/>
          <w:b/>
        </w:rPr>
        <w:t xml:space="preserve"> </w:t>
      </w:r>
    </w:p>
    <w:p w:rsidR="0070701A" w:rsidRDefault="0070701A" w:rsidP="0070701A">
      <w:pPr>
        <w:spacing w:line="360" w:lineRule="auto"/>
        <w:contextualSpacing/>
        <w:jc w:val="center"/>
        <w:rPr>
          <w:rFonts w:eastAsia="Calibri"/>
        </w:rPr>
      </w:pPr>
      <w:r>
        <w:rPr>
          <w:rFonts w:eastAsia="Calibri"/>
          <w:noProof/>
        </w:rPr>
        <w:lastRenderedPageBreak/>
        <w:drawing>
          <wp:inline distT="0" distB="0" distL="0" distR="0">
            <wp:extent cx="3515096" cy="3396296"/>
            <wp:effectExtent l="19050" t="19050" r="28575" b="13970"/>
            <wp:docPr id="78891" name="Εικόνα 7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f_7_PB_3.jpg"/>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9003" cy="3400071"/>
                    </a:xfrm>
                    <a:prstGeom prst="rect">
                      <a:avLst/>
                    </a:prstGeom>
                    <a:ln>
                      <a:solidFill>
                        <a:schemeClr val="tx1"/>
                      </a:solidFill>
                    </a:ln>
                  </pic:spPr>
                </pic:pic>
              </a:graphicData>
            </a:graphic>
          </wp:inline>
        </w:drawing>
      </w:r>
    </w:p>
    <w:p w:rsidR="0070701A" w:rsidRPr="00B01414" w:rsidRDefault="0070701A" w:rsidP="00B01414">
      <w:pPr>
        <w:spacing w:line="360" w:lineRule="auto"/>
        <w:contextualSpacing/>
        <w:jc w:val="both"/>
        <w:rPr>
          <w:rFonts w:eastAsia="Calibri"/>
        </w:rPr>
      </w:pPr>
    </w:p>
    <w:tbl>
      <w:tblPr>
        <w:tblStyle w:val="af3"/>
        <w:tblW w:w="0" w:type="auto"/>
        <w:tblLook w:val="04A0"/>
      </w:tblPr>
      <w:tblGrid>
        <w:gridCol w:w="8528"/>
      </w:tblGrid>
      <w:tr w:rsidR="00B42EC2" w:rsidRPr="00B42EC2" w:rsidTr="00493B87">
        <w:tc>
          <w:tcPr>
            <w:tcW w:w="8528" w:type="dxa"/>
          </w:tcPr>
          <w:p w:rsidR="00453F39" w:rsidRPr="00453F39" w:rsidRDefault="00453F39" w:rsidP="00493B87">
            <w:pPr>
              <w:spacing w:line="360" w:lineRule="auto"/>
              <w:contextualSpacing/>
              <w:jc w:val="both"/>
              <w:rPr>
                <w:rFonts w:ascii="Times New Roman" w:hAnsi="Times New Roman"/>
                <w:b/>
                <w:i/>
              </w:rPr>
            </w:pPr>
            <w:r>
              <w:rPr>
                <w:rFonts w:ascii="Times New Roman" w:hAnsi="Times New Roman"/>
                <w:b/>
                <w:i/>
              </w:rPr>
              <w:t>Πλαίσιο 3</w:t>
            </w:r>
          </w:p>
          <w:p w:rsidR="00B42EC2" w:rsidRPr="00453F39" w:rsidRDefault="00B42EC2" w:rsidP="00493B87">
            <w:pPr>
              <w:spacing w:line="360" w:lineRule="auto"/>
              <w:contextualSpacing/>
              <w:jc w:val="both"/>
              <w:rPr>
                <w:rFonts w:ascii="Times New Roman" w:hAnsi="Times New Roman"/>
                <w:b/>
                <w:i/>
              </w:rPr>
            </w:pPr>
            <w:r w:rsidRPr="00453F39">
              <w:rPr>
                <w:rFonts w:ascii="Times New Roman" w:hAnsi="Times New Roman"/>
                <w:b/>
                <w:i/>
              </w:rPr>
              <w:t xml:space="preserve">Εμπειρική διερεύνηση των νομισματικών υποδειγμάτων </w:t>
            </w:r>
          </w:p>
          <w:p w:rsidR="00453F39" w:rsidRPr="007039F6" w:rsidRDefault="00453F39" w:rsidP="00B42EC2">
            <w:pPr>
              <w:jc w:val="both"/>
              <w:rPr>
                <w:rFonts w:ascii="Times New Roman" w:hAnsi="Times New Roman"/>
              </w:rPr>
            </w:pPr>
          </w:p>
          <w:p w:rsidR="00B42EC2" w:rsidRPr="00453F39" w:rsidRDefault="00B42EC2" w:rsidP="00FE7971">
            <w:pPr>
              <w:spacing w:line="360" w:lineRule="auto"/>
              <w:jc w:val="both"/>
              <w:rPr>
                <w:rFonts w:ascii="Times New Roman" w:hAnsi="Times New Roman"/>
              </w:rPr>
            </w:pPr>
            <w:r w:rsidRPr="00453F39">
              <w:rPr>
                <w:rFonts w:ascii="Times New Roman" w:hAnsi="Times New Roman"/>
              </w:rPr>
              <w:t>Όσον αφορά την εμπειρική διερεύνηση των παραπάνω υποδειγμάτων, η πιο διαδεδομένη γενική οικονομετρική μορφή του νομισματικού υποδείγματος και με την οποία ασχολήθηκαν οι περισσότεροι ερευνητές είναι η ακόλουθη (</w:t>
            </w:r>
            <w:proofErr w:type="spellStart"/>
            <w:r w:rsidR="00055855">
              <w:rPr>
                <w:rFonts w:ascii="Times New Roman" w:hAnsi="Times New Roman"/>
                <w:lang w:val="en-US"/>
              </w:rPr>
              <w:t>Pilbeam</w:t>
            </w:r>
            <w:proofErr w:type="spellEnd"/>
            <w:r w:rsidR="00055855" w:rsidRPr="00055855">
              <w:rPr>
                <w:rFonts w:ascii="Times New Roman" w:hAnsi="Times New Roman"/>
              </w:rPr>
              <w:t xml:space="preserve">, 1995, </w:t>
            </w:r>
            <w:proofErr w:type="spellStart"/>
            <w:r w:rsidRPr="00453F39">
              <w:rPr>
                <w:rFonts w:ascii="Times New Roman" w:hAnsi="Times New Roman"/>
              </w:rPr>
              <w:t>Παπασυριόπουλος</w:t>
            </w:r>
            <w:proofErr w:type="spellEnd"/>
            <w:r w:rsidRPr="00453F39">
              <w:rPr>
                <w:rFonts w:ascii="Times New Roman" w:hAnsi="Times New Roman"/>
              </w:rPr>
              <w:t>, 2000):</w:t>
            </w:r>
          </w:p>
          <w:p w:rsidR="00B42EC2" w:rsidRPr="00453F39" w:rsidRDefault="00B42EC2" w:rsidP="00493B87">
            <w:pPr>
              <w:jc w:val="both"/>
              <w:rPr>
                <w:rFonts w:ascii="Times New Roman" w:hAnsi="Times New Roman"/>
              </w:rPr>
            </w:pPr>
          </w:p>
          <w:p w:rsidR="00B42EC2" w:rsidRPr="00453F39" w:rsidRDefault="00B42EC2" w:rsidP="00493B87">
            <w:pPr>
              <w:rPr>
                <w:rFonts w:ascii="Times New Roman" w:hAnsi="Times New Roman"/>
              </w:rPr>
            </w:pPr>
            <w:r w:rsidRPr="00453F39">
              <w:rPr>
                <w:rFonts w:ascii="Times New Roman" w:eastAsia="Times New Roman" w:hAnsi="Times New Roman"/>
                <w:position w:val="-14"/>
                <w:sz w:val="24"/>
                <w:szCs w:val="24"/>
                <w:lang w:eastAsia="el-GR"/>
              </w:rPr>
              <w:object w:dxaOrig="6840" w:dyaOrig="400">
                <v:shape id="_x0000_i1091" type="#_x0000_t75" style="width:318.05pt;height:19.4pt" o:ole="" fillcolor="window">
                  <v:imagedata r:id="rId161" o:title=""/>
                </v:shape>
                <o:OLEObject Type="Embed" ProgID="Equation.3" ShapeID="_x0000_i1091" DrawAspect="Content" ObjectID="_1475064906" r:id="rId162"/>
              </w:object>
            </w:r>
            <w:r w:rsidRPr="00453F39">
              <w:rPr>
                <w:rFonts w:ascii="Times New Roman" w:hAnsi="Times New Roman"/>
              </w:rPr>
              <w:tab/>
            </w:r>
          </w:p>
          <w:p w:rsidR="00B42EC2" w:rsidRPr="00453F39" w:rsidRDefault="00B42EC2" w:rsidP="00493B87">
            <w:pPr>
              <w:rPr>
                <w:rFonts w:ascii="Times New Roman" w:hAnsi="Times New Roman"/>
              </w:rPr>
            </w:pPr>
          </w:p>
          <w:p w:rsidR="00B42EC2" w:rsidRPr="00453F39" w:rsidRDefault="00B42EC2" w:rsidP="00FE7971">
            <w:pPr>
              <w:spacing w:line="360" w:lineRule="auto"/>
              <w:rPr>
                <w:rFonts w:ascii="Times New Roman" w:hAnsi="Times New Roman"/>
              </w:rPr>
            </w:pPr>
            <w:r w:rsidRPr="00453F39">
              <w:rPr>
                <w:rFonts w:ascii="Times New Roman" w:hAnsi="Times New Roman"/>
              </w:rPr>
              <w:t>Τα διαφορετικά είδη υποδειγμάτων μπορούν να διακριθούν με βάση την εκτίμηση των παραμέτρων τους και τα πρόσημα τους, όπως παρουσιάζονται στον ακόλουθο πίνακα.</w:t>
            </w:r>
          </w:p>
          <w:p w:rsidR="00B42EC2" w:rsidRPr="00B26F8F" w:rsidRDefault="00B42EC2" w:rsidP="00493B87"/>
          <w:p w:rsidR="00B42EC2" w:rsidRPr="0058071D" w:rsidRDefault="00B42EC2" w:rsidP="00493B87">
            <w:r>
              <w:rPr>
                <w:b/>
              </w:rPr>
              <w:t xml:space="preserve">Πίνακας </w:t>
            </w:r>
            <w:r w:rsidRPr="00B26F8F">
              <w:rPr>
                <w:b/>
              </w:rPr>
              <w:t>7</w:t>
            </w:r>
            <w:r w:rsidR="0058071D">
              <w:rPr>
                <w:b/>
              </w:rPr>
              <w:t xml:space="preserve">.3 </w:t>
            </w:r>
            <w:r w:rsidRPr="0058071D">
              <w:t>Σύγκριση Υποδειγμάτων Προσδιορισμού Συναλλαγματικών Ισοτιμιών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6"/>
              <w:gridCol w:w="1843"/>
              <w:gridCol w:w="1275"/>
              <w:gridCol w:w="1134"/>
              <w:gridCol w:w="1123"/>
              <w:gridCol w:w="1281"/>
            </w:tblGrid>
            <w:tr w:rsidR="00B42EC2" w:rsidRPr="00791E76" w:rsidTr="00493B87">
              <w:trPr>
                <w:cantSplit/>
              </w:trPr>
              <w:tc>
                <w:tcPr>
                  <w:tcW w:w="1526" w:type="dxa"/>
                </w:tcPr>
                <w:p w:rsidR="00B42EC2" w:rsidRPr="00791E76" w:rsidRDefault="00D94170" w:rsidP="00493B87">
                  <w:r>
                    <w:t>Υπόδειγμα</w:t>
                  </w:r>
                </w:p>
              </w:tc>
              <w:tc>
                <w:tcPr>
                  <w:tcW w:w="7000" w:type="dxa"/>
                  <w:gridSpan w:val="5"/>
                </w:tcPr>
                <w:p w:rsidR="00B42EC2" w:rsidRPr="00791E76" w:rsidRDefault="00B42EC2" w:rsidP="00493B87">
                  <w:r w:rsidRPr="00B317A6">
                    <w:rPr>
                      <w:position w:val="-14"/>
                    </w:rPr>
                    <w:object w:dxaOrig="6840" w:dyaOrig="400">
                      <v:shape id="_x0000_i1092" type="#_x0000_t75" style="width:318.05pt;height:19.4pt" o:ole="" fillcolor="window">
                        <v:imagedata r:id="rId161" o:title=""/>
                      </v:shape>
                      <o:OLEObject Type="Embed" ProgID="Equation.3" ShapeID="_x0000_i1092" DrawAspect="Content" ObjectID="_1475064907" r:id="rId163"/>
                    </w:object>
                  </w:r>
                </w:p>
              </w:tc>
            </w:tr>
            <w:tr w:rsidR="00B42EC2" w:rsidRPr="00791E76" w:rsidTr="00493B87">
              <w:tc>
                <w:tcPr>
                  <w:tcW w:w="1526" w:type="dxa"/>
                </w:tcPr>
                <w:p w:rsidR="00B42EC2" w:rsidRPr="00C65442" w:rsidRDefault="00B42EC2" w:rsidP="00493B87">
                  <w:pPr>
                    <w:rPr>
                      <w:sz w:val="22"/>
                      <w:szCs w:val="22"/>
                    </w:rPr>
                  </w:pPr>
                  <w:r w:rsidRPr="00C65442">
                    <w:rPr>
                      <w:sz w:val="22"/>
                      <w:szCs w:val="22"/>
                    </w:rPr>
                    <w:t>Εύκαμπτων Τιμών</w:t>
                  </w:r>
                </w:p>
              </w:tc>
              <w:tc>
                <w:tcPr>
                  <w:tcW w:w="1843" w:type="dxa"/>
                </w:tcPr>
                <w:p w:rsidR="00B42EC2" w:rsidRPr="00791E76" w:rsidRDefault="00B42EC2" w:rsidP="00493B87">
                  <w:pPr>
                    <w:jc w:val="center"/>
                  </w:pPr>
                  <w:r w:rsidRPr="00791E76">
                    <w:t>+</w:t>
                  </w:r>
                </w:p>
              </w:tc>
              <w:tc>
                <w:tcPr>
                  <w:tcW w:w="1275"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614" w:type="dxa"/>
                </w:tcPr>
                <w:p w:rsidR="00B42EC2" w:rsidRPr="00791E76" w:rsidRDefault="00B42EC2" w:rsidP="00493B87">
                  <w:pPr>
                    <w:jc w:val="center"/>
                  </w:pPr>
                </w:p>
              </w:tc>
            </w:tr>
            <w:tr w:rsidR="00B42EC2" w:rsidRPr="00791E76" w:rsidTr="00493B87">
              <w:tc>
                <w:tcPr>
                  <w:tcW w:w="1526" w:type="dxa"/>
                </w:tcPr>
                <w:p w:rsidR="00B42EC2" w:rsidRPr="00C65442" w:rsidRDefault="00B42EC2" w:rsidP="00493B87">
                  <w:pPr>
                    <w:rPr>
                      <w:sz w:val="22"/>
                      <w:szCs w:val="22"/>
                    </w:rPr>
                  </w:pPr>
                  <w:r w:rsidRPr="00C65442">
                    <w:rPr>
                      <w:sz w:val="22"/>
                      <w:szCs w:val="22"/>
                    </w:rPr>
                    <w:t>Άκαμπτων Τιμών</w:t>
                  </w:r>
                </w:p>
              </w:tc>
              <w:tc>
                <w:tcPr>
                  <w:tcW w:w="1843" w:type="dxa"/>
                </w:tcPr>
                <w:p w:rsidR="00B42EC2" w:rsidRPr="00791E76" w:rsidRDefault="00B42EC2" w:rsidP="00493B87">
                  <w:pPr>
                    <w:jc w:val="center"/>
                  </w:pPr>
                  <w:r w:rsidRPr="00791E76">
                    <w:t>+</w:t>
                  </w:r>
                </w:p>
              </w:tc>
              <w:tc>
                <w:tcPr>
                  <w:tcW w:w="1275"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614" w:type="dxa"/>
                </w:tcPr>
                <w:p w:rsidR="00B42EC2" w:rsidRPr="00791E76" w:rsidRDefault="00B42EC2" w:rsidP="00493B87">
                  <w:pPr>
                    <w:jc w:val="center"/>
                  </w:pPr>
                </w:p>
              </w:tc>
            </w:tr>
            <w:tr w:rsidR="00B42EC2" w:rsidRPr="00791E76" w:rsidTr="00493B87">
              <w:tc>
                <w:tcPr>
                  <w:tcW w:w="1526" w:type="dxa"/>
                </w:tcPr>
                <w:p w:rsidR="00B42EC2" w:rsidRPr="00C65442" w:rsidRDefault="00B42EC2" w:rsidP="00493B87">
                  <w:pPr>
                    <w:rPr>
                      <w:sz w:val="22"/>
                      <w:szCs w:val="22"/>
                    </w:rPr>
                  </w:pPr>
                  <w:r w:rsidRPr="00C65442">
                    <w:rPr>
                      <w:sz w:val="22"/>
                      <w:szCs w:val="22"/>
                    </w:rPr>
                    <w:t>Διαφοράς Πραγματικών Επιτοκίων</w:t>
                  </w:r>
                </w:p>
              </w:tc>
              <w:tc>
                <w:tcPr>
                  <w:tcW w:w="1843" w:type="dxa"/>
                </w:tcPr>
                <w:p w:rsidR="00B42EC2" w:rsidRPr="00791E76" w:rsidRDefault="00B42EC2" w:rsidP="00493B87">
                  <w:pPr>
                    <w:jc w:val="center"/>
                  </w:pPr>
                  <w:r w:rsidRPr="00791E76">
                    <w:t>+</w:t>
                  </w:r>
                </w:p>
              </w:tc>
              <w:tc>
                <w:tcPr>
                  <w:tcW w:w="1275"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r w:rsidRPr="00791E76">
                    <w:t>+</w:t>
                  </w:r>
                </w:p>
              </w:tc>
              <w:tc>
                <w:tcPr>
                  <w:tcW w:w="1614" w:type="dxa"/>
                </w:tcPr>
                <w:p w:rsidR="00B42EC2" w:rsidRPr="00791E76" w:rsidRDefault="00B42EC2" w:rsidP="00493B87">
                  <w:pPr>
                    <w:jc w:val="center"/>
                  </w:pPr>
                </w:p>
              </w:tc>
            </w:tr>
            <w:tr w:rsidR="00B42EC2" w:rsidRPr="00791E76" w:rsidTr="00493B87">
              <w:tc>
                <w:tcPr>
                  <w:tcW w:w="1526" w:type="dxa"/>
                </w:tcPr>
                <w:p w:rsidR="00B42EC2" w:rsidRPr="00C65442" w:rsidRDefault="00B42EC2" w:rsidP="00493B87">
                  <w:pPr>
                    <w:rPr>
                      <w:sz w:val="22"/>
                      <w:szCs w:val="22"/>
                    </w:rPr>
                  </w:pPr>
                  <w:r w:rsidRPr="00C65442">
                    <w:rPr>
                      <w:sz w:val="22"/>
                      <w:szCs w:val="22"/>
                    </w:rPr>
                    <w:t>Χαρτοφυλακίου</w:t>
                  </w:r>
                </w:p>
              </w:tc>
              <w:tc>
                <w:tcPr>
                  <w:tcW w:w="1843" w:type="dxa"/>
                </w:tcPr>
                <w:p w:rsidR="00B42EC2" w:rsidRPr="00791E76" w:rsidRDefault="00B42EC2" w:rsidP="00493B87">
                  <w:pPr>
                    <w:jc w:val="center"/>
                  </w:pPr>
                </w:p>
              </w:tc>
              <w:tc>
                <w:tcPr>
                  <w:tcW w:w="1275" w:type="dxa"/>
                </w:tcPr>
                <w:p w:rsidR="00B42EC2" w:rsidRPr="00791E76" w:rsidRDefault="00B42EC2" w:rsidP="00493B87">
                  <w:pPr>
                    <w:jc w:val="center"/>
                  </w:pPr>
                </w:p>
              </w:tc>
              <w:tc>
                <w:tcPr>
                  <w:tcW w:w="1134" w:type="dxa"/>
                </w:tcPr>
                <w:p w:rsidR="00B42EC2" w:rsidRPr="00791E76" w:rsidRDefault="00B42EC2" w:rsidP="00493B87">
                  <w:pPr>
                    <w:jc w:val="center"/>
                  </w:pPr>
                  <w:r w:rsidRPr="00791E76">
                    <w:t>-</w:t>
                  </w:r>
                </w:p>
              </w:tc>
              <w:tc>
                <w:tcPr>
                  <w:tcW w:w="1134" w:type="dxa"/>
                </w:tcPr>
                <w:p w:rsidR="00B42EC2" w:rsidRPr="00791E76" w:rsidRDefault="00B42EC2" w:rsidP="00493B87">
                  <w:pPr>
                    <w:jc w:val="center"/>
                  </w:pPr>
                </w:p>
              </w:tc>
              <w:tc>
                <w:tcPr>
                  <w:tcW w:w="1614" w:type="dxa"/>
                </w:tcPr>
                <w:p w:rsidR="00B42EC2" w:rsidRPr="00791E76" w:rsidRDefault="00B42EC2" w:rsidP="00493B87">
                  <w:pPr>
                    <w:jc w:val="center"/>
                  </w:pPr>
                  <w:r w:rsidRPr="00791E76">
                    <w:t>+</w:t>
                  </w:r>
                </w:p>
              </w:tc>
            </w:tr>
          </w:tbl>
          <w:p w:rsidR="00B42EC2" w:rsidRPr="00B42EC2" w:rsidRDefault="00B42EC2" w:rsidP="00493B87"/>
          <w:p w:rsidR="00B42EC2" w:rsidRPr="00453F39" w:rsidRDefault="00B42EC2" w:rsidP="00FE7971">
            <w:pPr>
              <w:spacing w:line="360" w:lineRule="auto"/>
              <w:jc w:val="both"/>
              <w:rPr>
                <w:rFonts w:ascii="Times New Roman" w:hAnsi="Times New Roman"/>
                <w:b/>
                <w:u w:val="single"/>
              </w:rPr>
            </w:pPr>
            <w:r w:rsidRPr="00453F39">
              <w:rPr>
                <w:rFonts w:ascii="Times New Roman" w:hAnsi="Times New Roman"/>
              </w:rPr>
              <w:t xml:space="preserve">Τα εμπειρικά αποτελέσματα προηγούμενων ερευνών σχετικά με τα διαρθρωτικά νομισματικά </w:t>
            </w:r>
            <w:r w:rsidRPr="00453F39">
              <w:rPr>
                <w:rFonts w:ascii="Times New Roman" w:hAnsi="Times New Roman"/>
              </w:rPr>
              <w:lastRenderedPageBreak/>
              <w:t>υποδείγματα που παρουσιάσαμε, παρόλο που στις αρχές του 1970 και 1920 ήταν σημαντικά, στα χρόνια  μεταξύ του 1980 και του 2000 ήταν ιδιαίτερα αποθαρρυντικά (</w:t>
            </w:r>
            <w:r w:rsidRPr="00453F39">
              <w:rPr>
                <w:rFonts w:ascii="Times New Roman" w:hAnsi="Times New Roman"/>
                <w:lang w:val="en-US"/>
              </w:rPr>
              <w:t>Baillie</w:t>
            </w:r>
            <w:r w:rsidRPr="00453F39">
              <w:rPr>
                <w:rFonts w:ascii="Times New Roman" w:hAnsi="Times New Roman"/>
              </w:rPr>
              <w:t xml:space="preserve"> και </w:t>
            </w:r>
            <w:proofErr w:type="spellStart"/>
            <w:r w:rsidRPr="00453F39">
              <w:rPr>
                <w:rFonts w:ascii="Times New Roman" w:hAnsi="Times New Roman"/>
                <w:lang w:val="en-US"/>
              </w:rPr>
              <w:t>Selover</w:t>
            </w:r>
            <w:proofErr w:type="spellEnd"/>
            <w:r w:rsidRPr="00453F39">
              <w:rPr>
                <w:rFonts w:ascii="Times New Roman" w:hAnsi="Times New Roman"/>
              </w:rPr>
              <w:t>, 1987).</w:t>
            </w:r>
            <w:r w:rsidRPr="00453F39">
              <w:rPr>
                <w:rFonts w:ascii="Times New Roman" w:hAnsi="Times New Roman"/>
                <w:b/>
              </w:rPr>
              <w:t xml:space="preserve"> </w:t>
            </w:r>
            <w:r w:rsidRPr="00453F39">
              <w:rPr>
                <w:rFonts w:ascii="Times New Roman" w:hAnsi="Times New Roman"/>
              </w:rPr>
              <w:t xml:space="preserve">Ο μοναδικός στατιστικά σημαντικός συντελεστής ήταν ο </w:t>
            </w:r>
            <w:proofErr w:type="spellStart"/>
            <w:r w:rsidRPr="00453F39">
              <w:rPr>
                <w:rFonts w:ascii="Times New Roman" w:hAnsi="Times New Roman"/>
              </w:rPr>
              <w:t>αυτοπαλίνδρομος</w:t>
            </w:r>
            <w:proofErr w:type="spellEnd"/>
            <w:r w:rsidRPr="00453F39">
              <w:rPr>
                <w:rFonts w:ascii="Times New Roman" w:hAnsi="Times New Roman"/>
              </w:rPr>
              <w:t xml:space="preserve"> συντελεστής (</w:t>
            </w:r>
            <w:r w:rsidRPr="00453F39">
              <w:rPr>
                <w:rFonts w:ascii="Times New Roman" w:hAnsi="Times New Roman"/>
                <w:lang w:val="en-US"/>
              </w:rPr>
              <w:t>autoregressive</w:t>
            </w:r>
            <w:r w:rsidRPr="00453F39">
              <w:rPr>
                <w:rFonts w:ascii="Times New Roman" w:hAnsi="Times New Roman"/>
              </w:rPr>
              <w:t xml:space="preserve"> </w:t>
            </w:r>
            <w:r w:rsidRPr="00453F39">
              <w:rPr>
                <w:rFonts w:ascii="Times New Roman" w:hAnsi="Times New Roman"/>
                <w:lang w:val="en-US"/>
              </w:rPr>
              <w:t>coefficient</w:t>
            </w:r>
            <w:r w:rsidRPr="00453F39">
              <w:rPr>
                <w:rFonts w:ascii="Times New Roman" w:hAnsi="Times New Roman"/>
              </w:rPr>
              <w:t xml:space="preserve">). </w:t>
            </w:r>
          </w:p>
          <w:p w:rsidR="00B42EC2" w:rsidRPr="00453F39" w:rsidRDefault="00B42EC2" w:rsidP="00FE7971">
            <w:pPr>
              <w:spacing w:line="360" w:lineRule="auto"/>
              <w:jc w:val="both"/>
              <w:rPr>
                <w:rFonts w:ascii="Times New Roman" w:hAnsi="Times New Roman"/>
              </w:rPr>
            </w:pPr>
            <w:r w:rsidRPr="00453F39">
              <w:rPr>
                <w:rFonts w:ascii="Times New Roman" w:hAnsi="Times New Roman"/>
              </w:rPr>
              <w:t xml:space="preserve">Όσον αφορά την </w:t>
            </w:r>
            <w:proofErr w:type="spellStart"/>
            <w:r w:rsidRPr="00453F39">
              <w:rPr>
                <w:rFonts w:ascii="Times New Roman" w:hAnsi="Times New Roman"/>
              </w:rPr>
              <w:t>προβλεψιμότητα</w:t>
            </w:r>
            <w:proofErr w:type="spellEnd"/>
            <w:r w:rsidRPr="00453F39">
              <w:rPr>
                <w:rFonts w:ascii="Times New Roman" w:hAnsi="Times New Roman"/>
              </w:rPr>
              <w:t xml:space="preserve"> εκτός δείγματος των κλασσικών  υποδειγμάτων, τα εμπειρικά αποτελέσματα δεν ήταν ενθαρρυντικά. Ο </w:t>
            </w:r>
            <w:r w:rsidRPr="00453F39">
              <w:rPr>
                <w:rFonts w:ascii="Times New Roman" w:hAnsi="Times New Roman"/>
                <w:lang w:val="en-US"/>
              </w:rPr>
              <w:t>Meese</w:t>
            </w:r>
            <w:r w:rsidRPr="00453F39">
              <w:rPr>
                <w:rFonts w:ascii="Times New Roman" w:hAnsi="Times New Roman"/>
              </w:rPr>
              <w:t xml:space="preserve"> (1990) επαναλαμβάνοντας μια σειρά προηγούμενων ελέγχων [</w:t>
            </w:r>
            <w:r w:rsidRPr="00453F39">
              <w:rPr>
                <w:rFonts w:ascii="Times New Roman" w:hAnsi="Times New Roman"/>
                <w:lang w:val="en-US"/>
              </w:rPr>
              <w:t>Meese</w:t>
            </w:r>
            <w:r w:rsidRPr="00453F39">
              <w:rPr>
                <w:rFonts w:ascii="Times New Roman" w:hAnsi="Times New Roman"/>
              </w:rPr>
              <w:t xml:space="preserve"> και </w:t>
            </w:r>
            <w:proofErr w:type="spellStart"/>
            <w:r w:rsidRPr="00453F39">
              <w:rPr>
                <w:rFonts w:ascii="Times New Roman" w:hAnsi="Times New Roman"/>
                <w:lang w:val="en-US"/>
              </w:rPr>
              <w:t>Rogoff</w:t>
            </w:r>
            <w:proofErr w:type="spellEnd"/>
            <w:r w:rsidRPr="00453F39">
              <w:rPr>
                <w:rFonts w:ascii="Times New Roman" w:hAnsi="Times New Roman"/>
              </w:rPr>
              <w:t xml:space="preserve"> (1983)], αξιολόγησε τη προβλεπτική ικανότητα των κλασσικών υποδειγμάτων προσδιορισμού των συναλλαγματικών τιμών με τη προβλεπτική ικανότητα μιας απλοϊκής στρατηγικής, που εκφράζονταν από το υπόδειγμα του τυχαίου περιπάτου. Μελετώντας τις συναλλαγματικές σχέσεις </w:t>
            </w:r>
            <w:r w:rsidRPr="00453F39">
              <w:rPr>
                <w:rFonts w:ascii="Times New Roman" w:hAnsi="Times New Roman"/>
                <w:lang w:val="en-US"/>
              </w:rPr>
              <w:t>US</w:t>
            </w:r>
            <w:r w:rsidRPr="00453F39">
              <w:rPr>
                <w:rFonts w:ascii="Times New Roman" w:hAnsi="Times New Roman"/>
              </w:rPr>
              <w:t>$/</w:t>
            </w:r>
            <w:r w:rsidRPr="00453F39">
              <w:rPr>
                <w:rFonts w:ascii="Times New Roman" w:hAnsi="Times New Roman"/>
                <w:lang w:val="en-US"/>
              </w:rPr>
              <w:t>DM</w:t>
            </w:r>
            <w:r w:rsidRPr="00453F39">
              <w:rPr>
                <w:rFonts w:ascii="Times New Roman" w:hAnsi="Times New Roman"/>
              </w:rPr>
              <w:t xml:space="preserve"> και </w:t>
            </w:r>
            <w:r w:rsidRPr="00453F39">
              <w:rPr>
                <w:rFonts w:ascii="Times New Roman" w:hAnsi="Times New Roman"/>
                <w:lang w:val="en-US"/>
              </w:rPr>
              <w:t>US</w:t>
            </w:r>
            <w:r w:rsidRPr="00453F39">
              <w:rPr>
                <w:rFonts w:ascii="Times New Roman" w:hAnsi="Times New Roman"/>
              </w:rPr>
              <w:t>$/</w:t>
            </w:r>
            <w:r w:rsidRPr="00453F39">
              <w:rPr>
                <w:rFonts w:ascii="Times New Roman" w:hAnsi="Times New Roman"/>
                <w:lang w:val="en-US"/>
              </w:rPr>
              <w:t>JPY</w:t>
            </w:r>
            <w:r w:rsidRPr="00453F39">
              <w:rPr>
                <w:rFonts w:ascii="Times New Roman" w:hAnsi="Times New Roman"/>
              </w:rPr>
              <w:t xml:space="preserve"> κατά τις περιόδους 1980-1984 και 1976-1981, με βάση το κριτήριο του </w:t>
            </w:r>
            <w:r w:rsidR="00D94170">
              <w:rPr>
                <w:rFonts w:ascii="Times New Roman" w:hAnsi="Times New Roman"/>
              </w:rPr>
              <w:t>«</w:t>
            </w:r>
            <w:r w:rsidRPr="00453F39">
              <w:rPr>
                <w:rFonts w:ascii="Times New Roman" w:hAnsi="Times New Roman"/>
              </w:rPr>
              <w:t>Μέσου Τετραγωνικού Σφάλματος</w:t>
            </w:r>
            <w:r w:rsidR="00D94170">
              <w:rPr>
                <w:rFonts w:ascii="Times New Roman" w:hAnsi="Times New Roman"/>
              </w:rPr>
              <w:t>»</w:t>
            </w:r>
            <w:r w:rsidRPr="00453F39">
              <w:rPr>
                <w:rFonts w:ascii="Times New Roman" w:hAnsi="Times New Roman"/>
              </w:rPr>
              <w:t xml:space="preserve"> διαπίστωσε ότι, τα κλασσικά υποδείγματα δεν είχαν καλύτερα αποτελέσματα από το υπόδειγμα του τυχαίου περιπάτου. Ανάλογα αποτελέσματα οδήγησαν οι έρευνες των </w:t>
            </w:r>
            <w:r w:rsidRPr="00453F39">
              <w:rPr>
                <w:rFonts w:ascii="Times New Roman" w:hAnsi="Times New Roman"/>
                <w:lang w:val="en-US"/>
              </w:rPr>
              <w:t>Frankel</w:t>
            </w:r>
            <w:r w:rsidRPr="00453F39">
              <w:rPr>
                <w:rFonts w:ascii="Times New Roman" w:hAnsi="Times New Roman"/>
              </w:rPr>
              <w:t xml:space="preserve"> </w:t>
            </w:r>
            <w:r w:rsidR="002426EE">
              <w:rPr>
                <w:rFonts w:ascii="Times New Roman" w:hAnsi="Times New Roman"/>
              </w:rPr>
              <w:t xml:space="preserve">&amp; </w:t>
            </w:r>
            <w:r w:rsidR="002426EE">
              <w:rPr>
                <w:rFonts w:ascii="Times New Roman" w:hAnsi="Times New Roman"/>
                <w:lang w:val="en-US"/>
              </w:rPr>
              <w:t>Rose</w:t>
            </w:r>
            <w:r w:rsidR="002426EE" w:rsidRPr="002426EE">
              <w:rPr>
                <w:rFonts w:ascii="Times New Roman" w:hAnsi="Times New Roman"/>
              </w:rPr>
              <w:t xml:space="preserve"> </w:t>
            </w:r>
            <w:r w:rsidR="002426EE">
              <w:rPr>
                <w:rFonts w:ascii="Times New Roman" w:hAnsi="Times New Roman"/>
              </w:rPr>
              <w:t>(199</w:t>
            </w:r>
            <w:r w:rsidR="002426EE" w:rsidRPr="002426EE">
              <w:rPr>
                <w:rFonts w:ascii="Times New Roman" w:hAnsi="Times New Roman"/>
              </w:rPr>
              <w:t>6</w:t>
            </w:r>
            <w:r w:rsidRPr="00453F39">
              <w:rPr>
                <w:rFonts w:ascii="Times New Roman" w:hAnsi="Times New Roman"/>
              </w:rPr>
              <w:t xml:space="preserve">) και του </w:t>
            </w:r>
            <w:proofErr w:type="spellStart"/>
            <w:r w:rsidRPr="00453F39">
              <w:rPr>
                <w:rFonts w:ascii="Times New Roman" w:hAnsi="Times New Roman"/>
                <w:lang w:val="en-US"/>
              </w:rPr>
              <w:t>Pilbeam</w:t>
            </w:r>
            <w:proofErr w:type="spellEnd"/>
            <w:r w:rsidRPr="00453F39">
              <w:rPr>
                <w:rFonts w:ascii="Times New Roman" w:hAnsi="Times New Roman"/>
              </w:rPr>
              <w:t xml:space="preserve"> (199</w:t>
            </w:r>
            <w:r w:rsidR="002426EE" w:rsidRPr="002426EE">
              <w:rPr>
                <w:rFonts w:ascii="Times New Roman" w:hAnsi="Times New Roman"/>
              </w:rPr>
              <w:t>1</w:t>
            </w:r>
            <w:r w:rsidRPr="00453F39">
              <w:rPr>
                <w:rFonts w:ascii="Times New Roman" w:hAnsi="Times New Roman"/>
              </w:rPr>
              <w:t xml:space="preserve">) σχετικά με τη σχέση  </w:t>
            </w:r>
            <w:r w:rsidRPr="00453F39">
              <w:rPr>
                <w:rFonts w:ascii="Times New Roman" w:hAnsi="Times New Roman"/>
                <w:lang w:val="en-US"/>
              </w:rPr>
              <w:t>US</w:t>
            </w:r>
            <w:r w:rsidRPr="00453F39">
              <w:rPr>
                <w:rFonts w:ascii="Times New Roman" w:hAnsi="Times New Roman"/>
              </w:rPr>
              <w:t>$/</w:t>
            </w:r>
            <w:r w:rsidRPr="00453F39">
              <w:rPr>
                <w:rFonts w:ascii="Times New Roman" w:hAnsi="Times New Roman"/>
                <w:lang w:val="en-US"/>
              </w:rPr>
              <w:t>GBP</w:t>
            </w:r>
            <w:r w:rsidRPr="00453F39">
              <w:rPr>
                <w:rFonts w:ascii="Times New Roman" w:hAnsi="Times New Roman"/>
              </w:rPr>
              <w:t>.</w:t>
            </w:r>
          </w:p>
          <w:p w:rsidR="00B42EC2" w:rsidRPr="00453F39" w:rsidRDefault="00B42EC2" w:rsidP="00FE7971">
            <w:pPr>
              <w:spacing w:line="360" w:lineRule="auto"/>
              <w:jc w:val="both"/>
              <w:rPr>
                <w:rFonts w:ascii="Times New Roman" w:hAnsi="Times New Roman"/>
              </w:rPr>
            </w:pPr>
            <w:r w:rsidRPr="00453F39">
              <w:rPr>
                <w:rFonts w:ascii="Times New Roman" w:hAnsi="Times New Roman"/>
              </w:rPr>
              <w:t xml:space="preserve">Οι </w:t>
            </w:r>
            <w:r w:rsidRPr="00453F39">
              <w:rPr>
                <w:rFonts w:ascii="Times New Roman" w:hAnsi="Times New Roman"/>
                <w:lang w:val="en-US"/>
              </w:rPr>
              <w:t>Flood</w:t>
            </w:r>
            <w:r w:rsidRPr="00453F39">
              <w:rPr>
                <w:rFonts w:ascii="Times New Roman" w:hAnsi="Times New Roman"/>
              </w:rPr>
              <w:t xml:space="preserve"> και </w:t>
            </w:r>
            <w:r w:rsidRPr="00453F39">
              <w:rPr>
                <w:rFonts w:ascii="Times New Roman" w:hAnsi="Times New Roman"/>
                <w:lang w:val="en-US"/>
              </w:rPr>
              <w:t>Rose</w:t>
            </w:r>
            <w:r w:rsidRPr="00453F39">
              <w:rPr>
                <w:rFonts w:ascii="Times New Roman" w:hAnsi="Times New Roman"/>
              </w:rPr>
              <w:t xml:space="preserve"> (199</w:t>
            </w:r>
            <w:r w:rsidR="002426EE" w:rsidRPr="002426EE">
              <w:rPr>
                <w:rFonts w:ascii="Times New Roman" w:hAnsi="Times New Roman"/>
              </w:rPr>
              <w:t>9</w:t>
            </w:r>
            <w:r w:rsidRPr="00453F39">
              <w:rPr>
                <w:rFonts w:ascii="Times New Roman" w:hAnsi="Times New Roman"/>
              </w:rPr>
              <w:t>) συνέκριναν τη μ</w:t>
            </w:r>
            <w:r w:rsidR="00D94170">
              <w:rPr>
                <w:rFonts w:ascii="Times New Roman" w:hAnsi="Times New Roman"/>
              </w:rPr>
              <w:t>ε</w:t>
            </w:r>
            <w:r w:rsidRPr="00453F39">
              <w:rPr>
                <w:rFonts w:ascii="Times New Roman" w:hAnsi="Times New Roman"/>
              </w:rPr>
              <w:t xml:space="preserve">ταβλητότητα των συναλλαγματικών ισοτιμιών και των θεμελιακών οικονομικών μεταβλητών σε περιόδους σταθερών και περιόδους κυμαινόμενων συναλλαγματικών ισοτιμιών. Μελετώντας εννέα συναλλαγματικές ισοτιμίες του δολαρίου βρήκαν ότι, παρόλο που η </w:t>
            </w:r>
            <w:proofErr w:type="spellStart"/>
            <w:r w:rsidRPr="00453F39">
              <w:rPr>
                <w:rFonts w:ascii="Times New Roman" w:hAnsi="Times New Roman"/>
              </w:rPr>
              <w:t>υποσυνθήκη</w:t>
            </w:r>
            <w:proofErr w:type="spellEnd"/>
            <w:r w:rsidRPr="00453F39">
              <w:rPr>
                <w:rFonts w:ascii="Times New Roman" w:hAnsi="Times New Roman"/>
              </w:rPr>
              <w:t xml:space="preserve"> μεταβλητότητα </w:t>
            </w:r>
            <w:proofErr w:type="spellStart"/>
            <w:r w:rsidRPr="00453F39">
              <w:rPr>
                <w:rFonts w:ascii="Times New Roman" w:hAnsi="Times New Roman"/>
              </w:rPr>
              <w:t>αλλάξε</w:t>
            </w:r>
            <w:proofErr w:type="spellEnd"/>
            <w:r w:rsidRPr="00453F39">
              <w:rPr>
                <w:rFonts w:ascii="Times New Roman" w:hAnsi="Times New Roman"/>
              </w:rPr>
              <w:t xml:space="preserve"> δραματικά σε αυτές τις περιόδους η μεταβλητότητα των θεμελιωδών οικονομικών μεταβλητών δεν άλλαξε. Έτσι, συμπερασματικά μπορούμε να πούμε ότι, οι θεμελιώδεις οικονομικοί παράγοντες των νομισματικών υποδειγμάτων (δηλ. προσφορά χρήματος, επιτόκια, πληθωρισμός) δεν εξηγούν τη μεταβλητότητα των συναλλαγματικών ισοτιμιών.</w:t>
            </w:r>
          </w:p>
          <w:p w:rsidR="00B42EC2" w:rsidRPr="00453F39" w:rsidRDefault="00B42EC2" w:rsidP="00FE7971">
            <w:pPr>
              <w:spacing w:line="360" w:lineRule="auto"/>
              <w:jc w:val="both"/>
              <w:rPr>
                <w:rFonts w:ascii="Times New Roman" w:hAnsi="Times New Roman"/>
              </w:rPr>
            </w:pPr>
            <w:r w:rsidRPr="00453F39">
              <w:rPr>
                <w:rFonts w:ascii="Times New Roman" w:hAnsi="Times New Roman"/>
              </w:rPr>
              <w:t xml:space="preserve">Από την στιγμή που το 1985 το δολάριο κατέρρευσε, το υπόδειγμα </w:t>
            </w:r>
            <w:proofErr w:type="spellStart"/>
            <w:r w:rsidRPr="00453F39">
              <w:rPr>
                <w:rFonts w:ascii="Times New Roman" w:hAnsi="Times New Roman"/>
                <w:lang w:val="en-US"/>
              </w:rPr>
              <w:t>Mundell</w:t>
            </w:r>
            <w:proofErr w:type="spellEnd"/>
            <w:r w:rsidRPr="00453F39">
              <w:rPr>
                <w:rFonts w:ascii="Times New Roman" w:hAnsi="Times New Roman"/>
              </w:rPr>
              <w:t>-</w:t>
            </w:r>
            <w:r w:rsidRPr="00453F39">
              <w:rPr>
                <w:rFonts w:ascii="Times New Roman" w:hAnsi="Times New Roman"/>
                <w:lang w:val="en-US"/>
              </w:rPr>
              <w:t>Fleming</w:t>
            </w:r>
            <w:r w:rsidRPr="00453F39">
              <w:rPr>
                <w:rFonts w:ascii="Times New Roman" w:hAnsi="Times New Roman"/>
              </w:rPr>
              <w:t>, που ερμήνευσε την ενδυνάμωση του δολαρίου στο “</w:t>
            </w:r>
            <w:r w:rsidRPr="00453F39">
              <w:rPr>
                <w:rFonts w:ascii="Times New Roman" w:hAnsi="Times New Roman"/>
                <w:lang w:val="en-US"/>
              </w:rPr>
              <w:t>budget</w:t>
            </w:r>
            <w:r w:rsidRPr="00453F39">
              <w:rPr>
                <w:rFonts w:ascii="Times New Roman" w:hAnsi="Times New Roman"/>
              </w:rPr>
              <w:t>-</w:t>
            </w:r>
            <w:r w:rsidRPr="00453F39">
              <w:rPr>
                <w:rFonts w:ascii="Times New Roman" w:hAnsi="Times New Roman"/>
                <w:lang w:val="en-US"/>
              </w:rPr>
              <w:t>deficit</w:t>
            </w:r>
            <w:r w:rsidRPr="00453F39">
              <w:rPr>
                <w:rFonts w:ascii="Times New Roman" w:hAnsi="Times New Roman"/>
              </w:rPr>
              <w:t>” της Αμερικής για το διάστημα 1980-1985, αφέθηκε στην άκρη. Νέα μοντέλα έθεταν ότι για να σταματήσει η πτώση του δολαρίου θα πρέπει να μειωθεί το “</w:t>
            </w:r>
            <w:r w:rsidRPr="00453F39">
              <w:rPr>
                <w:rFonts w:ascii="Times New Roman" w:hAnsi="Times New Roman"/>
                <w:lang w:val="en-US"/>
              </w:rPr>
              <w:t>budget</w:t>
            </w:r>
            <w:r w:rsidRPr="00453F39">
              <w:rPr>
                <w:rFonts w:ascii="Times New Roman" w:hAnsi="Times New Roman"/>
              </w:rPr>
              <w:t>-</w:t>
            </w:r>
            <w:r w:rsidRPr="00453F39">
              <w:rPr>
                <w:rFonts w:ascii="Times New Roman" w:hAnsi="Times New Roman"/>
                <w:lang w:val="en-US"/>
              </w:rPr>
              <w:t>deficit</w:t>
            </w:r>
            <w:r w:rsidRPr="00453F39">
              <w:rPr>
                <w:rFonts w:ascii="Times New Roman" w:hAnsi="Times New Roman"/>
              </w:rPr>
              <w:t>” των ΗΠΑ.</w:t>
            </w:r>
          </w:p>
          <w:p w:rsidR="00B42EC2" w:rsidRPr="00453F39" w:rsidRDefault="00B42EC2" w:rsidP="00FE7971">
            <w:pPr>
              <w:spacing w:line="360" w:lineRule="auto"/>
              <w:jc w:val="both"/>
              <w:rPr>
                <w:rFonts w:ascii="Times New Roman" w:hAnsi="Times New Roman"/>
              </w:rPr>
            </w:pPr>
            <w:r w:rsidRPr="00453F39">
              <w:rPr>
                <w:rFonts w:ascii="Times New Roman" w:hAnsi="Times New Roman"/>
              </w:rPr>
              <w:t>Η αποτυχία των υποδειγμάτων συναλλαγματικών τιμών που βασίζονταν σε θεμελιώδεις οικονομικές μεταβλητές να ερμηνεύσουν την συμπεριφορά των συναλλαγματικών ισοτιμιών δεν σημαίνει ότι είναι τελείως λάθος, απλά αντανακλούν τα σημαντικά οικονομετρικά προβλήματα που παρουσιάζουν. Τα προβλήματα που συνήθως έχουν αναφερθεί στην υπάρχουσα βιβλιογραφία είναι τα ακόλουθα (</w:t>
            </w:r>
            <w:r w:rsidRPr="00453F39">
              <w:rPr>
                <w:rFonts w:ascii="Times New Roman" w:hAnsi="Times New Roman"/>
                <w:lang w:val="en-US"/>
              </w:rPr>
              <w:t>Meese</w:t>
            </w:r>
            <w:r w:rsidR="00FE7971">
              <w:rPr>
                <w:rFonts w:ascii="Times New Roman" w:hAnsi="Times New Roman"/>
              </w:rPr>
              <w:t>, 1990).</w:t>
            </w:r>
          </w:p>
          <w:p w:rsidR="00B42EC2" w:rsidRPr="00453F39" w:rsidRDefault="00B42EC2" w:rsidP="006411E7">
            <w:pPr>
              <w:numPr>
                <w:ilvl w:val="0"/>
                <w:numId w:val="4"/>
              </w:numPr>
              <w:spacing w:line="360" w:lineRule="auto"/>
              <w:jc w:val="both"/>
              <w:rPr>
                <w:rFonts w:ascii="Times New Roman" w:hAnsi="Times New Roman"/>
              </w:rPr>
            </w:pPr>
            <w:r w:rsidRPr="00453F39">
              <w:rPr>
                <w:rFonts w:ascii="Times New Roman" w:hAnsi="Times New Roman"/>
              </w:rPr>
              <w:t>Η νομισματική πολιτική δεν μπορεί να είναι ο μοναδικός παράγοντας που επιδρά στις συναλλαγματικές ισοτιμίες. Οι συναλλαγματικές ισοτιμίες επηρεάζονται από ένα πολύ πιο πολύπλοκο δείγμα μακροοικονομικών μεταβλητών</w:t>
            </w:r>
            <w:r w:rsidRPr="00453F39">
              <w:rPr>
                <w:rFonts w:ascii="Times New Roman" w:eastAsia="Times New Roman" w:hAnsi="Times New Roman"/>
                <w:position w:val="-12"/>
                <w:sz w:val="24"/>
                <w:szCs w:val="24"/>
                <w:lang w:val="en-US" w:eastAsia="el-GR"/>
              </w:rPr>
              <w:object w:dxaOrig="320" w:dyaOrig="360">
                <v:shape id="_x0000_i1093" type="#_x0000_t75" style="width:15.05pt;height:19.4pt" o:ole="" fillcolor="window">
                  <v:imagedata r:id="rId164" o:title=""/>
                </v:shape>
                <o:OLEObject Type="Embed" ProgID="Equation.3" ShapeID="_x0000_i1093" DrawAspect="Content" ObjectID="_1475064908" r:id="rId165"/>
              </w:object>
            </w:r>
            <w:r w:rsidRPr="00453F39">
              <w:rPr>
                <w:rFonts w:ascii="Times New Roman" w:hAnsi="Times New Roman"/>
              </w:rPr>
              <w:t xml:space="preserve"> μεταξύ των χωρών οι οποίες δεν είναι εύκολα </w:t>
            </w:r>
            <w:proofErr w:type="spellStart"/>
            <w:r w:rsidRPr="00453F39">
              <w:rPr>
                <w:rFonts w:ascii="Times New Roman" w:hAnsi="Times New Roman"/>
              </w:rPr>
              <w:t>προσδιορίσιμες</w:t>
            </w:r>
            <w:proofErr w:type="spellEnd"/>
            <w:r w:rsidRPr="00453F39">
              <w:rPr>
                <w:rFonts w:ascii="Times New Roman" w:hAnsi="Times New Roman"/>
              </w:rPr>
              <w:t>.</w:t>
            </w:r>
          </w:p>
          <w:p w:rsidR="00B42EC2" w:rsidRPr="00453F39" w:rsidRDefault="00B42EC2" w:rsidP="00FE7971">
            <w:pPr>
              <w:spacing w:line="360" w:lineRule="auto"/>
              <w:jc w:val="both"/>
              <w:rPr>
                <w:rFonts w:ascii="Times New Roman" w:hAnsi="Times New Roman"/>
              </w:rPr>
            </w:pPr>
            <w:r w:rsidRPr="00453F39">
              <w:rPr>
                <w:rFonts w:ascii="Times New Roman" w:hAnsi="Times New Roman"/>
              </w:rPr>
              <w:lastRenderedPageBreak/>
              <w:t xml:space="preserve">      </w:t>
            </w:r>
            <w:r w:rsidRPr="00453F39">
              <w:rPr>
                <w:rFonts w:ascii="Times New Roman" w:eastAsia="Times New Roman" w:hAnsi="Times New Roman"/>
                <w:sz w:val="24"/>
                <w:szCs w:val="24"/>
                <w:lang w:val="en-US" w:eastAsia="el-GR"/>
              </w:rPr>
              <w:object w:dxaOrig="1680" w:dyaOrig="380">
                <v:shape id="_x0000_i1094" type="#_x0000_t75" style="width:83.9pt;height:19.4pt" o:ole="" fillcolor="window">
                  <v:imagedata r:id="rId166" o:title=""/>
                </v:shape>
                <o:OLEObject Type="Embed" ProgID="Equation.3" ShapeID="_x0000_i1094" DrawAspect="Content" ObjectID="_1475064909" r:id="rId167"/>
              </w:object>
            </w:r>
            <w:r w:rsidRPr="00453F39">
              <w:rPr>
                <w:rFonts w:ascii="Times New Roman" w:hAnsi="Times New Roman"/>
              </w:rPr>
              <w:tab/>
            </w:r>
            <w:r w:rsidRPr="00453F39">
              <w:rPr>
                <w:rFonts w:ascii="Times New Roman" w:hAnsi="Times New Roman"/>
              </w:rPr>
              <w:tab/>
            </w:r>
            <w:r w:rsidRPr="00453F39">
              <w:rPr>
                <w:rFonts w:ascii="Times New Roman" w:hAnsi="Times New Roman"/>
              </w:rPr>
              <w:tab/>
            </w:r>
            <w:r w:rsidRPr="00453F39">
              <w:rPr>
                <w:rFonts w:ascii="Times New Roman" w:hAnsi="Times New Roman"/>
              </w:rPr>
              <w:tab/>
            </w:r>
            <w:r w:rsidRPr="00453F39">
              <w:rPr>
                <w:rFonts w:ascii="Times New Roman" w:hAnsi="Times New Roman"/>
              </w:rPr>
              <w:tab/>
            </w:r>
            <w:r w:rsidRPr="00453F39">
              <w:rPr>
                <w:rFonts w:ascii="Times New Roman" w:hAnsi="Times New Roman"/>
              </w:rPr>
              <w:tab/>
            </w:r>
            <w:r w:rsidRPr="00453F39">
              <w:rPr>
                <w:rFonts w:ascii="Times New Roman" w:hAnsi="Times New Roman"/>
              </w:rPr>
              <w:tab/>
            </w:r>
          </w:p>
          <w:p w:rsidR="00B42EC2" w:rsidRPr="00453F39" w:rsidRDefault="00B42EC2" w:rsidP="006411E7">
            <w:pPr>
              <w:numPr>
                <w:ilvl w:val="0"/>
                <w:numId w:val="4"/>
              </w:numPr>
              <w:spacing w:line="360" w:lineRule="auto"/>
              <w:jc w:val="both"/>
              <w:rPr>
                <w:rFonts w:ascii="Times New Roman" w:hAnsi="Times New Roman"/>
              </w:rPr>
            </w:pPr>
            <w:r w:rsidRPr="00453F39">
              <w:rPr>
                <w:rFonts w:ascii="Times New Roman" w:hAnsi="Times New Roman"/>
              </w:rPr>
              <w:t xml:space="preserve">Οι τρέχουσες ισοτιμίες εξαρτώνται όχι μόνο από τις τρέχουσες τιμές αλλά και από τις αναμενόμενες τιμές </w:t>
            </w:r>
            <w:r w:rsidRPr="00453F39">
              <w:rPr>
                <w:rFonts w:ascii="Times New Roman" w:eastAsia="Times New Roman" w:hAnsi="Times New Roman"/>
                <w:position w:val="-12"/>
                <w:sz w:val="24"/>
                <w:szCs w:val="24"/>
                <w:lang w:val="en-US" w:eastAsia="el-GR"/>
              </w:rPr>
              <w:object w:dxaOrig="820" w:dyaOrig="360">
                <v:shape id="_x0000_i1095" type="#_x0000_t75" style="width:41.95pt;height:19.4pt" o:ole="" fillcolor="window">
                  <v:imagedata r:id="rId168" o:title=""/>
                </v:shape>
                <o:OLEObject Type="Embed" ProgID="Equation.3" ShapeID="_x0000_i1095" DrawAspect="Content" ObjectID="_1475064910" r:id="rId169"/>
              </w:object>
            </w:r>
            <w:r w:rsidRPr="00453F39">
              <w:rPr>
                <w:rFonts w:ascii="Times New Roman" w:hAnsi="Times New Roman"/>
              </w:rPr>
              <w:t xml:space="preserve"> και είναι πραγματικά δύσκολο να συμπεριλάβει ένα υπόδειγμα αναμενόμενες μεταβλητές.</w:t>
            </w:r>
          </w:p>
          <w:p w:rsidR="00B42EC2" w:rsidRPr="00453F39" w:rsidRDefault="00B42EC2" w:rsidP="006411E7">
            <w:pPr>
              <w:numPr>
                <w:ilvl w:val="0"/>
                <w:numId w:val="4"/>
              </w:numPr>
              <w:spacing w:line="360" w:lineRule="auto"/>
              <w:jc w:val="both"/>
              <w:rPr>
                <w:rFonts w:ascii="Times New Roman" w:hAnsi="Times New Roman"/>
              </w:rPr>
            </w:pPr>
            <w:r w:rsidRPr="00453F39">
              <w:rPr>
                <w:rFonts w:ascii="Times New Roman" w:hAnsi="Times New Roman"/>
              </w:rPr>
              <w:t>Σφάλματα μέτρησης των οικονομικών μεταβλητών και ακατάλληλες τεχνικές εκτίμησης των υποδειγμάτων, πολλές φορές αποτελούν αιτίες των απογοητευτικών αποτελεσμάτων.</w:t>
            </w:r>
          </w:p>
          <w:p w:rsidR="00B42EC2" w:rsidRPr="00453F39" w:rsidRDefault="00B42EC2" w:rsidP="006411E7">
            <w:pPr>
              <w:numPr>
                <w:ilvl w:val="0"/>
                <w:numId w:val="4"/>
              </w:numPr>
              <w:spacing w:line="360" w:lineRule="auto"/>
              <w:jc w:val="both"/>
              <w:rPr>
                <w:rFonts w:ascii="Times New Roman" w:hAnsi="Times New Roman"/>
              </w:rPr>
            </w:pPr>
            <w:r w:rsidRPr="00453F39">
              <w:rPr>
                <w:rFonts w:ascii="Times New Roman" w:hAnsi="Times New Roman"/>
              </w:rPr>
              <w:t>Το λεγόμενο πρόβλημα αυτών που χαράσσουν την πολιτική μιας χώρας. Ένα απρόβλεπτο ραντεβού δύο πολιτικών μπορεί για παράδειγμα να επηρεάσει κάποια συναλλαγματική ισοτιμία. Είναι επίσης δύσκολο να συμπεριλάβει ο ερευνητής τέτοιου είδους πληροφορίες σε κάποιο στατιστικό υπόδειγμα.</w:t>
            </w:r>
          </w:p>
          <w:p w:rsidR="00B42EC2" w:rsidRPr="00F5424F" w:rsidRDefault="00B42EC2" w:rsidP="00FE7971">
            <w:pPr>
              <w:spacing w:line="360" w:lineRule="auto"/>
              <w:jc w:val="both"/>
              <w:rPr>
                <w:rFonts w:ascii="Times New Roman" w:hAnsi="Times New Roman"/>
                <w:i/>
              </w:rPr>
            </w:pPr>
            <w:r w:rsidRPr="00453F39">
              <w:rPr>
                <w:rFonts w:ascii="Times New Roman" w:hAnsi="Times New Roman"/>
              </w:rPr>
              <w:t xml:space="preserve">Τα τελευταία χρόνια όμως μελέτες </w:t>
            </w:r>
            <w:r w:rsidR="00D94170" w:rsidRPr="002426EE">
              <w:rPr>
                <w:rFonts w:ascii="Times New Roman" w:hAnsi="Times New Roman"/>
              </w:rPr>
              <w:t xml:space="preserve">μεταξύ άλλων </w:t>
            </w:r>
            <w:r w:rsidRPr="00453F39">
              <w:rPr>
                <w:rFonts w:ascii="Times New Roman" w:hAnsi="Times New Roman"/>
              </w:rPr>
              <w:t xml:space="preserve">όπως των </w:t>
            </w:r>
            <w:r w:rsidRPr="00453F39">
              <w:rPr>
                <w:rFonts w:ascii="Times New Roman" w:hAnsi="Times New Roman"/>
                <w:lang w:val="en-US"/>
              </w:rPr>
              <w:t>Chin</w:t>
            </w:r>
            <w:r w:rsidRPr="00453F39">
              <w:rPr>
                <w:rFonts w:ascii="Times New Roman" w:hAnsi="Times New Roman"/>
              </w:rPr>
              <w:t xml:space="preserve"> </w:t>
            </w:r>
            <w:r w:rsidRPr="00453F39">
              <w:rPr>
                <w:rFonts w:ascii="Times New Roman" w:hAnsi="Times New Roman"/>
                <w:lang w:val="en-US"/>
              </w:rPr>
              <w:t>et</w:t>
            </w:r>
            <w:r w:rsidRPr="00453F39">
              <w:rPr>
                <w:rFonts w:ascii="Times New Roman" w:hAnsi="Times New Roman"/>
              </w:rPr>
              <w:t xml:space="preserve"> </w:t>
            </w:r>
            <w:r w:rsidRPr="00453F39">
              <w:rPr>
                <w:rFonts w:ascii="Times New Roman" w:hAnsi="Times New Roman"/>
                <w:lang w:val="en-US"/>
              </w:rPr>
              <w:t>al</w:t>
            </w:r>
            <w:r w:rsidRPr="00453F39">
              <w:rPr>
                <w:rFonts w:ascii="Times New Roman" w:hAnsi="Times New Roman"/>
              </w:rPr>
              <w:t>. (2007</w:t>
            </w:r>
            <w:r w:rsidRPr="00453F39">
              <w:rPr>
                <w:rFonts w:ascii="Times New Roman" w:hAnsi="Times New Roman"/>
                <w:lang w:val="en-US"/>
              </w:rPr>
              <w:t>a</w:t>
            </w:r>
            <w:r w:rsidRPr="00453F39">
              <w:rPr>
                <w:rFonts w:ascii="Times New Roman" w:hAnsi="Times New Roman"/>
              </w:rPr>
              <w:t>, 2007</w:t>
            </w:r>
            <w:r w:rsidRPr="00453F39">
              <w:rPr>
                <w:rFonts w:ascii="Times New Roman" w:hAnsi="Times New Roman"/>
                <w:lang w:val="en-US"/>
              </w:rPr>
              <w:t>b</w:t>
            </w:r>
            <w:r w:rsidRPr="00453F39">
              <w:rPr>
                <w:rFonts w:ascii="Times New Roman" w:hAnsi="Times New Roman"/>
              </w:rPr>
              <w:t xml:space="preserve">), </w:t>
            </w:r>
            <w:r w:rsidRPr="00453F39">
              <w:rPr>
                <w:rFonts w:ascii="Times New Roman" w:hAnsi="Times New Roman"/>
                <w:lang w:val="en-US"/>
              </w:rPr>
              <w:t>Cushman</w:t>
            </w:r>
            <w:r w:rsidRPr="00453F39">
              <w:rPr>
                <w:rFonts w:ascii="Times New Roman" w:hAnsi="Times New Roman"/>
              </w:rPr>
              <w:t xml:space="preserve"> (2007)</w:t>
            </w:r>
            <w:r w:rsidRPr="00453F39">
              <w:rPr>
                <w:rFonts w:ascii="Times New Roman" w:hAnsi="Times New Roman"/>
                <w:color w:val="131413"/>
                <w:sz w:val="16"/>
                <w:szCs w:val="16"/>
              </w:rPr>
              <w:t xml:space="preserve"> </w:t>
            </w:r>
            <w:r w:rsidRPr="00453F39">
              <w:rPr>
                <w:rFonts w:ascii="Times New Roman" w:hAnsi="Times New Roman"/>
              </w:rPr>
              <w:t xml:space="preserve">λαμβάνοντας υπόψη μερικές από τις παραπάνω αδυναμίες έδειξαν ότι τα νομισματικά υποδείγματα μπορούν να βοηθήσουν σημαντικά στην πρόβλεψη των συναλλαγματικών ισοτιμιών. Στην ίδια </w:t>
            </w:r>
            <w:r w:rsidRPr="002426EE">
              <w:rPr>
                <w:rFonts w:ascii="Times New Roman" w:hAnsi="Times New Roman"/>
              </w:rPr>
              <w:t xml:space="preserve">γραμμή, χρησιμοποιώντας την οικονομετρική μεθοδολογία της </w:t>
            </w:r>
            <w:proofErr w:type="spellStart"/>
            <w:r w:rsidRPr="002426EE">
              <w:rPr>
                <w:rFonts w:ascii="Times New Roman" w:hAnsi="Times New Roman"/>
              </w:rPr>
              <w:t>συνολοκλήρωσης</w:t>
            </w:r>
            <w:proofErr w:type="spellEnd"/>
            <w:r w:rsidRPr="002426EE">
              <w:rPr>
                <w:rFonts w:ascii="Times New Roman" w:hAnsi="Times New Roman"/>
              </w:rPr>
              <w:t xml:space="preserve"> (δες σχετικά </w:t>
            </w:r>
            <w:r w:rsidRPr="002426EE">
              <w:rPr>
                <w:rFonts w:ascii="Times New Roman" w:hAnsi="Times New Roman"/>
                <w:lang w:val="en-US"/>
              </w:rPr>
              <w:t>Kouretas</w:t>
            </w:r>
            <w:r w:rsidRPr="002426EE">
              <w:rPr>
                <w:rFonts w:ascii="Times New Roman" w:hAnsi="Times New Roman"/>
              </w:rPr>
              <w:t xml:space="preserve"> (1997), </w:t>
            </w:r>
            <w:proofErr w:type="spellStart"/>
            <w:r w:rsidRPr="002426EE">
              <w:rPr>
                <w:rFonts w:ascii="Times New Roman" w:hAnsi="Times New Roman"/>
              </w:rPr>
              <w:t>Συριόπουλος</w:t>
            </w:r>
            <w:proofErr w:type="spellEnd"/>
            <w:r w:rsidRPr="002426EE">
              <w:rPr>
                <w:rFonts w:ascii="Times New Roman" w:hAnsi="Times New Roman"/>
              </w:rPr>
              <w:t xml:space="preserve"> &amp; </w:t>
            </w:r>
            <w:proofErr w:type="spellStart"/>
            <w:r w:rsidRPr="002426EE">
              <w:rPr>
                <w:rFonts w:ascii="Times New Roman" w:hAnsi="Times New Roman"/>
              </w:rPr>
              <w:t>Φίλιππας</w:t>
            </w:r>
            <w:proofErr w:type="spellEnd"/>
            <w:r w:rsidRPr="002426EE">
              <w:rPr>
                <w:rFonts w:ascii="Times New Roman" w:hAnsi="Times New Roman"/>
              </w:rPr>
              <w:t xml:space="preserve"> (</w:t>
            </w:r>
            <w:r w:rsidR="002426EE" w:rsidRPr="002426EE">
              <w:rPr>
                <w:rFonts w:ascii="Times New Roman" w:hAnsi="Times New Roman"/>
              </w:rPr>
              <w:t>2010</w:t>
            </w:r>
            <w:r w:rsidRPr="002426EE">
              <w:rPr>
                <w:rFonts w:ascii="Times New Roman" w:hAnsi="Times New Roman"/>
              </w:rPr>
              <w:t xml:space="preserve">)), οι </w:t>
            </w:r>
            <w:proofErr w:type="spellStart"/>
            <w:r w:rsidRPr="002426EE">
              <w:rPr>
                <w:rFonts w:ascii="Times New Roman" w:hAnsi="Times New Roman"/>
                <w:lang w:val="en-US"/>
              </w:rPr>
              <w:t>Papadamou</w:t>
            </w:r>
            <w:proofErr w:type="spellEnd"/>
            <w:r w:rsidRPr="002426EE">
              <w:rPr>
                <w:rFonts w:ascii="Times New Roman" w:hAnsi="Times New Roman"/>
              </w:rPr>
              <w:t xml:space="preserve"> &amp; </w:t>
            </w:r>
            <w:r w:rsidRPr="002426EE">
              <w:rPr>
                <w:rFonts w:ascii="Times New Roman" w:hAnsi="Times New Roman"/>
                <w:lang w:val="en-US"/>
              </w:rPr>
              <w:t>Markopoulos</w:t>
            </w:r>
            <w:r w:rsidRPr="002426EE">
              <w:rPr>
                <w:rFonts w:ascii="Times New Roman" w:hAnsi="Times New Roman"/>
              </w:rPr>
              <w:t xml:space="preserve"> (2012) παρείχαν μαρτυρία υπέρ της προβλεπτικής ικανότητας των νομισματικών υποδειγμάτων στην περίπτωση της συναλλαγματικής </w:t>
            </w:r>
            <w:r w:rsidR="00F5424F">
              <w:rPr>
                <w:rFonts w:ascii="Times New Roman" w:hAnsi="Times New Roman"/>
              </w:rPr>
              <w:t>ισοτιμίας Νορβηγικής Κορώνας/$.</w:t>
            </w:r>
          </w:p>
        </w:tc>
      </w:tr>
    </w:tbl>
    <w:p w:rsidR="00A129BE" w:rsidRPr="00A129BE" w:rsidRDefault="0058071D" w:rsidP="0058071D">
      <w:pPr>
        <w:pStyle w:val="2"/>
        <w:spacing w:before="0" w:after="0" w:line="360" w:lineRule="auto"/>
        <w:jc w:val="both"/>
        <w:rPr>
          <w:rFonts w:ascii="Times New Roman" w:hAnsi="Times New Roman" w:cs="Times New Roman"/>
          <w:i w:val="0"/>
        </w:rPr>
      </w:pPr>
      <w:bookmarkStart w:id="44" w:name="_Toc395803107"/>
      <w:bookmarkStart w:id="45" w:name="_Toc396220916"/>
      <w:r>
        <w:rPr>
          <w:rFonts w:ascii="Times New Roman" w:hAnsi="Times New Roman" w:cs="Times New Roman"/>
          <w:i w:val="0"/>
        </w:rPr>
        <w:lastRenderedPageBreak/>
        <w:t xml:space="preserve">7.6 </w:t>
      </w:r>
      <w:r w:rsidR="00A129BE">
        <w:rPr>
          <w:rFonts w:ascii="Times New Roman" w:hAnsi="Times New Roman" w:cs="Times New Roman"/>
          <w:i w:val="0"/>
        </w:rPr>
        <w:t xml:space="preserve">Συστήματα συναλλαγματικών </w:t>
      </w:r>
      <w:r w:rsidR="00A129BE" w:rsidRPr="009F6F3B">
        <w:rPr>
          <w:rFonts w:ascii="Times New Roman" w:hAnsi="Times New Roman" w:cs="Times New Roman"/>
          <w:i w:val="0"/>
        </w:rPr>
        <w:t>ισοτιμιών</w:t>
      </w:r>
      <w:bookmarkEnd w:id="44"/>
      <w:bookmarkEnd w:id="45"/>
    </w:p>
    <w:p w:rsidR="001C608D" w:rsidRDefault="00F70DAD" w:rsidP="001C608D">
      <w:pPr>
        <w:spacing w:line="360" w:lineRule="auto"/>
        <w:ind w:firstLine="720"/>
        <w:jc w:val="both"/>
        <w:rPr>
          <w:rFonts w:eastAsiaTheme="minorHAnsi"/>
          <w:lang w:eastAsia="en-US"/>
        </w:rPr>
      </w:pPr>
      <w:r w:rsidRPr="00F70DAD">
        <w:rPr>
          <w:rFonts w:eastAsiaTheme="minorHAnsi"/>
          <w:lang w:eastAsia="en-US"/>
        </w:rPr>
        <w:t>Το κεντρικό ερώτημα σχετικά με τις διάφορες μορφές του διεθνούς νομισματικού συστήματος</w:t>
      </w:r>
      <w:r w:rsidR="005163ED">
        <w:rPr>
          <w:rFonts w:eastAsiaTheme="minorHAnsi"/>
          <w:lang w:eastAsia="en-US"/>
        </w:rPr>
        <w:t>,</w:t>
      </w:r>
      <w:r w:rsidRPr="00F70DAD">
        <w:rPr>
          <w:rFonts w:eastAsiaTheme="minorHAnsi"/>
          <w:lang w:eastAsia="en-US"/>
        </w:rPr>
        <w:t xml:space="preserve"> αφορά την έκταση </w:t>
      </w:r>
      <w:r>
        <w:rPr>
          <w:rFonts w:eastAsiaTheme="minorHAnsi"/>
          <w:lang w:eastAsia="en-US"/>
        </w:rPr>
        <w:t>στην οποία</w:t>
      </w:r>
      <w:r w:rsidRPr="00F70DAD">
        <w:rPr>
          <w:rFonts w:eastAsiaTheme="minorHAnsi"/>
          <w:lang w:eastAsia="en-US"/>
        </w:rPr>
        <w:t xml:space="preserve"> το σύστημα επιτρέπει το διεθνές εμπόριο να λάβει χώρα χωρίς </w:t>
      </w:r>
      <w:proofErr w:type="spellStart"/>
      <w:r>
        <w:rPr>
          <w:rFonts w:eastAsiaTheme="minorHAnsi"/>
          <w:lang w:eastAsia="en-US"/>
        </w:rPr>
        <w:t>παρέμβασεις</w:t>
      </w:r>
      <w:proofErr w:type="spellEnd"/>
      <w:r>
        <w:rPr>
          <w:rFonts w:eastAsiaTheme="minorHAnsi"/>
          <w:lang w:eastAsia="en-US"/>
        </w:rPr>
        <w:t xml:space="preserve">.  Μερικές επιμέρους ερωτήσεις που </w:t>
      </w:r>
      <w:proofErr w:type="spellStart"/>
      <w:r>
        <w:rPr>
          <w:rFonts w:eastAsiaTheme="minorHAnsi"/>
          <w:lang w:eastAsia="en-US"/>
        </w:rPr>
        <w:t>προκύτουν</w:t>
      </w:r>
      <w:proofErr w:type="spellEnd"/>
      <w:r>
        <w:rPr>
          <w:rFonts w:eastAsiaTheme="minorHAnsi"/>
          <w:lang w:eastAsia="en-US"/>
        </w:rPr>
        <w:t xml:space="preserve"> είναι οι ακόλουθες. Πρώτον, π</w:t>
      </w:r>
      <w:r w:rsidRPr="00F70DAD">
        <w:rPr>
          <w:rFonts w:eastAsiaTheme="minorHAnsi"/>
          <w:lang w:eastAsia="en-US"/>
        </w:rPr>
        <w:t xml:space="preserve">ώς λειτουργεί το σύστημα </w:t>
      </w:r>
      <w:r>
        <w:rPr>
          <w:rFonts w:eastAsiaTheme="minorHAnsi"/>
          <w:lang w:eastAsia="en-US"/>
        </w:rPr>
        <w:t xml:space="preserve">ώστε να βοηθήσει στην εξαφάνιση </w:t>
      </w:r>
      <w:r w:rsidRPr="00F70DAD">
        <w:rPr>
          <w:rFonts w:eastAsiaTheme="minorHAnsi"/>
          <w:lang w:eastAsia="en-US"/>
        </w:rPr>
        <w:t>μια</w:t>
      </w:r>
      <w:r>
        <w:rPr>
          <w:rFonts w:eastAsiaTheme="minorHAnsi"/>
          <w:lang w:eastAsia="en-US"/>
        </w:rPr>
        <w:t>ς</w:t>
      </w:r>
      <w:r w:rsidRPr="00F70DAD">
        <w:rPr>
          <w:rFonts w:eastAsiaTheme="minorHAnsi"/>
          <w:lang w:eastAsia="en-US"/>
        </w:rPr>
        <w:t xml:space="preserve"> ανισορροπία</w:t>
      </w:r>
      <w:r>
        <w:rPr>
          <w:rFonts w:eastAsiaTheme="minorHAnsi"/>
          <w:lang w:eastAsia="en-US"/>
        </w:rPr>
        <w:t>ς</w:t>
      </w:r>
      <w:r w:rsidRPr="00F70DAD">
        <w:rPr>
          <w:rFonts w:eastAsiaTheme="minorHAnsi"/>
          <w:lang w:eastAsia="en-US"/>
        </w:rPr>
        <w:t xml:space="preserve"> του ισοζυγίου πληρωμών</w:t>
      </w:r>
      <w:r>
        <w:rPr>
          <w:rFonts w:eastAsiaTheme="minorHAnsi"/>
          <w:lang w:eastAsia="en-US"/>
        </w:rPr>
        <w:t xml:space="preserve"> μιας χώρας</w:t>
      </w:r>
      <w:r w:rsidRPr="00F70DAD">
        <w:rPr>
          <w:rFonts w:eastAsiaTheme="minorHAnsi"/>
          <w:lang w:eastAsia="en-US"/>
        </w:rPr>
        <w:t>;</w:t>
      </w:r>
      <w:r w:rsidR="00B82960">
        <w:rPr>
          <w:rFonts w:eastAsiaTheme="minorHAnsi"/>
          <w:lang w:eastAsia="en-US"/>
        </w:rPr>
        <w:t xml:space="preserve"> Δεύτερον, π</w:t>
      </w:r>
      <w:r w:rsidRPr="00F70DAD">
        <w:rPr>
          <w:rFonts w:eastAsiaTheme="minorHAnsi"/>
          <w:lang w:eastAsia="en-US"/>
        </w:rPr>
        <w:t xml:space="preserve">ώς </w:t>
      </w:r>
      <w:r>
        <w:rPr>
          <w:rFonts w:eastAsiaTheme="minorHAnsi"/>
          <w:lang w:eastAsia="en-US"/>
        </w:rPr>
        <w:t>λειτουργεί ώστε να μοιραστεί το βάρος μιας προσαρμογής μεταξύ των χωρών</w:t>
      </w:r>
      <w:r w:rsidRPr="00F70DAD">
        <w:rPr>
          <w:rFonts w:eastAsiaTheme="minorHAnsi"/>
          <w:lang w:eastAsia="en-US"/>
        </w:rPr>
        <w:t xml:space="preserve">; </w:t>
      </w:r>
      <w:r w:rsidR="00B82960">
        <w:rPr>
          <w:rFonts w:eastAsiaTheme="minorHAnsi"/>
          <w:lang w:eastAsia="en-US"/>
        </w:rPr>
        <w:t>Τρίτον, π</w:t>
      </w:r>
      <w:r w:rsidRPr="00F70DAD">
        <w:rPr>
          <w:rFonts w:eastAsiaTheme="minorHAnsi"/>
          <w:lang w:eastAsia="en-US"/>
        </w:rPr>
        <w:t>ώς</w:t>
      </w:r>
      <w:r>
        <w:rPr>
          <w:rFonts w:eastAsiaTheme="minorHAnsi"/>
          <w:lang w:eastAsia="en-US"/>
        </w:rPr>
        <w:t xml:space="preserve"> μπορεί το νομισματικό σύστημα να επιτρέψει</w:t>
      </w:r>
      <w:r w:rsidRPr="00F70DAD">
        <w:rPr>
          <w:rFonts w:eastAsiaTheme="minorHAnsi"/>
          <w:lang w:eastAsia="en-US"/>
        </w:rPr>
        <w:t xml:space="preserve"> στις χ</w:t>
      </w:r>
      <w:r>
        <w:rPr>
          <w:rFonts w:eastAsiaTheme="minorHAnsi"/>
          <w:lang w:eastAsia="en-US"/>
        </w:rPr>
        <w:t>ώρες να χρηματοδοτήσουν</w:t>
      </w:r>
      <w:r w:rsidRPr="00F70DAD">
        <w:rPr>
          <w:rFonts w:eastAsiaTheme="minorHAnsi"/>
          <w:lang w:eastAsia="en-US"/>
        </w:rPr>
        <w:t xml:space="preserve"> βραχυπρόθεσμα ελλε</w:t>
      </w:r>
      <w:r w:rsidR="00B82960">
        <w:rPr>
          <w:rFonts w:eastAsiaTheme="minorHAnsi"/>
          <w:lang w:eastAsia="en-US"/>
        </w:rPr>
        <w:t xml:space="preserve">ίμματα του ισοζυγίου πληρωμών;  </w:t>
      </w:r>
      <w:r w:rsidR="00B82960">
        <w:t>Προκειμένου να απαντήσουμε σε αυτά τα ερωτήματα σε αυτή την ενότητα θα παρουσιάσουμε τα βασικά νομισματ</w:t>
      </w:r>
      <w:r w:rsidR="005163ED">
        <w:t>ι</w:t>
      </w:r>
      <w:r w:rsidR="00B82960">
        <w:t xml:space="preserve">κά συστήματα, δίνοντας ιδιαίτερη έμφαση στα πλεονεκτήματα του ενός έναντι του άλλου για μια χώρα. </w:t>
      </w:r>
    </w:p>
    <w:p w:rsidR="00B82960" w:rsidRPr="001C608D" w:rsidRDefault="00B82960" w:rsidP="001C608D">
      <w:pPr>
        <w:spacing w:line="360" w:lineRule="auto"/>
        <w:ind w:firstLine="720"/>
        <w:jc w:val="both"/>
        <w:rPr>
          <w:rFonts w:eastAsiaTheme="minorHAnsi"/>
          <w:lang w:eastAsia="en-US"/>
        </w:rPr>
      </w:pPr>
      <w:r>
        <w:t>Μια πρώτη σημαντική διάκριση των νομισματικών συστημάτων αναφέρεται στο σύστημα σταθερών ισοτιμιών (</w:t>
      </w:r>
      <w:r>
        <w:rPr>
          <w:lang w:val="en-US"/>
        </w:rPr>
        <w:t>fixed</w:t>
      </w:r>
      <w:r w:rsidRPr="00A931D0">
        <w:t xml:space="preserve"> </w:t>
      </w:r>
      <w:r>
        <w:rPr>
          <w:lang w:val="en-US"/>
        </w:rPr>
        <w:t>exchange</w:t>
      </w:r>
      <w:r w:rsidRPr="00A931D0">
        <w:t xml:space="preserve"> </w:t>
      </w:r>
      <w:r>
        <w:rPr>
          <w:lang w:val="en-US"/>
        </w:rPr>
        <w:t>rates</w:t>
      </w:r>
      <w:r>
        <w:t>)</w:t>
      </w:r>
      <w:r w:rsidRPr="00A931D0">
        <w:t xml:space="preserve">, </w:t>
      </w:r>
      <w:r>
        <w:t>και στο σύστημα των κυμαινόμενων ισοτιμιών (</w:t>
      </w:r>
      <w:r>
        <w:rPr>
          <w:lang w:val="en-US"/>
        </w:rPr>
        <w:t>floating</w:t>
      </w:r>
      <w:r w:rsidRPr="00A931D0">
        <w:t xml:space="preserve"> </w:t>
      </w:r>
      <w:r>
        <w:rPr>
          <w:lang w:val="en-US"/>
        </w:rPr>
        <w:t>exchange</w:t>
      </w:r>
      <w:r w:rsidRPr="00FF64A9">
        <w:t xml:space="preserve"> </w:t>
      </w:r>
      <w:r>
        <w:rPr>
          <w:lang w:val="en-US"/>
        </w:rPr>
        <w:t>rates</w:t>
      </w:r>
      <w:r>
        <w:t xml:space="preserve">). Στην πραγματικότητα όμως </w:t>
      </w:r>
      <w:r>
        <w:lastRenderedPageBreak/>
        <w:t>υπάρχει ένα συνεχές φάσμα συστημάτων μεταξύ αυτών των δύο</w:t>
      </w:r>
      <w:r w:rsidR="005163ED">
        <w:t xml:space="preserve"> (</w:t>
      </w:r>
      <w:proofErr w:type="spellStart"/>
      <w:r w:rsidR="005163ED">
        <w:t>Αντζουλάτος</w:t>
      </w:r>
      <w:proofErr w:type="spellEnd"/>
      <w:r w:rsidR="005163ED">
        <w:t>, 2011),</w:t>
      </w:r>
      <w:r>
        <w:t xml:space="preserve"> όπως φαίνεται χαρακτηριστικά στον ακόλουθο πίνακα. Να σημειώσουμε εδώ ότι τα επιμέρους συστήματα παρουσιά</w:t>
      </w:r>
      <w:r w:rsidR="005163ED">
        <w:t>ζ</w:t>
      </w:r>
      <w:r>
        <w:t xml:space="preserve">ονται με το όνομα που εμφανίζονται στην διεθνή βιβλιογραφία. </w:t>
      </w:r>
    </w:p>
    <w:p w:rsidR="00B82960" w:rsidRPr="00E36943" w:rsidRDefault="00B82960" w:rsidP="00F5424F">
      <w:pPr>
        <w:spacing w:line="360" w:lineRule="auto"/>
        <w:jc w:val="both"/>
      </w:pPr>
    </w:p>
    <w:p w:rsidR="00B82960" w:rsidRPr="0058071D" w:rsidRDefault="00B82960" w:rsidP="00B82960">
      <w:pPr>
        <w:pStyle w:val="a6"/>
        <w:keepNext/>
        <w:rPr>
          <w:sz w:val="24"/>
          <w:szCs w:val="24"/>
        </w:rPr>
      </w:pPr>
      <w:r w:rsidRPr="0058071D">
        <w:rPr>
          <w:sz w:val="24"/>
          <w:szCs w:val="24"/>
        </w:rPr>
        <w:t xml:space="preserve">Πίνακας </w:t>
      </w:r>
      <w:r w:rsidR="0058071D" w:rsidRPr="0058071D">
        <w:rPr>
          <w:sz w:val="24"/>
          <w:szCs w:val="24"/>
        </w:rPr>
        <w:t>7.4</w:t>
      </w:r>
      <w:r w:rsidRPr="0058071D">
        <w:rPr>
          <w:noProof/>
          <w:sz w:val="24"/>
          <w:szCs w:val="24"/>
        </w:rPr>
        <w:t xml:space="preserve"> </w:t>
      </w:r>
      <w:r w:rsidRPr="0058071D">
        <w:rPr>
          <w:b w:val="0"/>
          <w:noProof/>
          <w:sz w:val="24"/>
          <w:szCs w:val="24"/>
        </w:rPr>
        <w:t>Συστήματα συναλλαγματικών ισοτιμιών</w:t>
      </w:r>
    </w:p>
    <w:tbl>
      <w:tblPr>
        <w:tblStyle w:val="-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tblPr>
      <w:tblGrid>
        <w:gridCol w:w="2840"/>
        <w:gridCol w:w="2841"/>
        <w:gridCol w:w="2841"/>
      </w:tblGrid>
      <w:tr w:rsidR="00B82960" w:rsidRPr="00B82960" w:rsidTr="00B82960">
        <w:trPr>
          <w:cnfStyle w:val="100000000000"/>
        </w:trPr>
        <w:tc>
          <w:tcPr>
            <w:cnfStyle w:val="001000000000"/>
            <w:tcW w:w="2840" w:type="dxa"/>
            <w:tcBorders>
              <w:top w:val="none" w:sz="0" w:space="0" w:color="auto"/>
              <w:left w:val="none" w:sz="0" w:space="0" w:color="auto"/>
              <w:bottom w:val="none" w:sz="0" w:space="0" w:color="auto"/>
              <w:right w:val="none" w:sz="0" w:space="0" w:color="auto"/>
            </w:tcBorders>
            <w:shd w:val="clear" w:color="auto" w:fill="FFFFFF" w:themeFill="background1"/>
          </w:tcPr>
          <w:p w:rsidR="00B82960" w:rsidRPr="00B82960" w:rsidRDefault="00B82960" w:rsidP="00B82960">
            <w:pPr>
              <w:jc w:val="center"/>
              <w:rPr>
                <w:rFonts w:ascii="Times New Roman" w:hAnsi="Times New Roman" w:cs="Times New Roman"/>
                <w:color w:val="auto"/>
              </w:rPr>
            </w:pPr>
            <w:r w:rsidRPr="00B82960">
              <w:rPr>
                <w:rFonts w:ascii="Times New Roman" w:hAnsi="Times New Roman" w:cs="Times New Roman"/>
                <w:color w:val="auto"/>
              </w:rPr>
              <w:t>Συστήματα Σταθερών Ισοτιμιών</w:t>
            </w:r>
          </w:p>
        </w:tc>
        <w:tc>
          <w:tcPr>
            <w:tcW w:w="2841" w:type="dxa"/>
            <w:tcBorders>
              <w:top w:val="none" w:sz="0" w:space="0" w:color="auto"/>
              <w:left w:val="none" w:sz="0" w:space="0" w:color="auto"/>
              <w:bottom w:val="none" w:sz="0" w:space="0" w:color="auto"/>
              <w:right w:val="none" w:sz="0" w:space="0" w:color="auto"/>
            </w:tcBorders>
            <w:shd w:val="clear" w:color="auto" w:fill="FFFFFF" w:themeFill="background1"/>
          </w:tcPr>
          <w:p w:rsidR="00B82960" w:rsidRPr="00B82960" w:rsidRDefault="00B82960" w:rsidP="00B82960">
            <w:pPr>
              <w:jc w:val="center"/>
              <w:cnfStyle w:val="100000000000"/>
              <w:rPr>
                <w:rFonts w:ascii="Times New Roman" w:hAnsi="Times New Roman" w:cs="Times New Roman"/>
                <w:color w:val="auto"/>
              </w:rPr>
            </w:pPr>
            <w:r w:rsidRPr="00B82960">
              <w:rPr>
                <w:rFonts w:ascii="Times New Roman" w:hAnsi="Times New Roman" w:cs="Times New Roman"/>
                <w:color w:val="auto"/>
              </w:rPr>
              <w:t>Ενδιάμεσα Συστήματα</w:t>
            </w:r>
          </w:p>
        </w:tc>
        <w:tc>
          <w:tcPr>
            <w:tcW w:w="2841" w:type="dxa"/>
            <w:tcBorders>
              <w:top w:val="none" w:sz="0" w:space="0" w:color="auto"/>
              <w:left w:val="none" w:sz="0" w:space="0" w:color="auto"/>
              <w:bottom w:val="none" w:sz="0" w:space="0" w:color="auto"/>
              <w:right w:val="none" w:sz="0" w:space="0" w:color="auto"/>
            </w:tcBorders>
            <w:shd w:val="clear" w:color="auto" w:fill="FFFFFF" w:themeFill="background1"/>
          </w:tcPr>
          <w:p w:rsidR="00B82960" w:rsidRPr="00B82960" w:rsidRDefault="00B82960" w:rsidP="00B82960">
            <w:pPr>
              <w:jc w:val="center"/>
              <w:cnfStyle w:val="100000000000"/>
              <w:rPr>
                <w:rFonts w:ascii="Times New Roman" w:hAnsi="Times New Roman" w:cs="Times New Roman"/>
                <w:color w:val="auto"/>
              </w:rPr>
            </w:pPr>
            <w:r w:rsidRPr="00B82960">
              <w:rPr>
                <w:rFonts w:ascii="Times New Roman" w:hAnsi="Times New Roman" w:cs="Times New Roman"/>
                <w:color w:val="auto"/>
              </w:rPr>
              <w:t>Συστήματα Μεταβλητών Ισοτιμιών</w:t>
            </w:r>
          </w:p>
        </w:tc>
      </w:tr>
      <w:tr w:rsidR="00B82960" w:rsidRPr="00B82960" w:rsidTr="00B82960">
        <w:trPr>
          <w:cnfStyle w:val="000000100000"/>
        </w:trPr>
        <w:tc>
          <w:tcPr>
            <w:cnfStyle w:val="001000000000"/>
            <w:tcW w:w="2840" w:type="dxa"/>
            <w:tcBorders>
              <w:left w:val="none" w:sz="0" w:space="0" w:color="auto"/>
              <w:right w:val="none" w:sz="0" w:space="0" w:color="auto"/>
            </w:tcBorders>
            <w:shd w:val="clear" w:color="auto" w:fill="FFFFFF" w:themeFill="background1"/>
          </w:tcPr>
          <w:p w:rsidR="00B82960" w:rsidRPr="00B82960" w:rsidRDefault="00B82960" w:rsidP="00B82960">
            <w:pPr>
              <w:jc w:val="center"/>
              <w:rPr>
                <w:rFonts w:ascii="Times New Roman" w:hAnsi="Times New Roman" w:cs="Times New Roman"/>
                <w:b w:val="0"/>
                <w:color w:val="auto"/>
              </w:rPr>
            </w:pPr>
            <w:r w:rsidRPr="00B82960">
              <w:rPr>
                <w:rFonts w:ascii="Times New Roman" w:hAnsi="Times New Roman" w:cs="Times New Roman"/>
                <w:b w:val="0"/>
                <w:color w:val="auto"/>
                <w:lang w:val="en-US"/>
              </w:rPr>
              <w:t>Monetary</w:t>
            </w:r>
            <w:r w:rsidRPr="0058071D">
              <w:rPr>
                <w:rFonts w:ascii="Times New Roman" w:hAnsi="Times New Roman" w:cs="Times New Roman"/>
                <w:b w:val="0"/>
                <w:color w:val="auto"/>
              </w:rPr>
              <w:t xml:space="preserve"> </w:t>
            </w:r>
            <w:r w:rsidRPr="00B82960">
              <w:rPr>
                <w:rFonts w:ascii="Times New Roman" w:hAnsi="Times New Roman" w:cs="Times New Roman"/>
                <w:b w:val="0"/>
                <w:color w:val="auto"/>
                <w:lang w:val="en-US"/>
              </w:rPr>
              <w:t>Union</w:t>
            </w:r>
          </w:p>
        </w:tc>
        <w:tc>
          <w:tcPr>
            <w:tcW w:w="2841" w:type="dxa"/>
            <w:tcBorders>
              <w:left w:val="none" w:sz="0" w:space="0" w:color="auto"/>
              <w:right w:val="none" w:sz="0" w:space="0" w:color="auto"/>
            </w:tcBorders>
            <w:shd w:val="clear" w:color="auto" w:fill="FFFFFF" w:themeFill="background1"/>
          </w:tcPr>
          <w:p w:rsidR="00B82960" w:rsidRPr="0058071D" w:rsidRDefault="00B82960" w:rsidP="00B82960">
            <w:pPr>
              <w:jc w:val="center"/>
              <w:cnfStyle w:val="000000100000"/>
              <w:rPr>
                <w:rFonts w:ascii="Times New Roman" w:hAnsi="Times New Roman" w:cs="Times New Roman"/>
                <w:color w:val="auto"/>
              </w:rPr>
            </w:pPr>
            <w:r w:rsidRPr="00B82960">
              <w:rPr>
                <w:rFonts w:ascii="Times New Roman" w:hAnsi="Times New Roman" w:cs="Times New Roman"/>
                <w:color w:val="auto"/>
                <w:lang w:val="en-US"/>
              </w:rPr>
              <w:t>Adjustable</w:t>
            </w:r>
            <w:r w:rsidRPr="0058071D">
              <w:rPr>
                <w:rFonts w:ascii="Times New Roman" w:hAnsi="Times New Roman" w:cs="Times New Roman"/>
                <w:color w:val="auto"/>
              </w:rPr>
              <w:t xml:space="preserve"> </w:t>
            </w:r>
            <w:r w:rsidRPr="00B82960">
              <w:rPr>
                <w:rFonts w:ascii="Times New Roman" w:hAnsi="Times New Roman" w:cs="Times New Roman"/>
                <w:color w:val="auto"/>
                <w:lang w:val="en-US"/>
              </w:rPr>
              <w:t>Peg</w:t>
            </w:r>
          </w:p>
        </w:tc>
        <w:tc>
          <w:tcPr>
            <w:tcW w:w="2841" w:type="dxa"/>
            <w:tcBorders>
              <w:left w:val="none" w:sz="0" w:space="0" w:color="auto"/>
              <w:right w:val="none" w:sz="0" w:space="0" w:color="auto"/>
            </w:tcBorders>
            <w:shd w:val="clear" w:color="auto" w:fill="FFFFFF" w:themeFill="background1"/>
          </w:tcPr>
          <w:p w:rsidR="00B82960" w:rsidRPr="0058071D" w:rsidRDefault="00B82960" w:rsidP="00B82960">
            <w:pPr>
              <w:jc w:val="center"/>
              <w:cnfStyle w:val="000000100000"/>
              <w:rPr>
                <w:rFonts w:ascii="Times New Roman" w:hAnsi="Times New Roman" w:cs="Times New Roman"/>
                <w:color w:val="auto"/>
              </w:rPr>
            </w:pPr>
            <w:r w:rsidRPr="00B82960">
              <w:rPr>
                <w:rFonts w:ascii="Times New Roman" w:hAnsi="Times New Roman" w:cs="Times New Roman"/>
                <w:color w:val="auto"/>
                <w:lang w:val="en-US"/>
              </w:rPr>
              <w:t>Managed</w:t>
            </w:r>
            <w:r w:rsidRPr="0058071D">
              <w:rPr>
                <w:rFonts w:ascii="Times New Roman" w:hAnsi="Times New Roman" w:cs="Times New Roman"/>
                <w:color w:val="auto"/>
              </w:rPr>
              <w:t xml:space="preserve"> </w:t>
            </w:r>
            <w:r w:rsidRPr="00B82960">
              <w:rPr>
                <w:rFonts w:ascii="Times New Roman" w:hAnsi="Times New Roman" w:cs="Times New Roman"/>
                <w:color w:val="auto"/>
                <w:lang w:val="en-US"/>
              </w:rPr>
              <w:t>Float</w:t>
            </w:r>
          </w:p>
        </w:tc>
      </w:tr>
      <w:tr w:rsidR="00B82960" w:rsidRPr="00B82960" w:rsidTr="00B82960">
        <w:tc>
          <w:tcPr>
            <w:cnfStyle w:val="001000000000"/>
            <w:tcW w:w="2840" w:type="dxa"/>
            <w:shd w:val="clear" w:color="auto" w:fill="FFFFFF" w:themeFill="background1"/>
          </w:tcPr>
          <w:p w:rsidR="00B82960" w:rsidRPr="00B82960" w:rsidRDefault="00B82960" w:rsidP="00B82960">
            <w:pPr>
              <w:jc w:val="center"/>
              <w:rPr>
                <w:rFonts w:ascii="Times New Roman" w:hAnsi="Times New Roman" w:cs="Times New Roman"/>
                <w:b w:val="0"/>
                <w:color w:val="auto"/>
                <w:lang w:val="en-US"/>
              </w:rPr>
            </w:pPr>
            <w:r w:rsidRPr="00B82960">
              <w:rPr>
                <w:rFonts w:ascii="Times New Roman" w:hAnsi="Times New Roman" w:cs="Times New Roman"/>
                <w:b w:val="0"/>
                <w:color w:val="auto"/>
                <w:lang w:val="en-US"/>
              </w:rPr>
              <w:t>Dollarization</w:t>
            </w:r>
          </w:p>
        </w:tc>
        <w:tc>
          <w:tcPr>
            <w:tcW w:w="2841" w:type="dxa"/>
            <w:shd w:val="clear" w:color="auto" w:fill="FFFFFF" w:themeFill="background1"/>
          </w:tcPr>
          <w:p w:rsidR="00B82960" w:rsidRPr="00B82960" w:rsidRDefault="00B82960" w:rsidP="00B82960">
            <w:pPr>
              <w:jc w:val="center"/>
              <w:cnfStyle w:val="000000000000"/>
              <w:rPr>
                <w:rFonts w:ascii="Times New Roman" w:hAnsi="Times New Roman" w:cs="Times New Roman"/>
                <w:color w:val="auto"/>
                <w:lang w:val="en-US"/>
              </w:rPr>
            </w:pPr>
            <w:r w:rsidRPr="00B82960">
              <w:rPr>
                <w:rFonts w:ascii="Times New Roman" w:hAnsi="Times New Roman" w:cs="Times New Roman"/>
                <w:color w:val="auto"/>
                <w:lang w:val="en-US"/>
              </w:rPr>
              <w:t>Crawling Peg</w:t>
            </w:r>
          </w:p>
        </w:tc>
        <w:tc>
          <w:tcPr>
            <w:tcW w:w="2841" w:type="dxa"/>
            <w:shd w:val="clear" w:color="auto" w:fill="FFFFFF" w:themeFill="background1"/>
          </w:tcPr>
          <w:p w:rsidR="00B82960" w:rsidRPr="00B82960" w:rsidRDefault="00B82960" w:rsidP="00B82960">
            <w:pPr>
              <w:jc w:val="center"/>
              <w:cnfStyle w:val="000000000000"/>
              <w:rPr>
                <w:rFonts w:ascii="Times New Roman" w:hAnsi="Times New Roman" w:cs="Times New Roman"/>
                <w:color w:val="auto"/>
                <w:lang w:val="en-US"/>
              </w:rPr>
            </w:pPr>
            <w:r w:rsidRPr="00B82960">
              <w:rPr>
                <w:rFonts w:ascii="Times New Roman" w:hAnsi="Times New Roman" w:cs="Times New Roman"/>
                <w:color w:val="auto"/>
                <w:lang w:val="en-US"/>
              </w:rPr>
              <w:t>Pure Float</w:t>
            </w:r>
          </w:p>
        </w:tc>
      </w:tr>
      <w:tr w:rsidR="00B82960" w:rsidRPr="00B82960" w:rsidTr="00B82960">
        <w:trPr>
          <w:cnfStyle w:val="000000100000"/>
        </w:trPr>
        <w:tc>
          <w:tcPr>
            <w:cnfStyle w:val="001000000000"/>
            <w:tcW w:w="2840" w:type="dxa"/>
            <w:tcBorders>
              <w:left w:val="none" w:sz="0" w:space="0" w:color="auto"/>
              <w:right w:val="none" w:sz="0" w:space="0" w:color="auto"/>
            </w:tcBorders>
            <w:shd w:val="clear" w:color="auto" w:fill="FFFFFF" w:themeFill="background1"/>
          </w:tcPr>
          <w:p w:rsidR="00B82960" w:rsidRPr="00B82960" w:rsidRDefault="00B82960" w:rsidP="00B82960">
            <w:pPr>
              <w:jc w:val="center"/>
              <w:rPr>
                <w:rFonts w:ascii="Times New Roman" w:hAnsi="Times New Roman" w:cs="Times New Roman"/>
                <w:b w:val="0"/>
                <w:color w:val="auto"/>
                <w:lang w:val="en-US"/>
              </w:rPr>
            </w:pPr>
            <w:r w:rsidRPr="00B82960">
              <w:rPr>
                <w:rFonts w:ascii="Times New Roman" w:hAnsi="Times New Roman" w:cs="Times New Roman"/>
                <w:b w:val="0"/>
                <w:color w:val="auto"/>
                <w:lang w:val="en-US"/>
              </w:rPr>
              <w:t>Currency Board</w:t>
            </w:r>
          </w:p>
        </w:tc>
        <w:tc>
          <w:tcPr>
            <w:tcW w:w="2841" w:type="dxa"/>
            <w:tcBorders>
              <w:left w:val="none" w:sz="0" w:space="0" w:color="auto"/>
              <w:right w:val="none" w:sz="0" w:space="0" w:color="auto"/>
            </w:tcBorders>
            <w:shd w:val="clear" w:color="auto" w:fill="FFFFFF" w:themeFill="background1"/>
          </w:tcPr>
          <w:p w:rsidR="00B82960" w:rsidRPr="00B82960" w:rsidRDefault="00B82960" w:rsidP="00B82960">
            <w:pPr>
              <w:jc w:val="center"/>
              <w:cnfStyle w:val="000000100000"/>
              <w:rPr>
                <w:rFonts w:ascii="Times New Roman" w:hAnsi="Times New Roman" w:cs="Times New Roman"/>
                <w:color w:val="auto"/>
                <w:lang w:val="en-US"/>
              </w:rPr>
            </w:pPr>
            <w:r w:rsidRPr="00B82960">
              <w:rPr>
                <w:rFonts w:ascii="Times New Roman" w:hAnsi="Times New Roman" w:cs="Times New Roman"/>
                <w:color w:val="auto"/>
                <w:lang w:val="en-US"/>
              </w:rPr>
              <w:t>Basket Peg</w:t>
            </w:r>
          </w:p>
        </w:tc>
        <w:tc>
          <w:tcPr>
            <w:tcW w:w="2841" w:type="dxa"/>
            <w:tcBorders>
              <w:left w:val="none" w:sz="0" w:space="0" w:color="auto"/>
              <w:right w:val="none" w:sz="0" w:space="0" w:color="auto"/>
            </w:tcBorders>
            <w:shd w:val="clear" w:color="auto" w:fill="FFFFFF" w:themeFill="background1"/>
          </w:tcPr>
          <w:p w:rsidR="00B82960" w:rsidRPr="00B82960" w:rsidRDefault="00B82960" w:rsidP="00B82960">
            <w:pPr>
              <w:jc w:val="center"/>
              <w:cnfStyle w:val="000000100000"/>
              <w:rPr>
                <w:rFonts w:ascii="Times New Roman" w:hAnsi="Times New Roman" w:cs="Times New Roman"/>
                <w:color w:val="auto"/>
              </w:rPr>
            </w:pPr>
          </w:p>
        </w:tc>
      </w:tr>
      <w:tr w:rsidR="00B82960" w:rsidRPr="00B82960" w:rsidTr="00B82960">
        <w:tc>
          <w:tcPr>
            <w:cnfStyle w:val="001000000000"/>
            <w:tcW w:w="2840" w:type="dxa"/>
            <w:shd w:val="clear" w:color="auto" w:fill="FFFFFF" w:themeFill="background1"/>
          </w:tcPr>
          <w:p w:rsidR="00B82960" w:rsidRPr="00B82960" w:rsidRDefault="00B82960" w:rsidP="00B82960">
            <w:pPr>
              <w:jc w:val="center"/>
              <w:rPr>
                <w:rFonts w:ascii="Times New Roman" w:hAnsi="Times New Roman" w:cs="Times New Roman"/>
                <w:b w:val="0"/>
                <w:color w:val="auto"/>
                <w:lang w:val="en-US"/>
              </w:rPr>
            </w:pPr>
            <w:r w:rsidRPr="00B82960">
              <w:rPr>
                <w:rFonts w:ascii="Times New Roman" w:hAnsi="Times New Roman" w:cs="Times New Roman"/>
                <w:b w:val="0"/>
                <w:color w:val="auto"/>
                <w:lang w:val="en-US"/>
              </w:rPr>
              <w:t>Truly Fixed</w:t>
            </w:r>
          </w:p>
        </w:tc>
        <w:tc>
          <w:tcPr>
            <w:tcW w:w="2841" w:type="dxa"/>
            <w:shd w:val="clear" w:color="auto" w:fill="FFFFFF" w:themeFill="background1"/>
          </w:tcPr>
          <w:p w:rsidR="00B82960" w:rsidRPr="00B82960" w:rsidRDefault="00B82960" w:rsidP="00B82960">
            <w:pPr>
              <w:jc w:val="center"/>
              <w:cnfStyle w:val="000000000000"/>
              <w:rPr>
                <w:rFonts w:ascii="Times New Roman" w:hAnsi="Times New Roman" w:cs="Times New Roman"/>
                <w:color w:val="auto"/>
                <w:lang w:val="en-US"/>
              </w:rPr>
            </w:pPr>
            <w:r w:rsidRPr="00B82960">
              <w:rPr>
                <w:rFonts w:ascii="Times New Roman" w:hAnsi="Times New Roman" w:cs="Times New Roman"/>
                <w:color w:val="auto"/>
                <w:lang w:val="en-US"/>
              </w:rPr>
              <w:t>Target Zone</w:t>
            </w:r>
          </w:p>
        </w:tc>
        <w:tc>
          <w:tcPr>
            <w:tcW w:w="2841" w:type="dxa"/>
            <w:shd w:val="clear" w:color="auto" w:fill="FFFFFF" w:themeFill="background1"/>
          </w:tcPr>
          <w:p w:rsidR="00B82960" w:rsidRPr="00B82960" w:rsidRDefault="00B82960" w:rsidP="00B82960">
            <w:pPr>
              <w:jc w:val="center"/>
              <w:cnfStyle w:val="000000000000"/>
              <w:rPr>
                <w:rFonts w:ascii="Times New Roman" w:hAnsi="Times New Roman" w:cs="Times New Roman"/>
                <w:color w:val="auto"/>
              </w:rPr>
            </w:pPr>
          </w:p>
        </w:tc>
      </w:tr>
    </w:tbl>
    <w:p w:rsidR="008270FF" w:rsidRDefault="008270FF" w:rsidP="008270FF">
      <w:pPr>
        <w:spacing w:line="360" w:lineRule="auto"/>
        <w:ind w:firstLine="720"/>
        <w:jc w:val="both"/>
        <w:outlineLvl w:val="1"/>
        <w:rPr>
          <w:rFonts w:eastAsiaTheme="minorHAnsi"/>
          <w:lang w:eastAsia="en-US"/>
        </w:rPr>
      </w:pPr>
    </w:p>
    <w:p w:rsidR="008270FF" w:rsidRPr="00F95936" w:rsidRDefault="0053325C" w:rsidP="00F95936">
      <w:pPr>
        <w:spacing w:line="360" w:lineRule="auto"/>
        <w:ind w:firstLine="720"/>
        <w:jc w:val="both"/>
      </w:pPr>
      <w:r w:rsidRPr="00F95936">
        <w:t>Ξεκινώντας από τα συστήματα σταθερών ισοτιμιών η λεγόμενη</w:t>
      </w:r>
      <w:r w:rsidR="00B82960" w:rsidRPr="00F95936">
        <w:t xml:space="preserve"> </w:t>
      </w:r>
      <w:r w:rsidR="005163ED">
        <w:t>«</w:t>
      </w:r>
      <w:r w:rsidR="001C608D" w:rsidRPr="00F95936">
        <w:rPr>
          <w:i/>
        </w:rPr>
        <w:t>Ν</w:t>
      </w:r>
      <w:r w:rsidR="00B82960" w:rsidRPr="00F95936">
        <w:rPr>
          <w:i/>
        </w:rPr>
        <w:t xml:space="preserve">ομισματική </w:t>
      </w:r>
      <w:r w:rsidR="001C608D" w:rsidRPr="00F95936">
        <w:rPr>
          <w:i/>
        </w:rPr>
        <w:t>Έ</w:t>
      </w:r>
      <w:r w:rsidR="00B82960" w:rsidRPr="00F95936">
        <w:rPr>
          <w:i/>
        </w:rPr>
        <w:t>νωση</w:t>
      </w:r>
      <w:r w:rsidR="005163ED">
        <w:rPr>
          <w:i/>
        </w:rPr>
        <w:t>»</w:t>
      </w:r>
      <w:r w:rsidRPr="00F95936">
        <w:rPr>
          <w:i/>
        </w:rPr>
        <w:t xml:space="preserve"> (</w:t>
      </w:r>
      <w:r w:rsidRPr="00F95936">
        <w:rPr>
          <w:i/>
          <w:lang w:val="en-US"/>
        </w:rPr>
        <w:t>Monetary</w:t>
      </w:r>
      <w:r w:rsidRPr="00F95936">
        <w:rPr>
          <w:i/>
        </w:rPr>
        <w:t xml:space="preserve"> </w:t>
      </w:r>
      <w:r w:rsidRPr="00F95936">
        <w:rPr>
          <w:i/>
          <w:lang w:val="en-US"/>
        </w:rPr>
        <w:t>Union</w:t>
      </w:r>
      <w:r w:rsidRPr="00F95936">
        <w:rPr>
          <w:i/>
        </w:rPr>
        <w:t>)</w:t>
      </w:r>
      <w:r w:rsidR="00B82960" w:rsidRPr="00F95936">
        <w:rPr>
          <w:i/>
        </w:rPr>
        <w:t xml:space="preserve"> </w:t>
      </w:r>
      <w:r w:rsidR="00B82960" w:rsidRPr="00F95936">
        <w:t xml:space="preserve">αποτελείται από δυο </w:t>
      </w:r>
      <w:r w:rsidRPr="00F95936">
        <w:t>ή</w:t>
      </w:r>
      <w:r w:rsidR="00B82960" w:rsidRPr="00F95936">
        <w:t xml:space="preserve"> περισσότερες χώρες οι οποίες έχουν ένα ενιαίο νόμισμα. </w:t>
      </w:r>
      <w:r w:rsidRPr="00F95936">
        <w:t xml:space="preserve">Η άσκηση της κοινής νομισματικής πολιτικής γίνεται από την κεντρική τράπεζα της ένωσης με βάση την συνολική </w:t>
      </w:r>
      <w:proofErr w:type="spellStart"/>
      <w:r w:rsidRPr="00F95936">
        <w:t>είκονα</w:t>
      </w:r>
      <w:proofErr w:type="spellEnd"/>
      <w:r w:rsidRPr="00F95936">
        <w:t xml:space="preserve"> της οικονομίας της ένωσης και όχι με</w:t>
      </w:r>
      <w:r w:rsidR="005163ED">
        <w:t xml:space="preserve"> </w:t>
      </w:r>
      <w:r w:rsidRPr="00F95936">
        <w:t xml:space="preserve">βάση τα επιμέρους θέματα κάθε οικονομίας. Αυτό είναι και ένα από τα βασικά μειονεκτήματα αυτού του συστήματος ιδιαίτερα όταν οι επιχειρηματικοί κύκλοι των χωρών μελών της Ένωσης δεν είναι συγχρονισμένοι. </w:t>
      </w:r>
      <w:r w:rsidR="005163ED">
        <w:t>Στην περίπτωση μη συγχρονισμού του επιχειρηματικού κύκλου</w:t>
      </w:r>
      <w:r w:rsidR="00C310DD">
        <w:t xml:space="preserve"> κάποια χώρα</w:t>
      </w:r>
      <w:r w:rsidRPr="00F95936">
        <w:t xml:space="preserve"> απαιτεί επιπλέον ρευστό</w:t>
      </w:r>
      <w:r w:rsidR="005163ED">
        <w:t>τ</w:t>
      </w:r>
      <w:r w:rsidRPr="00F95936">
        <w:t>ητα</w:t>
      </w:r>
      <w:r w:rsidR="00C310DD" w:rsidRPr="00C310DD">
        <w:t>,</w:t>
      </w:r>
      <w:r w:rsidR="00C310DD">
        <w:t xml:space="preserve"> </w:t>
      </w:r>
      <w:proofErr w:type="spellStart"/>
      <w:r w:rsidR="00C310DD">
        <w:t>ένω</w:t>
      </w:r>
      <w:proofErr w:type="spellEnd"/>
      <w:r w:rsidR="00C310DD">
        <w:t xml:space="preserve"> κάποια άλλη</w:t>
      </w:r>
      <w:r w:rsidRPr="00F95936">
        <w:t xml:space="preserve"> φοβάται την διάχυση πληθωριστικών πιέσεων. Από την άλλη το σημαντικότ</w:t>
      </w:r>
      <w:r w:rsidR="005163ED">
        <w:t>ε</w:t>
      </w:r>
      <w:r w:rsidRPr="00F95936">
        <w:t xml:space="preserve">ρο πλεονέκτημα της </w:t>
      </w:r>
      <w:r w:rsidR="00C310DD">
        <w:t>Ν</w:t>
      </w:r>
      <w:r w:rsidRPr="00F95936">
        <w:t xml:space="preserve">ομισματικής </w:t>
      </w:r>
      <w:r w:rsidR="00C310DD">
        <w:t>Έ</w:t>
      </w:r>
      <w:r w:rsidRPr="00F95936">
        <w:t xml:space="preserve">νωσης είναι </w:t>
      </w:r>
      <w:r w:rsidR="00C310DD">
        <w:t xml:space="preserve">ότι το κοινό νόμισμα δημιουργεί ένα περιβάλλον σταθερότητας μεταξύ των χωρών. Έτσι διευκολύνεται </w:t>
      </w:r>
      <w:r w:rsidR="008270FF" w:rsidRPr="00F95936">
        <w:t xml:space="preserve">η μεγάλη ανάπτυξη του εμπορίου μεταξύ </w:t>
      </w:r>
      <w:r w:rsidR="00B82960" w:rsidRPr="00F95936">
        <w:t>των χωρών-μελών</w:t>
      </w:r>
      <w:r w:rsidR="008270FF" w:rsidRPr="00F95936">
        <w:t xml:space="preserve"> η οποία αποτελεί θεμελιώδη λίθο </w:t>
      </w:r>
      <w:r w:rsidR="00B82960" w:rsidRPr="00F95936">
        <w:t xml:space="preserve">στην οικονομική ανάπτυξη. </w:t>
      </w:r>
      <w:r w:rsidR="008270FF" w:rsidRPr="00F95936">
        <w:t>Αυτό το σύστημα θεωρείται το πιο σταθερό μια και δεν είναι εύκολη η διάλυση μιας νομισματικής ένωσης.</w:t>
      </w:r>
    </w:p>
    <w:p w:rsidR="008270FF" w:rsidRPr="00F95936" w:rsidRDefault="008270FF" w:rsidP="00F95936">
      <w:pPr>
        <w:spacing w:line="360" w:lineRule="auto"/>
        <w:ind w:firstLine="720"/>
        <w:jc w:val="both"/>
      </w:pPr>
      <w:r w:rsidRPr="00F95936">
        <w:t>Στο λεγόμενο «</w:t>
      </w:r>
      <w:proofErr w:type="spellStart"/>
      <w:r w:rsidRPr="00F95936">
        <w:rPr>
          <w:i/>
        </w:rPr>
        <w:t>Dollarization</w:t>
      </w:r>
      <w:proofErr w:type="spellEnd"/>
      <w:r w:rsidRPr="00F95936">
        <w:t xml:space="preserve">» </w:t>
      </w:r>
      <w:r w:rsidR="00B82960" w:rsidRPr="00F95936">
        <w:t xml:space="preserve">σύστημα, μία χώρα υιοθετεί επισήμως ή ανεπισήμως το νόμισμα μιας άλλης χώρας, συνήθως μεγάλης όπως πχ το </w:t>
      </w:r>
      <w:r w:rsidR="00C310DD">
        <w:t>δολάριο ή το ε</w:t>
      </w:r>
      <w:r w:rsidR="00B82960" w:rsidRPr="00F95936">
        <w:t>υρώ.</w:t>
      </w:r>
      <w:r w:rsidRPr="00F95936">
        <w:t xml:space="preserve"> Ενώ </w:t>
      </w:r>
      <w:proofErr w:type="spellStart"/>
      <w:r w:rsidRPr="00F95936">
        <w:t>σην</w:t>
      </w:r>
      <w:proofErr w:type="spellEnd"/>
      <w:r w:rsidRPr="00F95936">
        <w:t xml:space="preserve"> νομισματική ένωση η νομισματική πολιτική ασκείται με </w:t>
      </w:r>
      <w:r w:rsidR="00B82960" w:rsidRPr="00F95936">
        <w:t xml:space="preserve">βάση τις συνθήκες σε όλες τις χώρες-μέλη, </w:t>
      </w:r>
      <w:r w:rsidRPr="00F95936">
        <w:t>εδώ</w:t>
      </w:r>
      <w:r w:rsidR="00B82960" w:rsidRPr="00F95936">
        <w:t xml:space="preserve"> ασκείται με βάση τις συνθήκες της χώρας που εκδίδει το νόμισμα που χρησιμοποιείται. Με αποτέλεσμα η υιοθετούσα χώρα να ακολουθεί την νομισματική πολιτική της εκδίδουσας. </w:t>
      </w:r>
      <w:r w:rsidR="00C310DD">
        <w:t>Πολλές φορές αυτό συμβαίνει</w:t>
      </w:r>
      <w:r w:rsidRPr="00F95936">
        <w:t xml:space="preserve"> από χώρες που θέλουν να τιθασεύσουν τον πληθωρισμό</w:t>
      </w:r>
      <w:r w:rsidR="00C310DD">
        <w:t xml:space="preserve"> τους και δένονται με ένα </w:t>
      </w:r>
      <w:r w:rsidR="00C310DD">
        <w:lastRenderedPageBreak/>
        <w:t>νόμισ</w:t>
      </w:r>
      <w:r w:rsidRPr="00F95936">
        <w:t>μ</w:t>
      </w:r>
      <w:r w:rsidR="00C310DD">
        <w:t>α</w:t>
      </w:r>
      <w:r w:rsidRPr="00F95936">
        <w:t xml:space="preserve"> χαμηλού πληθωρισμού δημιουργώντας μια δέσμε</w:t>
      </w:r>
      <w:r w:rsidR="00C310DD">
        <w:t>υση πειθαρχ</w:t>
      </w:r>
      <w:r w:rsidRPr="00F95936">
        <w:t>ίας στην δημοσιονομική τους διαχείριση. Η διάλυση αυτού του συστήματος γίνεται πολύ πιο εύκολα από ότι στην Νομισματική Ένωση γεγονός που κάνει το σύστημα πιο ευμετάβλητο.</w:t>
      </w:r>
      <w:r w:rsidR="00493B87" w:rsidRPr="00F95936">
        <w:t xml:space="preserve"> Επίσης η χώρα χάνει εισόδημα  από το εκδοτικό προνόμιο.</w:t>
      </w:r>
    </w:p>
    <w:p w:rsidR="00493B87" w:rsidRPr="00F95936" w:rsidRDefault="00B82960" w:rsidP="00493B87">
      <w:pPr>
        <w:spacing w:line="360" w:lineRule="auto"/>
        <w:ind w:firstLine="720"/>
        <w:jc w:val="both"/>
      </w:pPr>
      <w:r w:rsidRPr="00F95936">
        <w:t xml:space="preserve">Τα βασικά χαρακτηριστικά </w:t>
      </w:r>
      <w:r w:rsidR="001C608D" w:rsidRPr="00F95936">
        <w:t xml:space="preserve">του </w:t>
      </w:r>
      <w:r w:rsidR="00C310DD">
        <w:t>«</w:t>
      </w:r>
      <w:r w:rsidR="001C608D" w:rsidRPr="00F95936">
        <w:rPr>
          <w:i/>
          <w:lang w:val="en-US"/>
        </w:rPr>
        <w:t>Currency</w:t>
      </w:r>
      <w:r w:rsidR="001C608D" w:rsidRPr="00F95936">
        <w:rPr>
          <w:i/>
        </w:rPr>
        <w:t xml:space="preserve"> </w:t>
      </w:r>
      <w:r w:rsidR="001C608D" w:rsidRPr="00F95936">
        <w:rPr>
          <w:i/>
          <w:lang w:val="en-US"/>
        </w:rPr>
        <w:t>Board</w:t>
      </w:r>
      <w:r w:rsidR="00C310DD">
        <w:rPr>
          <w:i/>
        </w:rPr>
        <w:t>»</w:t>
      </w:r>
      <w:r w:rsidR="001C608D" w:rsidRPr="00F95936">
        <w:t xml:space="preserve"> </w:t>
      </w:r>
      <w:r w:rsidRPr="00F95936">
        <w:t>συστήματος είναι</w:t>
      </w:r>
      <w:r w:rsidR="00493B87" w:rsidRPr="00F95936">
        <w:t xml:space="preserve"> ότι ορίζεται στην νομοθεσία μια σταθερή ισοτιμία του νομίσματος</w:t>
      </w:r>
      <w:r w:rsidRPr="00F95936">
        <w:t xml:space="preserve"> με κάποιο ισχυρό νόμισμα </w:t>
      </w:r>
      <w:r w:rsidR="00493B87" w:rsidRPr="00F95936">
        <w:t>και η</w:t>
      </w:r>
      <w:r w:rsidRPr="00F95936">
        <w:t xml:space="preserve"> ελεύθερη μετατροπή του εγχώριου στο ξένο νόμισμα</w:t>
      </w:r>
      <w:r w:rsidR="00493B87" w:rsidRPr="00F95936">
        <w:t xml:space="preserve">. Ενώ τέλος </w:t>
      </w:r>
      <w:r w:rsidRPr="00F95936">
        <w:t>η κεντρική τράπεζα δεν μπορεί</w:t>
      </w:r>
      <w:r w:rsidR="001C608D" w:rsidRPr="00F95936">
        <w:t>,</w:t>
      </w:r>
      <w:r w:rsidRPr="00F95936">
        <w:t xml:space="preserve"> </w:t>
      </w:r>
      <w:r w:rsidR="001C608D" w:rsidRPr="00F95936">
        <w:t xml:space="preserve">με θεσμική δέσμευση, </w:t>
      </w:r>
      <w:r w:rsidRPr="00F95936">
        <w:t>να δημιουργήσει</w:t>
      </w:r>
      <w:r w:rsidR="00493B87" w:rsidRPr="00F95936">
        <w:t xml:space="preserve"> </w:t>
      </w:r>
      <w:r w:rsidRPr="00F95936">
        <w:t>εγχώριο χρήμα</w:t>
      </w:r>
      <w:r w:rsidR="00493B87" w:rsidRPr="00F95936">
        <w:t>.</w:t>
      </w:r>
      <w:r w:rsidRPr="00F95936">
        <w:t xml:space="preserve"> </w:t>
      </w:r>
      <w:r w:rsidR="00493B87" w:rsidRPr="00F95936">
        <w:t>Στο</w:t>
      </w:r>
      <w:r w:rsidRPr="00F95936">
        <w:t xml:space="preserve"> </w:t>
      </w:r>
      <w:r w:rsidRPr="00F95936">
        <w:rPr>
          <w:lang w:val="en-US"/>
        </w:rPr>
        <w:t>Currency</w:t>
      </w:r>
      <w:r w:rsidRPr="00F95936">
        <w:t xml:space="preserve"> </w:t>
      </w:r>
      <w:r w:rsidRPr="00F95936">
        <w:rPr>
          <w:lang w:val="en-US"/>
        </w:rPr>
        <w:t>Board</w:t>
      </w:r>
      <w:r w:rsidR="00493B87" w:rsidRPr="00F95936">
        <w:t xml:space="preserve"> σύστημα</w:t>
      </w:r>
      <w:r w:rsidRPr="00F95936">
        <w:t xml:space="preserve"> η κεντρική τράπεζα δεν έχει την δυνατότητα να παράσχει ρευστότητα στις τράπεζες της χώρας</w:t>
      </w:r>
      <w:r w:rsidR="00493B87" w:rsidRPr="00F95936">
        <w:t xml:space="preserve"> γιατί καλύπτει την νομισματική βάση με συναλλαγματικά αποθέματα</w:t>
      </w:r>
      <w:r w:rsidRPr="00F95936">
        <w:t xml:space="preserve">. </w:t>
      </w:r>
      <w:r w:rsidR="00493B87" w:rsidRPr="00F95936">
        <w:t xml:space="preserve">Βασικά πλεονεκτήματα έναντι του </w:t>
      </w:r>
      <w:r w:rsidR="00493B87" w:rsidRPr="00F95936">
        <w:rPr>
          <w:lang w:val="en-US"/>
        </w:rPr>
        <w:t>Dollarization</w:t>
      </w:r>
      <w:r w:rsidRPr="00F95936">
        <w:t xml:space="preserve"> η χώρα έχει το δικό της νόμισμα και δεν χάνει το εισόδημα από το εκ</w:t>
      </w:r>
      <w:r w:rsidR="00493B87" w:rsidRPr="00F95936">
        <w:t xml:space="preserve">δοτικό προνόμιο. </w:t>
      </w:r>
    </w:p>
    <w:p w:rsidR="00B82960" w:rsidRPr="00F95936" w:rsidRDefault="00493B87" w:rsidP="00493B87">
      <w:pPr>
        <w:spacing w:line="360" w:lineRule="auto"/>
        <w:ind w:firstLine="720"/>
        <w:jc w:val="both"/>
      </w:pPr>
      <w:r w:rsidRPr="00F95936">
        <w:t xml:space="preserve">Ένα λιγότερο σταθερό νομισματικό σύστημα σε σχέση με το </w:t>
      </w:r>
      <w:r w:rsidRPr="00F95936">
        <w:rPr>
          <w:lang w:val="en-US"/>
        </w:rPr>
        <w:t>Currency</w:t>
      </w:r>
      <w:r w:rsidRPr="00F95936">
        <w:t xml:space="preserve"> </w:t>
      </w:r>
      <w:r w:rsidRPr="00F95936">
        <w:rPr>
          <w:lang w:val="en-US"/>
        </w:rPr>
        <w:t>Board</w:t>
      </w:r>
      <w:r w:rsidRPr="00F95936">
        <w:t xml:space="preserve"> σύστημα</w:t>
      </w:r>
      <w:r w:rsidRPr="00F95936">
        <w:rPr>
          <w:i/>
        </w:rPr>
        <w:t xml:space="preserve"> </w:t>
      </w:r>
      <w:r w:rsidRPr="00F95936">
        <w:t>είν</w:t>
      </w:r>
      <w:r w:rsidR="001C608D" w:rsidRPr="00F95936">
        <w:t>α</w:t>
      </w:r>
      <w:r w:rsidRPr="00F95936">
        <w:t xml:space="preserve">ι το λεγόμενο </w:t>
      </w:r>
      <w:proofErr w:type="spellStart"/>
      <w:r w:rsidRPr="00F95936">
        <w:rPr>
          <w:i/>
        </w:rPr>
        <w:t>Truly</w:t>
      </w:r>
      <w:proofErr w:type="spellEnd"/>
      <w:r w:rsidRPr="00F95936">
        <w:rPr>
          <w:i/>
        </w:rPr>
        <w:t xml:space="preserve"> </w:t>
      </w:r>
      <w:proofErr w:type="spellStart"/>
      <w:r w:rsidRPr="00F95936">
        <w:rPr>
          <w:i/>
        </w:rPr>
        <w:t>Fixed</w:t>
      </w:r>
      <w:proofErr w:type="spellEnd"/>
      <w:r w:rsidRPr="00F95936">
        <w:rPr>
          <w:i/>
        </w:rPr>
        <w:t xml:space="preserve"> Exchange </w:t>
      </w:r>
      <w:proofErr w:type="spellStart"/>
      <w:r w:rsidRPr="00F95936">
        <w:rPr>
          <w:i/>
        </w:rPr>
        <w:t>Rate</w:t>
      </w:r>
      <w:proofErr w:type="spellEnd"/>
      <w:r w:rsidRPr="00F95936">
        <w:t xml:space="preserve"> σύστημα. Η κεντρική τράπεζα ανακοινώνει σταθερή ισοτιμία έναντι κάποιου άλλου νομίσματος αλλά η διατήρηση ή μη εξαρτάται από το κατά πόσο το κόστος αθέτησης είναι μικρότερο από το όφελος αυτής της δέσμευσης.</w:t>
      </w:r>
    </w:p>
    <w:p w:rsidR="007B4DC0" w:rsidRPr="00F95936" w:rsidRDefault="00493B87" w:rsidP="001C608D">
      <w:pPr>
        <w:spacing w:line="360" w:lineRule="auto"/>
        <w:ind w:firstLine="720"/>
        <w:jc w:val="both"/>
        <w:rPr>
          <w:rFonts w:eastAsiaTheme="minorHAnsi"/>
          <w:lang w:eastAsia="en-US"/>
        </w:rPr>
      </w:pPr>
      <w:r w:rsidRPr="00F95936">
        <w:t xml:space="preserve">Από τα ενδιάμεσα συστήματα </w:t>
      </w:r>
      <w:r w:rsidR="007B4DC0" w:rsidRPr="00F95936">
        <w:t xml:space="preserve">στο λεγόμενο </w:t>
      </w:r>
      <w:r w:rsidR="00C310DD">
        <w:t>«</w:t>
      </w:r>
      <w:r w:rsidRPr="00F95936">
        <w:rPr>
          <w:rFonts w:eastAsiaTheme="minorHAnsi"/>
          <w:i/>
          <w:lang w:val="en-US" w:eastAsia="en-US"/>
        </w:rPr>
        <w:t>Adjustable</w:t>
      </w:r>
      <w:r w:rsidRPr="00F95936">
        <w:rPr>
          <w:rFonts w:eastAsiaTheme="minorHAnsi"/>
          <w:i/>
          <w:lang w:eastAsia="en-US"/>
        </w:rPr>
        <w:t xml:space="preserve"> </w:t>
      </w:r>
      <w:r w:rsidRPr="00F95936">
        <w:rPr>
          <w:rFonts w:eastAsiaTheme="minorHAnsi"/>
          <w:i/>
          <w:lang w:val="en-US" w:eastAsia="en-US"/>
        </w:rPr>
        <w:t>Peg</w:t>
      </w:r>
      <w:r w:rsidR="00C310DD">
        <w:rPr>
          <w:rFonts w:eastAsiaTheme="minorHAnsi"/>
          <w:i/>
          <w:lang w:eastAsia="en-US"/>
        </w:rPr>
        <w:t>»</w:t>
      </w:r>
      <w:r w:rsidRPr="00F95936">
        <w:rPr>
          <w:rFonts w:eastAsiaTheme="minorHAnsi"/>
          <w:i/>
          <w:lang w:eastAsia="en-US"/>
        </w:rPr>
        <w:t xml:space="preserve"> (Ρυθμιζόμενη Ισοτιμία)</w:t>
      </w:r>
      <w:r w:rsidR="007B4DC0" w:rsidRPr="00F95936">
        <w:rPr>
          <w:rFonts w:eastAsiaTheme="minorHAnsi"/>
          <w:lang w:eastAsia="en-US"/>
        </w:rPr>
        <w:t xml:space="preserve"> οι αρχές ανακοινώνουν μια σταθερή ισοτιμία γύρω από κάποια όρια και </w:t>
      </w:r>
      <w:proofErr w:type="spellStart"/>
      <w:r w:rsidR="007B4DC0" w:rsidRPr="00F95936">
        <w:rPr>
          <w:rFonts w:eastAsiaTheme="minorHAnsi"/>
          <w:lang w:eastAsia="en-US"/>
        </w:rPr>
        <w:t>δεσμέυονται</w:t>
      </w:r>
      <w:proofErr w:type="spellEnd"/>
      <w:r w:rsidR="007B4DC0" w:rsidRPr="00F95936">
        <w:rPr>
          <w:rFonts w:eastAsiaTheme="minorHAnsi"/>
          <w:lang w:eastAsia="en-US"/>
        </w:rPr>
        <w:t xml:space="preserve"> να την υποστηρίξουν. Όμως αν ακραίες συνθήκες το απαιτούν επιτρέπεται η μεταβολή της </w:t>
      </w:r>
      <w:proofErr w:type="spellStart"/>
      <w:r w:rsidR="007B4DC0" w:rsidRPr="00F95936">
        <w:rPr>
          <w:rFonts w:eastAsiaTheme="minorHAnsi"/>
          <w:lang w:eastAsia="en-US"/>
        </w:rPr>
        <w:t>σναλλαγματικής</w:t>
      </w:r>
      <w:proofErr w:type="spellEnd"/>
      <w:r w:rsidR="007B4DC0" w:rsidRPr="00F95936">
        <w:rPr>
          <w:rFonts w:eastAsiaTheme="minorHAnsi"/>
          <w:lang w:eastAsia="en-US"/>
        </w:rPr>
        <w:t xml:space="preserve"> ισοτιμίας. Ένα τέτοιο σύστημα μπορεί να χαρακτηριστεί το </w:t>
      </w:r>
      <w:r w:rsidR="007B4DC0" w:rsidRPr="00F95936">
        <w:rPr>
          <w:rFonts w:eastAsiaTheme="minorHAnsi"/>
          <w:lang w:val="en-GB" w:eastAsia="en-US"/>
        </w:rPr>
        <w:t>Breton</w:t>
      </w:r>
      <w:r w:rsidR="007B4DC0" w:rsidRPr="00F95936">
        <w:rPr>
          <w:rFonts w:eastAsiaTheme="minorHAnsi"/>
          <w:lang w:eastAsia="en-US"/>
        </w:rPr>
        <w:t xml:space="preserve"> </w:t>
      </w:r>
      <w:r w:rsidR="007B4DC0" w:rsidRPr="00F95936">
        <w:rPr>
          <w:rFonts w:eastAsiaTheme="minorHAnsi"/>
          <w:lang w:val="en-GB" w:eastAsia="en-US"/>
        </w:rPr>
        <w:t>Woods</w:t>
      </w:r>
      <w:r w:rsidR="00C310DD">
        <w:rPr>
          <w:rFonts w:eastAsiaTheme="minorHAnsi"/>
          <w:lang w:eastAsia="en-US"/>
        </w:rPr>
        <w:t>, που λειτούργησε</w:t>
      </w:r>
      <w:r w:rsidR="007B4DC0" w:rsidRPr="00F95936">
        <w:rPr>
          <w:rFonts w:eastAsiaTheme="minorHAnsi"/>
          <w:lang w:eastAsia="en-US"/>
        </w:rPr>
        <w:t xml:space="preserve"> από το</w:t>
      </w:r>
      <w:r w:rsidR="00C310DD">
        <w:rPr>
          <w:rFonts w:eastAsiaTheme="minorHAnsi"/>
          <w:lang w:eastAsia="en-US"/>
        </w:rPr>
        <w:t xml:space="preserve"> </w:t>
      </w:r>
      <w:r w:rsidR="007B4DC0" w:rsidRPr="00F95936">
        <w:rPr>
          <w:rFonts w:eastAsiaTheme="minorHAnsi"/>
          <w:lang w:eastAsia="en-US"/>
        </w:rPr>
        <w:t>1944 μέχρι το 1971,</w:t>
      </w:r>
      <w:r w:rsidR="00C310DD">
        <w:rPr>
          <w:rFonts w:eastAsiaTheme="minorHAnsi"/>
          <w:lang w:eastAsia="en-US"/>
        </w:rPr>
        <w:t xml:space="preserve"> και</w:t>
      </w:r>
      <w:r w:rsidR="007B4DC0" w:rsidRPr="00F95936">
        <w:rPr>
          <w:rFonts w:eastAsiaTheme="minorHAnsi"/>
          <w:lang w:eastAsia="en-US"/>
        </w:rPr>
        <w:t xml:space="preserve"> το οποίο ήταν ένα καθεστώς συναλλαγματικού κανόνα χρυσού στο οποίο τα κύρια αποθεματικά ήταν σε χρυσό και σε αμερικανικό δολάριο. Βοήθησε σημαντικά τις χώρες ανακτώντας μέρος της ανταγωνιστικότητα τους. Όμως οι οικονομολόγοι θέτουν γενικά τρία ερωτήματα για την επάρκεια των στοιχείων του αποθεματικού έτσι ώστε να στηρίζεται ένα νομισματικό καθεστώς. Πρώτον, υπάρχουν επαρκή αποθεματικά για ρευστότητα ή για χρηματοδοτικούς σκοπούς; Καθώς αυξάνεται η αλληλεξάρτηση, τόσο περισσότερη ρευστότητα χρειάζεται για να καλύψει τον όλο και μεγαλύτερο αριθμό οικονομικών συναλλαγών. Όμως ένα πλεόνασμα ρευστότητας μπορεί να προκαλέσει πληθωρισμό και άλλα προβλήματα. Δεύτερον, υπάρχει εμπιστοσύνη στα στοιχεία του αποθεματικού; Όταν οι χώρες δεν έχουν εμπιστοσύνη </w:t>
      </w:r>
      <w:r w:rsidR="007B4DC0" w:rsidRPr="00F95936">
        <w:rPr>
          <w:rFonts w:eastAsiaTheme="minorHAnsi"/>
          <w:lang w:eastAsia="en-US"/>
        </w:rPr>
        <w:lastRenderedPageBreak/>
        <w:t xml:space="preserve">ότι ένα περιουσιακό στοιχείο μπορεί </w:t>
      </w:r>
      <w:r w:rsidR="00C310DD">
        <w:rPr>
          <w:rFonts w:eastAsiaTheme="minorHAnsi"/>
          <w:lang w:eastAsia="en-US"/>
        </w:rPr>
        <w:t>ν</w:t>
      </w:r>
      <w:r w:rsidR="007B4DC0" w:rsidRPr="00F95936">
        <w:rPr>
          <w:rFonts w:eastAsiaTheme="minorHAnsi"/>
          <w:lang w:eastAsia="en-US"/>
        </w:rPr>
        <w:t>α διατηρήσει την αξία του, διστάζουν να το κρατούν στα αποθεματικά τους. Τα δύο πρώτα αποτέλεσαν σημαντικές αιτίες κατά</w:t>
      </w:r>
      <w:r w:rsidR="00C310DD">
        <w:rPr>
          <w:rFonts w:eastAsiaTheme="minorHAnsi"/>
          <w:lang w:eastAsia="en-US"/>
        </w:rPr>
        <w:t>ρ</w:t>
      </w:r>
      <w:r w:rsidR="007B4DC0" w:rsidRPr="00F95936">
        <w:rPr>
          <w:rFonts w:eastAsiaTheme="minorHAnsi"/>
          <w:lang w:eastAsia="en-US"/>
        </w:rPr>
        <w:t>ρευσ</w:t>
      </w:r>
      <w:r w:rsidR="00C310DD">
        <w:rPr>
          <w:rFonts w:eastAsiaTheme="minorHAnsi"/>
          <w:lang w:eastAsia="en-US"/>
        </w:rPr>
        <w:t>η</w:t>
      </w:r>
      <w:r w:rsidR="007B4DC0" w:rsidRPr="00F95936">
        <w:rPr>
          <w:rFonts w:eastAsiaTheme="minorHAnsi"/>
          <w:lang w:eastAsia="en-US"/>
        </w:rPr>
        <w:t xml:space="preserve">ς του </w:t>
      </w:r>
      <w:r w:rsidR="007B4DC0" w:rsidRPr="00F95936">
        <w:rPr>
          <w:rFonts w:eastAsiaTheme="minorHAnsi"/>
          <w:lang w:val="en-US" w:eastAsia="en-US"/>
        </w:rPr>
        <w:t>Breton</w:t>
      </w:r>
      <w:r w:rsidR="007B4DC0" w:rsidRPr="00F95936">
        <w:rPr>
          <w:rFonts w:eastAsiaTheme="minorHAnsi"/>
          <w:lang w:eastAsia="en-US"/>
        </w:rPr>
        <w:t xml:space="preserve"> </w:t>
      </w:r>
      <w:r w:rsidR="007B4DC0" w:rsidRPr="00F95936">
        <w:rPr>
          <w:rFonts w:eastAsiaTheme="minorHAnsi"/>
          <w:lang w:val="en-US" w:eastAsia="en-US"/>
        </w:rPr>
        <w:t>Woods</w:t>
      </w:r>
      <w:r w:rsidR="007B4DC0" w:rsidRPr="00F95936">
        <w:rPr>
          <w:rFonts w:eastAsiaTheme="minorHAnsi"/>
          <w:lang w:eastAsia="en-US"/>
        </w:rPr>
        <w:t xml:space="preserve">. </w:t>
      </w:r>
      <w:proofErr w:type="gramStart"/>
      <w:r w:rsidR="00CF2501" w:rsidRPr="00F95936">
        <w:rPr>
          <w:rFonts w:eastAsiaTheme="minorHAnsi"/>
          <w:lang w:val="en-US" w:eastAsia="en-US"/>
        </w:rPr>
        <w:t>T</w:t>
      </w:r>
      <w:proofErr w:type="spellStart"/>
      <w:r w:rsidR="007B4DC0" w:rsidRPr="00F95936">
        <w:rPr>
          <w:rFonts w:eastAsiaTheme="minorHAnsi"/>
          <w:lang w:eastAsia="en-US"/>
        </w:rPr>
        <w:t>ρίτον</w:t>
      </w:r>
      <w:proofErr w:type="spellEnd"/>
      <w:r w:rsidR="007B4DC0" w:rsidRPr="00F95936">
        <w:rPr>
          <w:rFonts w:eastAsiaTheme="minorHAnsi"/>
          <w:lang w:eastAsia="en-US"/>
        </w:rPr>
        <w:t>, τι επιλογές προσαρμογής έχουν οι χώρες για να αντιμετωπίσουν τα ελλείμματά του ισοζυγίου πληρωμών; Ένα αποτελεσματικό καθεστώς πρέπει να προσφέρει σε όλες τις χώρες με ελλείμματα επιλογές προσαρμογής (</w:t>
      </w:r>
      <w:r w:rsidR="007B4DC0" w:rsidRPr="00F95936">
        <w:rPr>
          <w:rFonts w:eastAsiaTheme="minorHAnsi"/>
          <w:lang w:val="en-GB" w:eastAsia="en-US"/>
        </w:rPr>
        <w:t>Cohn</w:t>
      </w:r>
      <w:r w:rsidR="007B4DC0" w:rsidRPr="00F95936">
        <w:rPr>
          <w:rFonts w:eastAsiaTheme="minorHAnsi"/>
          <w:lang w:eastAsia="en-US"/>
        </w:rPr>
        <w:t>, 2009).</w:t>
      </w:r>
      <w:proofErr w:type="gramEnd"/>
    </w:p>
    <w:p w:rsidR="00CF2501" w:rsidRPr="00F95936" w:rsidRDefault="00CF2501" w:rsidP="00CF2501">
      <w:pPr>
        <w:spacing w:line="360" w:lineRule="auto"/>
        <w:ind w:firstLine="720"/>
        <w:jc w:val="both"/>
        <w:rPr>
          <w:rFonts w:eastAsiaTheme="minorHAnsi"/>
          <w:lang w:eastAsia="en-US"/>
        </w:rPr>
      </w:pPr>
      <w:r w:rsidRPr="00F95936">
        <w:rPr>
          <w:rFonts w:eastAsiaTheme="minorHAnsi"/>
          <w:lang w:eastAsia="en-US"/>
        </w:rPr>
        <w:t xml:space="preserve">Το σύστημα </w:t>
      </w:r>
      <w:r w:rsidR="00C310DD">
        <w:rPr>
          <w:rFonts w:eastAsiaTheme="minorHAnsi"/>
          <w:lang w:eastAsia="en-US"/>
        </w:rPr>
        <w:t>«</w:t>
      </w:r>
      <w:r w:rsidR="00493B87" w:rsidRPr="00F95936">
        <w:rPr>
          <w:rFonts w:eastAsiaTheme="minorHAnsi"/>
          <w:i/>
          <w:lang w:val="en-US" w:eastAsia="en-US"/>
        </w:rPr>
        <w:t>Crawling</w:t>
      </w:r>
      <w:r w:rsidR="00493B87" w:rsidRPr="00F95936">
        <w:rPr>
          <w:rFonts w:eastAsiaTheme="minorHAnsi"/>
          <w:i/>
          <w:lang w:eastAsia="en-US"/>
        </w:rPr>
        <w:t xml:space="preserve"> </w:t>
      </w:r>
      <w:r w:rsidR="00493B87" w:rsidRPr="00F95936">
        <w:rPr>
          <w:rFonts w:eastAsiaTheme="minorHAnsi"/>
          <w:i/>
          <w:lang w:val="en-US" w:eastAsia="en-US"/>
        </w:rPr>
        <w:t>Peg</w:t>
      </w:r>
      <w:r w:rsidR="00C310DD">
        <w:rPr>
          <w:rFonts w:eastAsiaTheme="minorHAnsi"/>
          <w:i/>
          <w:lang w:eastAsia="en-US"/>
        </w:rPr>
        <w:t>»</w:t>
      </w:r>
      <w:r w:rsidR="00493B87" w:rsidRPr="00F95936">
        <w:rPr>
          <w:rFonts w:eastAsiaTheme="minorHAnsi"/>
          <w:i/>
          <w:lang w:eastAsia="en-US"/>
        </w:rPr>
        <w:t xml:space="preserve"> (Διολισθαίνουσα Ισοτιμία)</w:t>
      </w:r>
      <w:r w:rsidRPr="00F95936">
        <w:rPr>
          <w:rFonts w:eastAsiaTheme="minorHAnsi"/>
          <w:lang w:eastAsia="en-US"/>
        </w:rPr>
        <w:t xml:space="preserve"> επιτρέπει σε χώρες</w:t>
      </w:r>
      <w:r w:rsidRPr="00C310DD">
        <w:rPr>
          <w:rFonts w:eastAsiaTheme="minorHAnsi"/>
          <w:lang w:eastAsia="en-US"/>
        </w:rPr>
        <w:t xml:space="preserve"> </w:t>
      </w:r>
      <w:r w:rsidRPr="00F95936">
        <w:rPr>
          <w:rFonts w:eastAsiaTheme="minorHAnsi"/>
          <w:lang w:eastAsia="en-US"/>
        </w:rPr>
        <w:t xml:space="preserve">με υψηλό πληθωρισμό, μια σταθερή ονομαστική ισοτιμία </w:t>
      </w:r>
      <w:r w:rsidR="00C310DD">
        <w:rPr>
          <w:rFonts w:eastAsiaTheme="minorHAnsi"/>
          <w:lang w:eastAsia="en-US"/>
        </w:rPr>
        <w:t>που</w:t>
      </w:r>
      <w:r w:rsidRPr="00F95936">
        <w:rPr>
          <w:rFonts w:eastAsiaTheme="minorHAnsi"/>
          <w:lang w:eastAsia="en-US"/>
        </w:rPr>
        <w:t xml:space="preserve"> αναπροσαρμόζεται με μικρές υποτιμήσεις έτσι ώστε να αποφευχθεί μια μεγάλη υποτίμηση. Η αξιόπιστη ανακοίνωση των υποτιμήσεων εκ των προτέρων διαδραματίζει σημαντικό ρόλο για την επιτυχία του συστήματος.</w:t>
      </w:r>
    </w:p>
    <w:p w:rsidR="00CF2501" w:rsidRPr="00F95936" w:rsidRDefault="00493B87" w:rsidP="00CF2501">
      <w:pPr>
        <w:spacing w:line="360" w:lineRule="auto"/>
        <w:ind w:firstLine="720"/>
        <w:jc w:val="both"/>
        <w:rPr>
          <w:rFonts w:eastAsiaTheme="minorHAnsi"/>
          <w:lang w:eastAsia="en-US"/>
        </w:rPr>
      </w:pPr>
      <w:r w:rsidRPr="00F95936">
        <w:rPr>
          <w:rFonts w:eastAsiaTheme="minorHAnsi"/>
          <w:lang w:eastAsia="en-US"/>
        </w:rPr>
        <w:t xml:space="preserve"> Σ</w:t>
      </w:r>
      <w:r w:rsidR="00CF2501" w:rsidRPr="00F95936">
        <w:rPr>
          <w:rFonts w:eastAsiaTheme="minorHAnsi"/>
          <w:lang w:eastAsia="en-US"/>
        </w:rPr>
        <w:t xml:space="preserve">το </w:t>
      </w:r>
      <w:r w:rsidR="00C310DD">
        <w:rPr>
          <w:rFonts w:eastAsiaTheme="minorHAnsi"/>
          <w:lang w:eastAsia="en-US"/>
        </w:rPr>
        <w:t>«</w:t>
      </w:r>
      <w:r w:rsidR="00CF2501" w:rsidRPr="00F95936">
        <w:rPr>
          <w:rFonts w:eastAsiaTheme="minorHAnsi"/>
          <w:i/>
          <w:lang w:val="en-US" w:eastAsia="en-US"/>
        </w:rPr>
        <w:t>Basket</w:t>
      </w:r>
      <w:r w:rsidR="00CF2501" w:rsidRPr="00F95936">
        <w:rPr>
          <w:rFonts w:eastAsiaTheme="minorHAnsi"/>
          <w:i/>
          <w:lang w:eastAsia="en-US"/>
        </w:rPr>
        <w:t xml:space="preserve"> </w:t>
      </w:r>
      <w:r w:rsidR="00CF2501" w:rsidRPr="00F95936">
        <w:rPr>
          <w:rFonts w:eastAsiaTheme="minorHAnsi"/>
          <w:i/>
          <w:lang w:val="en-US" w:eastAsia="en-US"/>
        </w:rPr>
        <w:t>Peg</w:t>
      </w:r>
      <w:r w:rsidR="00C310DD">
        <w:rPr>
          <w:rFonts w:eastAsiaTheme="minorHAnsi"/>
          <w:i/>
          <w:lang w:eastAsia="en-US"/>
        </w:rPr>
        <w:t>»</w:t>
      </w:r>
      <w:r w:rsidR="00CF2501" w:rsidRPr="00F95936">
        <w:rPr>
          <w:rFonts w:eastAsiaTheme="minorHAnsi"/>
          <w:i/>
          <w:lang w:eastAsia="en-US"/>
        </w:rPr>
        <w:t xml:space="preserve"> (Σύνδεση προς δέσμη νομισμάτων)</w:t>
      </w:r>
      <w:r w:rsidR="00CF2501" w:rsidRPr="00C310DD">
        <w:rPr>
          <w:rFonts w:eastAsiaTheme="minorHAnsi"/>
          <w:lang w:eastAsia="en-US"/>
        </w:rPr>
        <w:t xml:space="preserve"> </w:t>
      </w:r>
      <w:r w:rsidRPr="00F95936">
        <w:rPr>
          <w:rFonts w:eastAsiaTheme="minorHAnsi"/>
          <w:lang w:eastAsia="en-US"/>
        </w:rPr>
        <w:t xml:space="preserve">ορίζεται η ισοτιμία όχι με βάση κάποιο συγκεκριμένο ισχυρό νόμισμα αλλά με βάση ένα σταθμισμένο καλάθι ξένων νομισμάτων. </w:t>
      </w:r>
      <w:r w:rsidR="00CF2501" w:rsidRPr="00F95936">
        <w:rPr>
          <w:rFonts w:eastAsiaTheme="minorHAnsi"/>
          <w:lang w:eastAsia="en-US"/>
        </w:rPr>
        <w:t xml:space="preserve">Χαρακτηριστική είναι η περίπτωση της σύνδεσης των υποψήφιων νομισμάτων για την Ευρωπαϊκή Νομισματική Ένωση με το λεγόμενο </w:t>
      </w:r>
      <w:r w:rsidR="00CF2501" w:rsidRPr="00F95936">
        <w:rPr>
          <w:rFonts w:eastAsiaTheme="minorHAnsi"/>
          <w:lang w:val="en-US" w:eastAsia="en-US"/>
        </w:rPr>
        <w:t>ECU</w:t>
      </w:r>
      <w:r w:rsidR="00CF2501" w:rsidRPr="00F95936">
        <w:rPr>
          <w:rFonts w:eastAsiaTheme="minorHAnsi"/>
          <w:lang w:eastAsia="en-US"/>
        </w:rPr>
        <w:t xml:space="preserve"> τον πρόγονο του Ευρώ </w:t>
      </w:r>
      <w:r w:rsidRPr="00F95936">
        <w:rPr>
          <w:rFonts w:eastAsiaTheme="minorHAnsi"/>
          <w:lang w:eastAsia="en-US"/>
        </w:rPr>
        <w:t xml:space="preserve">Το </w:t>
      </w:r>
      <w:r w:rsidRPr="00F95936">
        <w:rPr>
          <w:rFonts w:eastAsiaTheme="minorHAnsi"/>
          <w:lang w:val="en-US" w:eastAsia="en-US"/>
        </w:rPr>
        <w:t>basket</w:t>
      </w:r>
      <w:r w:rsidRPr="00F95936">
        <w:rPr>
          <w:rFonts w:eastAsiaTheme="minorHAnsi"/>
          <w:lang w:eastAsia="en-US"/>
        </w:rPr>
        <w:t xml:space="preserve"> </w:t>
      </w:r>
      <w:r w:rsidRPr="00F95936">
        <w:rPr>
          <w:rFonts w:eastAsiaTheme="minorHAnsi"/>
          <w:lang w:val="en-US" w:eastAsia="en-US"/>
        </w:rPr>
        <w:t>peg</w:t>
      </w:r>
      <w:r w:rsidRPr="00F95936">
        <w:rPr>
          <w:rFonts w:eastAsiaTheme="minorHAnsi"/>
          <w:lang w:eastAsia="en-US"/>
        </w:rPr>
        <w:t xml:space="preserve"> </w:t>
      </w:r>
      <w:r w:rsidR="00CF2501" w:rsidRPr="00F95936">
        <w:rPr>
          <w:rFonts w:eastAsiaTheme="minorHAnsi"/>
          <w:lang w:eastAsia="en-US"/>
        </w:rPr>
        <w:t xml:space="preserve">συμβάλλει στην </w:t>
      </w:r>
      <w:r w:rsidRPr="00F95936">
        <w:rPr>
          <w:rFonts w:eastAsiaTheme="minorHAnsi"/>
          <w:lang w:eastAsia="en-US"/>
        </w:rPr>
        <w:t xml:space="preserve">ανταγωνιστικότητα </w:t>
      </w:r>
      <w:r w:rsidR="00CF2501" w:rsidRPr="00F95936">
        <w:rPr>
          <w:rFonts w:eastAsiaTheme="minorHAnsi"/>
          <w:lang w:eastAsia="en-US"/>
        </w:rPr>
        <w:t xml:space="preserve">μιας χώρας </w:t>
      </w:r>
      <w:r w:rsidRPr="00F95936">
        <w:rPr>
          <w:rFonts w:eastAsiaTheme="minorHAnsi"/>
          <w:lang w:eastAsia="en-US"/>
        </w:rPr>
        <w:t xml:space="preserve">διεθνώς. </w:t>
      </w:r>
    </w:p>
    <w:p w:rsidR="001C608D" w:rsidRPr="00F95936" w:rsidRDefault="00493B87" w:rsidP="001C608D">
      <w:pPr>
        <w:spacing w:line="360" w:lineRule="auto"/>
        <w:ind w:firstLine="720"/>
        <w:jc w:val="both"/>
        <w:rPr>
          <w:rFonts w:eastAsiaTheme="minorHAnsi"/>
          <w:lang w:eastAsia="en-US"/>
        </w:rPr>
      </w:pPr>
      <w:r w:rsidRPr="00F95936">
        <w:rPr>
          <w:rFonts w:eastAsiaTheme="minorHAnsi"/>
          <w:lang w:eastAsia="en-US"/>
        </w:rPr>
        <w:t xml:space="preserve">Στο </w:t>
      </w:r>
      <w:r w:rsidR="00C310DD">
        <w:rPr>
          <w:rFonts w:eastAsiaTheme="minorHAnsi"/>
          <w:lang w:eastAsia="en-US"/>
        </w:rPr>
        <w:t>«</w:t>
      </w:r>
      <w:r w:rsidR="00CF2501" w:rsidRPr="00F95936">
        <w:rPr>
          <w:rFonts w:eastAsiaTheme="minorHAnsi"/>
          <w:i/>
          <w:lang w:val="en-US" w:eastAsia="en-US"/>
        </w:rPr>
        <w:t>Target</w:t>
      </w:r>
      <w:r w:rsidR="00CF2501" w:rsidRPr="00F95936">
        <w:rPr>
          <w:rFonts w:eastAsiaTheme="minorHAnsi"/>
          <w:i/>
          <w:lang w:eastAsia="en-US"/>
        </w:rPr>
        <w:t xml:space="preserve"> </w:t>
      </w:r>
      <w:r w:rsidR="00CF2501" w:rsidRPr="00F95936">
        <w:rPr>
          <w:rFonts w:eastAsiaTheme="minorHAnsi"/>
          <w:i/>
          <w:lang w:val="en-US" w:eastAsia="en-US"/>
        </w:rPr>
        <w:t>Zone</w:t>
      </w:r>
      <w:r w:rsidR="00C310DD">
        <w:rPr>
          <w:rFonts w:eastAsiaTheme="minorHAnsi"/>
          <w:i/>
          <w:lang w:eastAsia="en-US"/>
        </w:rPr>
        <w:t>»</w:t>
      </w:r>
      <w:r w:rsidR="00CF2501" w:rsidRPr="00F95936">
        <w:rPr>
          <w:rFonts w:eastAsiaTheme="minorHAnsi"/>
          <w:i/>
          <w:lang w:eastAsia="en-US"/>
        </w:rPr>
        <w:t xml:space="preserve"> (Σύστημα Ζώνης)</w:t>
      </w:r>
      <w:r w:rsidR="00CF2501" w:rsidRPr="00F95936">
        <w:rPr>
          <w:rFonts w:eastAsiaTheme="minorHAnsi"/>
          <w:lang w:eastAsia="en-US"/>
        </w:rPr>
        <w:t xml:space="preserve"> </w:t>
      </w:r>
      <w:r w:rsidR="00190D9D" w:rsidRPr="00F95936">
        <w:rPr>
          <w:rFonts w:eastAsiaTheme="minorHAnsi"/>
          <w:lang w:eastAsia="en-US"/>
        </w:rPr>
        <w:t xml:space="preserve">παρόλο που η προσφορά και η ζήτηση των νομισμάτων καθορίζει τη συναλλαγματική ισοτιμία, </w:t>
      </w:r>
      <w:r w:rsidRPr="00F95936">
        <w:rPr>
          <w:rFonts w:eastAsiaTheme="minorHAnsi"/>
          <w:lang w:eastAsia="en-US"/>
        </w:rPr>
        <w:t xml:space="preserve">οι κεντρικές τράπεζες ορίζουν ένα ανώτατο και ένα κατώτατο όριο στο οποίο μπορεί να κυμαίνεται η ισοτιμία και δεσμεύονται να παρέμβουν στην αγορά μόνο όταν η ονομαστική ισοτιμία φτάσει κάποιο από τα όρια. </w:t>
      </w:r>
      <w:r w:rsidR="00190D9D" w:rsidRPr="00F95936">
        <w:rPr>
          <w:rFonts w:eastAsiaTheme="minorHAnsi"/>
          <w:lang w:eastAsia="en-US"/>
        </w:rPr>
        <w:t>Το μέγεθος των</w:t>
      </w:r>
      <w:r w:rsidR="00C310DD">
        <w:rPr>
          <w:rFonts w:eastAsiaTheme="minorHAnsi"/>
          <w:lang w:eastAsia="en-US"/>
        </w:rPr>
        <w:t xml:space="preserve"> ορίων παίζει καθοριστικό ρόλο. </w:t>
      </w:r>
      <w:r w:rsidR="00190D9D" w:rsidRPr="00F95936">
        <w:rPr>
          <w:rFonts w:eastAsiaTheme="minorHAnsi"/>
          <w:lang w:eastAsia="en-US"/>
        </w:rPr>
        <w:t xml:space="preserve">Για παράδειγμα </w:t>
      </w:r>
      <w:r w:rsidR="00C310DD">
        <w:rPr>
          <w:rFonts w:eastAsiaTheme="minorHAnsi"/>
          <w:lang w:eastAsia="en-US"/>
        </w:rPr>
        <w:t xml:space="preserve">τα </w:t>
      </w:r>
      <w:r w:rsidR="00190D9D" w:rsidRPr="00F95936">
        <w:rPr>
          <w:rFonts w:eastAsiaTheme="minorHAnsi"/>
          <w:lang w:eastAsia="en-US"/>
        </w:rPr>
        <w:t xml:space="preserve">στενά όρια κάνουν πιο δύσκολο το έργο της κεντρικής </w:t>
      </w:r>
      <w:proofErr w:type="spellStart"/>
      <w:r w:rsidR="00190D9D" w:rsidRPr="00F95936">
        <w:rPr>
          <w:rFonts w:eastAsiaTheme="minorHAnsi"/>
          <w:lang w:eastAsia="en-US"/>
        </w:rPr>
        <w:t>τράεπζας</w:t>
      </w:r>
      <w:proofErr w:type="spellEnd"/>
      <w:r w:rsidR="00190D9D" w:rsidRPr="00F95936">
        <w:rPr>
          <w:rFonts w:eastAsiaTheme="minorHAnsi"/>
          <w:lang w:eastAsia="en-US"/>
        </w:rPr>
        <w:t xml:space="preserve"> με πιο συχνές </w:t>
      </w:r>
      <w:r w:rsidR="00C310DD" w:rsidRPr="00F95936">
        <w:rPr>
          <w:rFonts w:eastAsiaTheme="minorHAnsi"/>
          <w:lang w:eastAsia="en-US"/>
        </w:rPr>
        <w:t>αγοροπωλησίες νομισμ</w:t>
      </w:r>
      <w:r w:rsidR="00C310DD">
        <w:rPr>
          <w:rFonts w:eastAsiaTheme="minorHAnsi"/>
          <w:lang w:eastAsia="en-US"/>
        </w:rPr>
        <w:t>ά</w:t>
      </w:r>
      <w:r w:rsidR="00C310DD" w:rsidRPr="00F95936">
        <w:rPr>
          <w:rFonts w:eastAsiaTheme="minorHAnsi"/>
          <w:lang w:eastAsia="en-US"/>
        </w:rPr>
        <w:t>των</w:t>
      </w:r>
      <w:r w:rsidR="00C310DD">
        <w:rPr>
          <w:rFonts w:eastAsiaTheme="minorHAnsi"/>
          <w:lang w:eastAsia="en-US"/>
        </w:rPr>
        <w:t xml:space="preserve"> και</w:t>
      </w:r>
      <w:r w:rsidR="00C310DD" w:rsidRPr="00F95936">
        <w:rPr>
          <w:rFonts w:eastAsiaTheme="minorHAnsi"/>
          <w:lang w:eastAsia="en-US"/>
        </w:rPr>
        <w:t xml:space="preserve"> </w:t>
      </w:r>
      <w:r w:rsidR="00C310DD">
        <w:rPr>
          <w:rFonts w:eastAsiaTheme="minorHAnsi"/>
          <w:lang w:eastAsia="en-US"/>
        </w:rPr>
        <w:t>παρεμβάσεις μέσω των επιτοκίων. Κάνοντας δύσκολη και την διαμόρφωση</w:t>
      </w:r>
      <w:r w:rsidR="00190D9D" w:rsidRPr="00F95936">
        <w:rPr>
          <w:rFonts w:eastAsiaTheme="minorHAnsi"/>
          <w:lang w:eastAsia="en-US"/>
        </w:rPr>
        <w:t xml:space="preserve"> των προσδοκιών </w:t>
      </w:r>
      <w:r w:rsidR="00C310DD">
        <w:rPr>
          <w:rFonts w:eastAsiaTheme="minorHAnsi"/>
          <w:lang w:eastAsia="en-US"/>
        </w:rPr>
        <w:t>σχετικά με την ισοτιμία</w:t>
      </w:r>
      <w:r w:rsidR="00190D9D" w:rsidRPr="00F95936">
        <w:rPr>
          <w:rFonts w:eastAsiaTheme="minorHAnsi"/>
          <w:lang w:eastAsia="en-US"/>
        </w:rPr>
        <w:t xml:space="preserve">. </w:t>
      </w:r>
      <w:r w:rsidRPr="00F95936">
        <w:rPr>
          <w:rFonts w:eastAsiaTheme="minorHAnsi"/>
          <w:lang w:eastAsia="en-US"/>
        </w:rPr>
        <w:t xml:space="preserve">Όσο η ισοτιμία κυμαίνεται μέσα στα όρια </w:t>
      </w:r>
      <w:r w:rsidR="00190D9D" w:rsidRPr="00F95936">
        <w:rPr>
          <w:rFonts w:eastAsiaTheme="minorHAnsi"/>
          <w:lang w:eastAsia="en-US"/>
        </w:rPr>
        <w:t>της ζώνης δεν υπάρχει παρέμβαση</w:t>
      </w:r>
      <w:r w:rsidRPr="00F95936">
        <w:rPr>
          <w:rFonts w:eastAsiaTheme="minorHAnsi"/>
          <w:lang w:eastAsia="en-US"/>
        </w:rPr>
        <w:t xml:space="preserve">. </w:t>
      </w:r>
      <w:r w:rsidR="00190D9D" w:rsidRPr="00F95936">
        <w:rPr>
          <w:rFonts w:eastAsiaTheme="minorHAnsi"/>
          <w:lang w:eastAsia="en-US"/>
        </w:rPr>
        <w:t>Από τα πλεονεκτήματα του συστήματος είναι ότι δίνει κάποιους βαθμούς ελευθερίας στην κεντρική τράπεζα να αντιμετωπίσει εξωτερικές διαταραχές αλλά αυτοί οι βαθμοί εξαρτώνται από το εύρος της ζώνης.</w:t>
      </w:r>
    </w:p>
    <w:p w:rsidR="005045C8" w:rsidRPr="00F95936" w:rsidRDefault="00190D9D" w:rsidP="001C608D">
      <w:pPr>
        <w:spacing w:line="360" w:lineRule="auto"/>
        <w:ind w:firstLine="720"/>
        <w:jc w:val="both"/>
        <w:rPr>
          <w:rFonts w:eastAsiaTheme="minorHAnsi"/>
          <w:lang w:eastAsia="en-US"/>
        </w:rPr>
      </w:pPr>
      <w:r w:rsidRPr="00F95936">
        <w:rPr>
          <w:rFonts w:eastAsiaTheme="minorHAnsi"/>
          <w:lang w:eastAsia="en-US"/>
        </w:rPr>
        <w:t>Στα συστήματα μεταβλητών συναλλαγματικ</w:t>
      </w:r>
      <w:r w:rsidR="009C7905" w:rsidRPr="00F95936">
        <w:rPr>
          <w:rFonts w:eastAsiaTheme="minorHAnsi"/>
          <w:lang w:eastAsia="en-US"/>
        </w:rPr>
        <w:t xml:space="preserve">ών </w:t>
      </w:r>
      <w:r w:rsidRPr="00F95936">
        <w:rPr>
          <w:rFonts w:eastAsiaTheme="minorHAnsi"/>
          <w:lang w:eastAsia="en-US"/>
        </w:rPr>
        <w:t>ισοτιμιών διακρίνουμε</w:t>
      </w:r>
      <w:r w:rsidR="009C7905" w:rsidRPr="00F95936">
        <w:rPr>
          <w:rFonts w:eastAsiaTheme="minorHAnsi"/>
          <w:lang w:eastAsia="en-US"/>
        </w:rPr>
        <w:t xml:space="preserve"> δύο σημαντικές κατηγορίες. </w:t>
      </w:r>
      <w:r w:rsidRPr="00F95936">
        <w:rPr>
          <w:rFonts w:eastAsiaTheme="minorHAnsi"/>
          <w:lang w:eastAsia="en-US"/>
        </w:rPr>
        <w:t>Το λεγ</w:t>
      </w:r>
      <w:r w:rsidR="009C7905" w:rsidRPr="00F95936">
        <w:rPr>
          <w:rFonts w:eastAsiaTheme="minorHAnsi"/>
          <w:lang w:eastAsia="en-US"/>
        </w:rPr>
        <w:t>όμενο</w:t>
      </w:r>
      <w:r w:rsidR="005045C8" w:rsidRPr="00F95936">
        <w:rPr>
          <w:rFonts w:eastAsiaTheme="minorHAnsi"/>
          <w:lang w:eastAsia="en-US"/>
        </w:rPr>
        <w:t xml:space="preserve"> </w:t>
      </w:r>
      <w:r w:rsidR="00C310DD">
        <w:rPr>
          <w:rFonts w:eastAsiaTheme="minorHAnsi"/>
          <w:lang w:eastAsia="en-US"/>
        </w:rPr>
        <w:t>«</w:t>
      </w:r>
      <w:proofErr w:type="spellStart"/>
      <w:r w:rsidR="005045C8" w:rsidRPr="00F95936">
        <w:rPr>
          <w:rFonts w:eastAsiaTheme="minorHAnsi"/>
          <w:i/>
          <w:lang w:eastAsia="en-US"/>
        </w:rPr>
        <w:t>Managed</w:t>
      </w:r>
      <w:proofErr w:type="spellEnd"/>
      <w:r w:rsidR="005045C8" w:rsidRPr="00F95936">
        <w:rPr>
          <w:rFonts w:eastAsiaTheme="minorHAnsi"/>
          <w:i/>
          <w:lang w:eastAsia="en-US"/>
        </w:rPr>
        <w:t xml:space="preserve"> </w:t>
      </w:r>
      <w:proofErr w:type="spellStart"/>
      <w:r w:rsidR="005045C8" w:rsidRPr="00F95936">
        <w:rPr>
          <w:rFonts w:eastAsiaTheme="minorHAnsi"/>
          <w:i/>
          <w:lang w:eastAsia="en-US"/>
        </w:rPr>
        <w:t>Float</w:t>
      </w:r>
      <w:proofErr w:type="spellEnd"/>
      <w:r w:rsidR="00C310DD">
        <w:rPr>
          <w:rFonts w:eastAsiaTheme="minorHAnsi"/>
          <w:i/>
          <w:lang w:eastAsia="en-US"/>
        </w:rPr>
        <w:t>»</w:t>
      </w:r>
      <w:r w:rsidR="009C7905" w:rsidRPr="00F95936">
        <w:rPr>
          <w:rFonts w:eastAsiaTheme="minorHAnsi"/>
          <w:i/>
          <w:lang w:eastAsia="en-US"/>
        </w:rPr>
        <w:t xml:space="preserve"> σύστημα</w:t>
      </w:r>
      <w:r w:rsidR="009C7905" w:rsidRPr="00F95936">
        <w:rPr>
          <w:rFonts w:eastAsiaTheme="minorHAnsi"/>
          <w:lang w:eastAsia="en-US"/>
        </w:rPr>
        <w:t>,</w:t>
      </w:r>
      <w:r w:rsidRPr="00F95936">
        <w:rPr>
          <w:rFonts w:eastAsiaTheme="minorHAnsi"/>
          <w:lang w:eastAsia="en-US"/>
        </w:rPr>
        <w:t xml:space="preserve"> όπου η </w:t>
      </w:r>
      <w:r w:rsidR="005045C8" w:rsidRPr="00F95936">
        <w:rPr>
          <w:rFonts w:eastAsiaTheme="minorHAnsi"/>
          <w:lang w:eastAsia="en-US"/>
        </w:rPr>
        <w:t>συναλλαγματική ισοτιμία διαμορφώνεται από τις δυνάμεις της αγορ</w:t>
      </w:r>
      <w:r w:rsidRPr="00F95936">
        <w:rPr>
          <w:rFonts w:eastAsiaTheme="minorHAnsi"/>
          <w:lang w:eastAsia="en-US"/>
        </w:rPr>
        <w:t>άς</w:t>
      </w:r>
      <w:r w:rsidR="005045C8" w:rsidRPr="00F95936">
        <w:rPr>
          <w:rFonts w:eastAsiaTheme="minorHAnsi"/>
          <w:lang w:eastAsia="en-US"/>
        </w:rPr>
        <w:t xml:space="preserve">, </w:t>
      </w:r>
      <w:r w:rsidRPr="00F95936">
        <w:rPr>
          <w:rFonts w:eastAsiaTheme="minorHAnsi"/>
          <w:lang w:eastAsia="en-US"/>
        </w:rPr>
        <w:t xml:space="preserve">και το μόνο </w:t>
      </w:r>
      <w:r w:rsidRPr="00F95936">
        <w:rPr>
          <w:rFonts w:eastAsiaTheme="minorHAnsi"/>
          <w:lang w:eastAsia="en-US"/>
        </w:rPr>
        <w:lastRenderedPageBreak/>
        <w:t>που κάνουν</w:t>
      </w:r>
      <w:r w:rsidR="005045C8" w:rsidRPr="00F95936">
        <w:rPr>
          <w:rFonts w:eastAsiaTheme="minorHAnsi"/>
          <w:lang w:eastAsia="en-US"/>
        </w:rPr>
        <w:t xml:space="preserve"> οι κεντρικές τράπεζες</w:t>
      </w:r>
      <w:r w:rsidR="00C310DD">
        <w:rPr>
          <w:rFonts w:eastAsiaTheme="minorHAnsi"/>
          <w:lang w:eastAsia="en-US"/>
        </w:rPr>
        <w:t>,</w:t>
      </w:r>
      <w:r w:rsidR="005045C8" w:rsidRPr="00F95936">
        <w:rPr>
          <w:rFonts w:eastAsiaTheme="minorHAnsi"/>
          <w:lang w:eastAsia="en-US"/>
        </w:rPr>
        <w:t xml:space="preserve"> είναι </w:t>
      </w:r>
      <w:r w:rsidRPr="00F95936">
        <w:rPr>
          <w:rFonts w:eastAsiaTheme="minorHAnsi"/>
          <w:lang w:eastAsia="en-US"/>
        </w:rPr>
        <w:t>με παρεμβάσεις</w:t>
      </w:r>
      <w:r w:rsidR="005045C8" w:rsidRPr="00F95936">
        <w:rPr>
          <w:rFonts w:eastAsiaTheme="minorHAnsi"/>
          <w:lang w:eastAsia="en-US"/>
        </w:rPr>
        <w:t xml:space="preserve"> στην αγορά συναλλάγματος </w:t>
      </w:r>
      <w:r w:rsidRPr="00F95936">
        <w:rPr>
          <w:rFonts w:eastAsiaTheme="minorHAnsi"/>
          <w:lang w:eastAsia="en-US"/>
        </w:rPr>
        <w:t>να προσπαθούν να</w:t>
      </w:r>
      <w:r w:rsidR="005045C8" w:rsidRPr="00F95936">
        <w:rPr>
          <w:rFonts w:eastAsiaTheme="minorHAnsi"/>
          <w:lang w:eastAsia="en-US"/>
        </w:rPr>
        <w:t xml:space="preserve"> επηρεάσουν την προσφορά και την ζήτηση. </w:t>
      </w:r>
      <w:r w:rsidR="00C310DD">
        <w:rPr>
          <w:rFonts w:eastAsiaTheme="minorHAnsi"/>
          <w:lang w:eastAsia="en-US"/>
        </w:rPr>
        <w:t>Τέλος</w:t>
      </w:r>
      <w:r w:rsidR="009C7905" w:rsidRPr="00F95936">
        <w:rPr>
          <w:rFonts w:eastAsiaTheme="minorHAnsi"/>
          <w:lang w:eastAsia="en-US"/>
        </w:rPr>
        <w:t xml:space="preserve"> </w:t>
      </w:r>
      <w:r w:rsidR="00125197">
        <w:rPr>
          <w:rFonts w:eastAsiaTheme="minorHAnsi"/>
          <w:lang w:eastAsia="en-US"/>
        </w:rPr>
        <w:t>σ</w:t>
      </w:r>
      <w:r w:rsidR="009C7905" w:rsidRPr="00F95936">
        <w:rPr>
          <w:rFonts w:eastAsiaTheme="minorHAnsi"/>
          <w:lang w:eastAsia="en-US"/>
        </w:rPr>
        <w:t xml:space="preserve">το </w:t>
      </w:r>
      <w:r w:rsidR="009C7905" w:rsidRPr="00F95936">
        <w:rPr>
          <w:rFonts w:eastAsiaTheme="minorHAnsi"/>
          <w:i/>
          <w:lang w:eastAsia="en-US"/>
        </w:rPr>
        <w:t>«</w:t>
      </w:r>
      <w:proofErr w:type="spellStart"/>
      <w:r w:rsidR="005045C8" w:rsidRPr="00F95936">
        <w:rPr>
          <w:rFonts w:eastAsiaTheme="minorHAnsi"/>
          <w:i/>
          <w:lang w:eastAsia="en-US"/>
        </w:rPr>
        <w:t>Pure</w:t>
      </w:r>
      <w:proofErr w:type="spellEnd"/>
      <w:r w:rsidR="005045C8" w:rsidRPr="00F95936">
        <w:rPr>
          <w:rFonts w:eastAsiaTheme="minorHAnsi"/>
          <w:i/>
          <w:lang w:eastAsia="en-US"/>
        </w:rPr>
        <w:t xml:space="preserve"> </w:t>
      </w:r>
      <w:proofErr w:type="spellStart"/>
      <w:r w:rsidR="005045C8" w:rsidRPr="00F95936">
        <w:rPr>
          <w:rFonts w:eastAsiaTheme="minorHAnsi"/>
          <w:i/>
          <w:lang w:eastAsia="en-US"/>
        </w:rPr>
        <w:t>Float</w:t>
      </w:r>
      <w:proofErr w:type="spellEnd"/>
      <w:r w:rsidR="009C7905" w:rsidRPr="00F95936">
        <w:rPr>
          <w:rFonts w:eastAsiaTheme="minorHAnsi"/>
          <w:i/>
          <w:lang w:eastAsia="en-US"/>
        </w:rPr>
        <w:t>»</w:t>
      </w:r>
      <w:r w:rsidR="009C7905" w:rsidRPr="00F95936">
        <w:rPr>
          <w:rFonts w:eastAsiaTheme="minorHAnsi"/>
          <w:lang w:eastAsia="en-US"/>
        </w:rPr>
        <w:t xml:space="preserve"> ελεύθερα κυμαινόμενο σύστημα συναλλαγματικών ισοτιμιών</w:t>
      </w:r>
      <w:r w:rsidR="00125197">
        <w:rPr>
          <w:rFonts w:eastAsiaTheme="minorHAnsi"/>
          <w:lang w:eastAsia="en-US"/>
        </w:rPr>
        <w:t xml:space="preserve">, </w:t>
      </w:r>
      <w:r w:rsidR="005045C8" w:rsidRPr="00F95936">
        <w:rPr>
          <w:rFonts w:eastAsiaTheme="minorHAnsi"/>
          <w:lang w:eastAsia="en-US"/>
        </w:rPr>
        <w:t>η κεντρική τράπεζα δεν παρεμβαίνει καθόλου στην αγορά συναλλάγματος αφήνοντας τις δυνάμεις της προσφοράς και της ζήτησης να προσδιορίσουν την συναλλαγματική ισοτιμία</w:t>
      </w:r>
      <w:r w:rsidR="009C7905" w:rsidRPr="00F95936">
        <w:rPr>
          <w:rFonts w:eastAsiaTheme="minorHAnsi"/>
          <w:lang w:eastAsia="en-US"/>
        </w:rPr>
        <w:t>.</w:t>
      </w:r>
    </w:p>
    <w:p w:rsidR="005045C8" w:rsidRPr="00F95936" w:rsidRDefault="00125197" w:rsidP="00453F39">
      <w:pPr>
        <w:spacing w:line="360" w:lineRule="auto"/>
        <w:ind w:firstLine="720"/>
        <w:jc w:val="both"/>
        <w:rPr>
          <w:rFonts w:eastAsiaTheme="minorHAnsi"/>
          <w:lang w:eastAsia="en-US"/>
        </w:rPr>
      </w:pPr>
      <w:r>
        <w:rPr>
          <w:rFonts w:eastAsiaTheme="minorHAnsi"/>
          <w:lang w:eastAsia="en-US"/>
        </w:rPr>
        <w:t>Συγκρίνο</w:t>
      </w:r>
      <w:r w:rsidR="009C7905" w:rsidRPr="00F95936">
        <w:rPr>
          <w:rFonts w:eastAsiaTheme="minorHAnsi"/>
          <w:lang w:eastAsia="en-US"/>
        </w:rPr>
        <w:t>ντας τα συστήματα συναλλαγματικών ισοτιμιών η απόφαση υιοθέτησης κάποιου από κάποια χώρα εξαρτάται από μια σειρά κοινωνικό</w:t>
      </w:r>
      <w:r>
        <w:rPr>
          <w:rFonts w:eastAsiaTheme="minorHAnsi"/>
          <w:lang w:eastAsia="en-US"/>
        </w:rPr>
        <w:t>-ο</w:t>
      </w:r>
      <w:r w:rsidR="009C7905" w:rsidRPr="00F95936">
        <w:rPr>
          <w:rFonts w:eastAsiaTheme="minorHAnsi"/>
          <w:lang w:eastAsia="en-US"/>
        </w:rPr>
        <w:t xml:space="preserve">ικονομικών παραγόντων αλλά και από τις υπάρχουσες μακροοικονομικές συνθήκες. </w:t>
      </w:r>
    </w:p>
    <w:p w:rsidR="009C7905" w:rsidRPr="00F95936" w:rsidRDefault="009C7905" w:rsidP="001C608D">
      <w:pPr>
        <w:spacing w:line="360" w:lineRule="auto"/>
        <w:ind w:firstLine="720"/>
        <w:jc w:val="both"/>
        <w:rPr>
          <w:rFonts w:eastAsiaTheme="minorHAnsi"/>
          <w:lang w:eastAsia="en-US"/>
        </w:rPr>
      </w:pPr>
      <w:r w:rsidRPr="00F95936">
        <w:rPr>
          <w:rFonts w:eastAsiaTheme="minorHAnsi"/>
          <w:lang w:eastAsia="en-US"/>
        </w:rPr>
        <w:t xml:space="preserve">Από την μια ένα σύστημα σταθερών συναλλαγματικών ισοτιμιών δημιουργεί ένα σταθερό περιβάλλον χαμηλού πληθωρισμού και επιτοκίων, τόνωσης του εμπορίου και των επενδύσεων, συμβάλλοντας </w:t>
      </w:r>
      <w:r w:rsidR="005045C8" w:rsidRPr="00F95936">
        <w:rPr>
          <w:rFonts w:eastAsiaTheme="minorHAnsi"/>
          <w:lang w:eastAsia="en-US"/>
        </w:rPr>
        <w:t xml:space="preserve">στην ανάπτυξη και την απασχόληση. </w:t>
      </w:r>
      <w:r w:rsidRPr="00F95936">
        <w:rPr>
          <w:rFonts w:eastAsiaTheme="minorHAnsi"/>
          <w:lang w:eastAsia="en-US"/>
        </w:rPr>
        <w:t xml:space="preserve">Η αξιοπιστία της κεντρικής τράπεζας και του νομισματικού συστήματος συμβάλλει αποτελεσματικά στην καταπολέμηση του υψηλού πληθωρισμού, χρόνιων μεγάλων </w:t>
      </w:r>
      <w:proofErr w:type="spellStart"/>
      <w:r w:rsidRPr="00F95936">
        <w:rPr>
          <w:rFonts w:eastAsiaTheme="minorHAnsi"/>
          <w:lang w:eastAsia="en-US"/>
        </w:rPr>
        <w:t>ελλείμματων</w:t>
      </w:r>
      <w:proofErr w:type="spellEnd"/>
      <w:r w:rsidR="005045C8" w:rsidRPr="00F95936">
        <w:rPr>
          <w:rFonts w:eastAsiaTheme="minorHAnsi"/>
          <w:lang w:eastAsia="en-US"/>
        </w:rPr>
        <w:t xml:space="preserve"> στον προϋπολογισμό αλλά και στα ισοζύγια τρεχουσών συναλλαγών</w:t>
      </w:r>
      <w:r w:rsidRPr="00F95936">
        <w:rPr>
          <w:rFonts w:eastAsiaTheme="minorHAnsi"/>
          <w:lang w:eastAsia="en-US"/>
        </w:rPr>
        <w:t xml:space="preserve"> μιας χώρας. Η επίτευξη χρηματοοικονομικής σταθερότητας είναι ένα ακόμα στοιχείο για την απρόσκοπτη επίτευξη των στόχων της απασχόλησης και της ανάπτυξης.</w:t>
      </w:r>
      <w:r w:rsidR="002150A2" w:rsidRPr="00F95936">
        <w:rPr>
          <w:rFonts w:eastAsiaTheme="minorHAnsi"/>
          <w:lang w:eastAsia="en-US"/>
        </w:rPr>
        <w:t xml:space="preserve"> Επίσης χώρες με μικρή διασπορά τομέων στην παραγωγή θέλουν μια σταθ</w:t>
      </w:r>
      <w:r w:rsidR="00125197">
        <w:rPr>
          <w:rFonts w:eastAsiaTheme="minorHAnsi"/>
          <w:lang w:eastAsia="en-US"/>
        </w:rPr>
        <w:t>ε</w:t>
      </w:r>
      <w:r w:rsidR="002150A2" w:rsidRPr="00F95936">
        <w:rPr>
          <w:rFonts w:eastAsiaTheme="minorHAnsi"/>
          <w:lang w:eastAsia="en-US"/>
        </w:rPr>
        <w:t>ρότητα στην συναλλαγματική ισοτιμία διότι μεγάλες αλλαγές στην ισοτιμία επιφέ</w:t>
      </w:r>
      <w:r w:rsidR="00125197">
        <w:rPr>
          <w:rFonts w:eastAsiaTheme="minorHAnsi"/>
          <w:lang w:eastAsia="en-US"/>
        </w:rPr>
        <w:t>ρ</w:t>
      </w:r>
      <w:r w:rsidR="002150A2" w:rsidRPr="00F95936">
        <w:rPr>
          <w:rFonts w:eastAsiaTheme="minorHAnsi"/>
          <w:lang w:eastAsia="en-US"/>
        </w:rPr>
        <w:t>ουν σημα</w:t>
      </w:r>
      <w:r w:rsidR="00125197">
        <w:rPr>
          <w:rFonts w:eastAsiaTheme="minorHAnsi"/>
          <w:lang w:eastAsia="en-US"/>
        </w:rPr>
        <w:t>ντικές αλλαγές και στην απασχόληση</w:t>
      </w:r>
      <w:r w:rsidR="002150A2" w:rsidRPr="00F95936">
        <w:rPr>
          <w:rFonts w:eastAsiaTheme="minorHAnsi"/>
          <w:lang w:eastAsia="en-US"/>
        </w:rPr>
        <w:t>.</w:t>
      </w:r>
    </w:p>
    <w:p w:rsidR="00BE66AD" w:rsidRDefault="002150A2" w:rsidP="006946EB">
      <w:pPr>
        <w:spacing w:line="360" w:lineRule="auto"/>
        <w:ind w:firstLine="720"/>
        <w:jc w:val="both"/>
        <w:rPr>
          <w:rFonts w:eastAsiaTheme="minorHAnsi"/>
          <w:lang w:eastAsia="en-US"/>
        </w:rPr>
      </w:pPr>
      <w:r w:rsidRPr="00F95936">
        <w:rPr>
          <w:rFonts w:eastAsiaTheme="minorHAnsi"/>
          <w:lang w:eastAsia="en-US"/>
        </w:rPr>
        <w:t xml:space="preserve">Από την άλλη </w:t>
      </w:r>
      <w:r w:rsidR="00487067" w:rsidRPr="00F95936">
        <w:rPr>
          <w:rFonts w:eastAsiaTheme="minorHAnsi"/>
          <w:lang w:eastAsia="en-US"/>
        </w:rPr>
        <w:t>τ</w:t>
      </w:r>
      <w:r w:rsidR="005045C8" w:rsidRPr="00F95936">
        <w:rPr>
          <w:rFonts w:eastAsiaTheme="minorHAnsi"/>
          <w:lang w:eastAsia="en-US"/>
        </w:rPr>
        <w:t>α συστήματα μεταβλητών ισοτιμιών δίνουν μεγαλύτερη ευελιξία</w:t>
      </w:r>
      <w:r w:rsidR="00487067" w:rsidRPr="00F95936">
        <w:rPr>
          <w:rFonts w:eastAsiaTheme="minorHAnsi"/>
          <w:lang w:eastAsia="en-US"/>
        </w:rPr>
        <w:t xml:space="preserve"> στην αντιμετώπιση εξωγενών διαταραχών που δέχεται μια οικονομία</w:t>
      </w:r>
      <w:r w:rsidR="005045C8" w:rsidRPr="00F95936">
        <w:rPr>
          <w:rFonts w:eastAsiaTheme="minorHAnsi"/>
          <w:lang w:eastAsia="en-US"/>
        </w:rPr>
        <w:t xml:space="preserve"> </w:t>
      </w:r>
      <w:proofErr w:type="spellStart"/>
      <w:r w:rsidR="005045C8" w:rsidRPr="00F95936">
        <w:rPr>
          <w:rFonts w:eastAsiaTheme="minorHAnsi"/>
          <w:lang w:eastAsia="en-US"/>
        </w:rPr>
        <w:t>αλλα</w:t>
      </w:r>
      <w:proofErr w:type="spellEnd"/>
      <w:r w:rsidR="005045C8" w:rsidRPr="00F95936">
        <w:rPr>
          <w:rFonts w:eastAsiaTheme="minorHAnsi"/>
          <w:lang w:eastAsia="en-US"/>
        </w:rPr>
        <w:t xml:space="preserve"> </w:t>
      </w:r>
      <w:r w:rsidR="00487067" w:rsidRPr="00F95936">
        <w:rPr>
          <w:rFonts w:eastAsiaTheme="minorHAnsi"/>
          <w:lang w:eastAsia="en-US"/>
        </w:rPr>
        <w:t>ταυτόχρονα δημιουργούν μεγαλύτερη μεταβλητότητα</w:t>
      </w:r>
      <w:r w:rsidR="005045C8" w:rsidRPr="00F95936">
        <w:rPr>
          <w:rFonts w:eastAsiaTheme="minorHAnsi"/>
          <w:lang w:eastAsia="en-US"/>
        </w:rPr>
        <w:t>.</w:t>
      </w:r>
      <w:r w:rsidR="00487067" w:rsidRPr="00F95936">
        <w:rPr>
          <w:rFonts w:eastAsiaTheme="minorHAnsi"/>
          <w:lang w:eastAsia="en-US"/>
        </w:rPr>
        <w:t xml:space="preserve"> Μεταξύ άλλων σημαντικών πλεονεκτημάτων μιας αυτόνομης νομισματικής πολιτικής είναι η αποτελεσματικότερη διαχείριση κρίσεων ρευστότητας και</w:t>
      </w:r>
      <w:r w:rsidR="005045C8" w:rsidRPr="00F95936">
        <w:rPr>
          <w:rFonts w:eastAsiaTheme="minorHAnsi"/>
          <w:lang w:eastAsia="en-US"/>
        </w:rPr>
        <w:t xml:space="preserve"> </w:t>
      </w:r>
      <w:r w:rsidR="00487067" w:rsidRPr="00F95936">
        <w:rPr>
          <w:rFonts w:eastAsiaTheme="minorHAnsi"/>
          <w:lang w:eastAsia="en-US"/>
        </w:rPr>
        <w:t xml:space="preserve"> η μικρότερη πιθανότητα εμφάνισης </w:t>
      </w:r>
      <w:r w:rsidR="005045C8" w:rsidRPr="00F95936">
        <w:rPr>
          <w:rFonts w:eastAsiaTheme="minorHAnsi"/>
          <w:lang w:eastAsia="en-US"/>
        </w:rPr>
        <w:t>κερδοσκοπικών επιθέσεων</w:t>
      </w:r>
      <w:r w:rsidR="00487067" w:rsidRPr="00F95936">
        <w:rPr>
          <w:rFonts w:eastAsiaTheme="minorHAnsi"/>
          <w:lang w:eastAsia="en-US"/>
        </w:rPr>
        <w:t xml:space="preserve"> στο νόμισμα. Η διακριτική </w:t>
      </w:r>
      <w:proofErr w:type="spellStart"/>
      <w:r w:rsidR="00487067" w:rsidRPr="00F95936">
        <w:rPr>
          <w:rFonts w:eastAsiaTheme="minorHAnsi"/>
          <w:lang w:eastAsia="en-US"/>
        </w:rPr>
        <w:t>πολιτκή</w:t>
      </w:r>
      <w:proofErr w:type="spellEnd"/>
      <w:r w:rsidR="00487067" w:rsidRPr="00F95936">
        <w:rPr>
          <w:rFonts w:eastAsiaTheme="minorHAnsi"/>
          <w:lang w:eastAsia="en-US"/>
        </w:rPr>
        <w:t xml:space="preserve"> συνδυαζόμενη από ένα υψηλό βαθμό αξιοπιστίας όπως έδειξε και η πρόσφατη κρίση μπορούν να συμβάλλουν σε γρηγορότερη έξοδο από μια κρίση. Ενώ το μέτρο της υποτίμησης του νομίσματος πολλές φορές θεωρείται λιγότερο οδυνηρό από την εσωτερική υποτίμηση που έχει να κάνει με μια πτώση των μισθών και του κόστους παραγωγής σε ένα σύστημα σταθερών συναλλαγματικών ισοτιμιών</w:t>
      </w:r>
      <w:r w:rsidR="00004782">
        <w:rPr>
          <w:rStyle w:val="ac"/>
          <w:rFonts w:eastAsiaTheme="minorHAnsi"/>
          <w:lang w:eastAsia="en-US"/>
        </w:rPr>
        <w:footnoteReference w:id="8"/>
      </w:r>
      <w:r w:rsidR="00487067" w:rsidRPr="00F95936">
        <w:rPr>
          <w:rFonts w:eastAsiaTheme="minorHAnsi"/>
          <w:lang w:eastAsia="en-US"/>
        </w:rPr>
        <w:t>. Χαρακτ</w:t>
      </w:r>
      <w:r w:rsidR="00125197">
        <w:rPr>
          <w:rFonts w:eastAsiaTheme="minorHAnsi"/>
          <w:lang w:eastAsia="en-US"/>
        </w:rPr>
        <w:t>η</w:t>
      </w:r>
      <w:r w:rsidR="00487067" w:rsidRPr="00F95936">
        <w:rPr>
          <w:rFonts w:eastAsiaTheme="minorHAnsi"/>
          <w:lang w:eastAsia="en-US"/>
        </w:rPr>
        <w:t xml:space="preserve">ριστικό </w:t>
      </w:r>
      <w:r w:rsidR="00487067" w:rsidRPr="00F95936">
        <w:rPr>
          <w:rFonts w:eastAsiaTheme="minorHAnsi"/>
          <w:lang w:eastAsia="en-US"/>
        </w:rPr>
        <w:lastRenderedPageBreak/>
        <w:t>παράδειγμα εσωτερική</w:t>
      </w:r>
      <w:r w:rsidR="00125197">
        <w:rPr>
          <w:rFonts w:eastAsiaTheme="minorHAnsi"/>
          <w:lang w:eastAsia="en-US"/>
        </w:rPr>
        <w:t>ς</w:t>
      </w:r>
      <w:r w:rsidR="00487067" w:rsidRPr="00F95936">
        <w:rPr>
          <w:rFonts w:eastAsiaTheme="minorHAnsi"/>
          <w:lang w:eastAsia="en-US"/>
        </w:rPr>
        <w:t xml:space="preserve"> υποτίμησης είναι η περίπτωση της Ελλάδας με τα μέτρα που συνόδεψαν την χρηματοδότηση της στα πλαίσια του ενιαίου νομίσματος με οδυνηρές επιπτώσεις βραχυχρόνια στην απασχόληση. </w:t>
      </w:r>
      <w:r w:rsidR="0005141D">
        <w:rPr>
          <w:rFonts w:eastAsiaTheme="minorHAnsi"/>
          <w:lang w:eastAsia="en-US"/>
        </w:rPr>
        <w:t xml:space="preserve">Θα πρέπει να αναφέρουμε σε αυτό το σημείο ότι η υιοθέτηση του κοινού νομίσματος είχε σημαντικές επιδράσεις στην συμπεριφορά των οικονομικών μονάδων και το χρηματοπιστωτικό σύστημα της Ελλάδος κατά τους </w:t>
      </w:r>
      <w:proofErr w:type="spellStart"/>
      <w:r w:rsidR="0005141D">
        <w:rPr>
          <w:rFonts w:eastAsiaTheme="minorHAnsi"/>
          <w:lang w:val="en-US" w:eastAsia="en-US"/>
        </w:rPr>
        <w:t>Liargova</w:t>
      </w:r>
      <w:proofErr w:type="spellEnd"/>
      <w:r w:rsidR="0005141D" w:rsidRPr="0005141D">
        <w:rPr>
          <w:rFonts w:eastAsiaTheme="minorHAnsi"/>
          <w:lang w:eastAsia="en-US"/>
        </w:rPr>
        <w:t xml:space="preserve"> &amp; </w:t>
      </w:r>
      <w:proofErr w:type="spellStart"/>
      <w:r w:rsidR="0005141D">
        <w:rPr>
          <w:rFonts w:eastAsiaTheme="minorHAnsi"/>
          <w:lang w:val="en-US" w:eastAsia="en-US"/>
        </w:rPr>
        <w:t>Repousis</w:t>
      </w:r>
      <w:proofErr w:type="spellEnd"/>
      <w:r w:rsidR="0005141D" w:rsidRPr="0005141D">
        <w:rPr>
          <w:rFonts w:eastAsiaTheme="minorHAnsi"/>
          <w:lang w:eastAsia="en-US"/>
        </w:rPr>
        <w:t xml:space="preserve"> (</w:t>
      </w:r>
      <w:r w:rsidR="0005141D">
        <w:rPr>
          <w:rFonts w:eastAsiaTheme="minorHAnsi"/>
          <w:lang w:eastAsia="en-US"/>
        </w:rPr>
        <w:t>201</w:t>
      </w:r>
      <w:r w:rsidR="0005141D" w:rsidRPr="0005141D">
        <w:rPr>
          <w:rFonts w:eastAsiaTheme="minorHAnsi"/>
          <w:lang w:eastAsia="en-US"/>
        </w:rPr>
        <w:t xml:space="preserve">2). </w:t>
      </w:r>
      <w:r w:rsidR="0005141D">
        <w:rPr>
          <w:rFonts w:eastAsiaTheme="minorHAnsi"/>
          <w:lang w:eastAsia="en-US"/>
        </w:rPr>
        <w:t xml:space="preserve">Γεγονός που </w:t>
      </w:r>
      <w:proofErr w:type="spellStart"/>
      <w:r w:rsidR="0005141D">
        <w:rPr>
          <w:rFonts w:eastAsiaTheme="minorHAnsi"/>
          <w:lang w:eastAsia="en-US"/>
        </w:rPr>
        <w:t>δυχαιρένει</w:t>
      </w:r>
      <w:proofErr w:type="spellEnd"/>
      <w:r w:rsidR="0005141D">
        <w:rPr>
          <w:rFonts w:eastAsiaTheme="minorHAnsi"/>
          <w:lang w:eastAsia="en-US"/>
        </w:rPr>
        <w:t xml:space="preserve"> ακόμα περισσότερο την επιτυχία ενός προγράμματος εσωτερικής υποτίμησης. Κατά την προσωπική μας εκτίμηση χ</w:t>
      </w:r>
      <w:r w:rsidR="00481A85">
        <w:rPr>
          <w:rFonts w:eastAsiaTheme="minorHAnsi"/>
          <w:lang w:eastAsia="en-US"/>
        </w:rPr>
        <w:t xml:space="preserve">ώρες με χαμηλή ανάπτυξη θεσμών δείχνει να έχουν μεγαλύτερη ανάγκη από το δικό τους νόμισμα προκειμένου να ανταπεξέλθουν σε εξωγενείς διαταραχές της οικονομίας. </w:t>
      </w:r>
      <w:r w:rsidR="0005729D">
        <w:rPr>
          <w:rFonts w:eastAsiaTheme="minorHAnsi"/>
          <w:lang w:eastAsia="en-US"/>
        </w:rPr>
        <w:t xml:space="preserve">Ενώ υπάρχει ιδιαίτερη αιτιώδης σχέση μεταξύ </w:t>
      </w:r>
      <w:r w:rsidR="0005141D">
        <w:rPr>
          <w:rFonts w:eastAsiaTheme="minorHAnsi"/>
          <w:lang w:eastAsia="en-US"/>
        </w:rPr>
        <w:t xml:space="preserve">μεταβολής της </w:t>
      </w:r>
      <w:r w:rsidR="0005729D">
        <w:rPr>
          <w:rFonts w:eastAsiaTheme="minorHAnsi"/>
          <w:lang w:eastAsia="en-US"/>
        </w:rPr>
        <w:t xml:space="preserve">πραγματικής συναλλαγματικής ισοτιμίας και </w:t>
      </w:r>
      <w:r w:rsidR="0005141D">
        <w:rPr>
          <w:rFonts w:eastAsiaTheme="minorHAnsi"/>
          <w:lang w:eastAsia="en-US"/>
        </w:rPr>
        <w:t xml:space="preserve">των </w:t>
      </w:r>
      <w:r w:rsidR="0005729D">
        <w:rPr>
          <w:rFonts w:eastAsiaTheme="minorHAnsi"/>
          <w:lang w:eastAsia="en-US"/>
        </w:rPr>
        <w:t>ξένων επενδύσεων σε μια χώρα ανάλογα αν χαρακτηρίζεται μεγάλη ή μικρή (</w:t>
      </w:r>
      <w:proofErr w:type="spellStart"/>
      <w:r w:rsidR="0005729D">
        <w:rPr>
          <w:rFonts w:eastAsiaTheme="minorHAnsi"/>
          <w:lang w:val="en-US" w:eastAsia="en-US"/>
        </w:rPr>
        <w:t>Kosteletou</w:t>
      </w:r>
      <w:proofErr w:type="spellEnd"/>
      <w:r w:rsidR="0005729D" w:rsidRPr="0005729D">
        <w:rPr>
          <w:rFonts w:eastAsiaTheme="minorHAnsi"/>
          <w:lang w:eastAsia="en-US"/>
        </w:rPr>
        <w:t xml:space="preserve"> &amp; </w:t>
      </w:r>
      <w:proofErr w:type="spellStart"/>
      <w:r w:rsidR="0005729D">
        <w:rPr>
          <w:rFonts w:eastAsiaTheme="minorHAnsi"/>
          <w:lang w:val="en-US" w:eastAsia="en-US"/>
        </w:rPr>
        <w:t>Liargovas</w:t>
      </w:r>
      <w:proofErr w:type="spellEnd"/>
      <w:r w:rsidR="0005729D" w:rsidRPr="0005729D">
        <w:rPr>
          <w:rFonts w:eastAsiaTheme="minorHAnsi"/>
          <w:lang w:eastAsia="en-US"/>
        </w:rPr>
        <w:t>, 2000</w:t>
      </w:r>
      <w:r w:rsidR="0005729D">
        <w:rPr>
          <w:rFonts w:eastAsiaTheme="minorHAnsi"/>
          <w:lang w:eastAsia="en-US"/>
        </w:rPr>
        <w:t>).</w:t>
      </w:r>
      <w:r w:rsidR="00F32A9D" w:rsidRPr="00F32A9D">
        <w:rPr>
          <w:rFonts w:eastAsiaTheme="minorHAnsi"/>
          <w:lang w:eastAsia="en-US"/>
        </w:rPr>
        <w:t xml:space="preserve"> </w:t>
      </w:r>
      <w:r w:rsidR="00F32A9D">
        <w:rPr>
          <w:rFonts w:eastAsiaTheme="minorHAnsi"/>
          <w:lang w:eastAsia="en-US"/>
        </w:rPr>
        <w:t>Οι μεταβολές της συναλλαγματικής ισοτιμίας επιδρούν σημαντικά στις εξαγωγές οι οποίες αποτελούν σημαντικό παράγοντα του ΑΕΠ για ορισμένες χώρες (</w:t>
      </w:r>
      <w:proofErr w:type="spellStart"/>
      <w:r w:rsidR="00F32A9D">
        <w:rPr>
          <w:rFonts w:eastAsiaTheme="minorHAnsi"/>
          <w:lang w:val="en-US" w:eastAsia="en-US"/>
        </w:rPr>
        <w:t>Dritsakis</w:t>
      </w:r>
      <w:proofErr w:type="spellEnd"/>
      <w:r w:rsidR="00F32A9D" w:rsidRPr="00F32A9D">
        <w:rPr>
          <w:rFonts w:eastAsiaTheme="minorHAnsi"/>
          <w:lang w:eastAsia="en-US"/>
        </w:rPr>
        <w:t>, 2006</w:t>
      </w:r>
      <w:bookmarkStart w:id="46" w:name="_GoBack"/>
      <w:bookmarkEnd w:id="46"/>
      <w:r w:rsidR="00F32A9D" w:rsidRPr="00F32A9D">
        <w:rPr>
          <w:rFonts w:eastAsiaTheme="minorHAnsi"/>
          <w:lang w:eastAsia="en-US"/>
        </w:rPr>
        <w:t>)</w:t>
      </w:r>
      <w:r w:rsidR="00F32A9D">
        <w:rPr>
          <w:rFonts w:eastAsiaTheme="minorHAnsi"/>
          <w:lang w:eastAsia="en-US"/>
        </w:rPr>
        <w:t>.</w:t>
      </w:r>
      <w:r w:rsidR="0005729D">
        <w:rPr>
          <w:rFonts w:eastAsiaTheme="minorHAnsi"/>
          <w:lang w:eastAsia="en-US"/>
        </w:rPr>
        <w:t xml:space="preserve"> </w:t>
      </w:r>
      <w:r w:rsidR="005045C8" w:rsidRPr="00F95936">
        <w:rPr>
          <w:rFonts w:eastAsiaTheme="minorHAnsi"/>
          <w:lang w:eastAsia="en-US"/>
        </w:rPr>
        <w:t xml:space="preserve">Τα ενδιάμεσα συστήματα </w:t>
      </w:r>
      <w:proofErr w:type="spellStart"/>
      <w:r w:rsidR="005045C8" w:rsidRPr="00F95936">
        <w:rPr>
          <w:rFonts w:eastAsiaTheme="minorHAnsi"/>
          <w:lang w:eastAsia="en-US"/>
        </w:rPr>
        <w:t>συνδιάζουν</w:t>
      </w:r>
      <w:proofErr w:type="spellEnd"/>
      <w:r w:rsidR="005045C8" w:rsidRPr="00F95936">
        <w:rPr>
          <w:rFonts w:eastAsiaTheme="minorHAnsi"/>
          <w:lang w:eastAsia="en-US"/>
        </w:rPr>
        <w:t xml:space="preserve"> μεν τα συγκριτικά πλεονεκτήματα των δυο άκρων και επιτρέπουν μετα</w:t>
      </w:r>
      <w:r w:rsidR="00125197">
        <w:rPr>
          <w:rFonts w:eastAsiaTheme="minorHAnsi"/>
          <w:lang w:eastAsia="en-US"/>
        </w:rPr>
        <w:t>κίνηση προς το ένα ή άλλο άκρο αλλά συνδ</w:t>
      </w:r>
      <w:r w:rsidR="005045C8" w:rsidRPr="00F95936">
        <w:rPr>
          <w:rFonts w:eastAsiaTheme="minorHAnsi"/>
          <w:lang w:eastAsia="en-US"/>
        </w:rPr>
        <w:t>υάζ</w:t>
      </w:r>
      <w:r w:rsidR="00125197">
        <w:rPr>
          <w:rFonts w:eastAsiaTheme="minorHAnsi"/>
          <w:lang w:eastAsia="en-US"/>
        </w:rPr>
        <w:t xml:space="preserve">ουν και τα </w:t>
      </w:r>
      <w:proofErr w:type="spellStart"/>
      <w:r w:rsidR="00125197">
        <w:rPr>
          <w:rFonts w:eastAsiaTheme="minorHAnsi"/>
          <w:lang w:eastAsia="en-US"/>
        </w:rPr>
        <w:t>μειόνεκτηματα</w:t>
      </w:r>
      <w:proofErr w:type="spellEnd"/>
      <w:r w:rsidR="00125197">
        <w:rPr>
          <w:rFonts w:eastAsiaTheme="minorHAnsi"/>
          <w:lang w:eastAsia="en-US"/>
        </w:rPr>
        <w:t xml:space="preserve"> τους. Έ</w:t>
      </w:r>
      <w:r w:rsidR="005045C8" w:rsidRPr="00F95936">
        <w:rPr>
          <w:rFonts w:eastAsiaTheme="minorHAnsi"/>
          <w:lang w:eastAsia="en-US"/>
        </w:rPr>
        <w:t>τσι δεν είναι σίγουρο ποιος συνδυ</w:t>
      </w:r>
      <w:r w:rsidR="00125197">
        <w:rPr>
          <w:rFonts w:eastAsiaTheme="minorHAnsi"/>
          <w:lang w:eastAsia="en-US"/>
        </w:rPr>
        <w:t>ασμός θα είναι καλύτερος. Κλείνοντας η επιλογή ενό</w:t>
      </w:r>
      <w:r w:rsidR="005045C8" w:rsidRPr="00F95936">
        <w:rPr>
          <w:rFonts w:eastAsiaTheme="minorHAnsi"/>
          <w:lang w:eastAsia="en-US"/>
        </w:rPr>
        <w:t xml:space="preserve">ς συστήματος ισοτιμιών δεν είναι εύκολη </w:t>
      </w:r>
      <w:r w:rsidR="00125197">
        <w:rPr>
          <w:rFonts w:eastAsiaTheme="minorHAnsi"/>
          <w:lang w:eastAsia="en-US"/>
        </w:rPr>
        <w:t xml:space="preserve">υπόθεση </w:t>
      </w:r>
      <w:r w:rsidR="005045C8" w:rsidRPr="00F95936">
        <w:rPr>
          <w:rFonts w:eastAsiaTheme="minorHAnsi"/>
          <w:lang w:eastAsia="en-US"/>
        </w:rPr>
        <w:t xml:space="preserve">και κανένα </w:t>
      </w:r>
      <w:proofErr w:type="spellStart"/>
      <w:r w:rsidR="005045C8" w:rsidRPr="00F95936">
        <w:rPr>
          <w:rFonts w:eastAsiaTheme="minorHAnsi"/>
          <w:lang w:eastAsia="en-US"/>
        </w:rPr>
        <w:t>συστημα</w:t>
      </w:r>
      <w:proofErr w:type="spellEnd"/>
      <w:r w:rsidR="005045C8" w:rsidRPr="00F95936">
        <w:rPr>
          <w:rFonts w:eastAsiaTheme="minorHAnsi"/>
          <w:lang w:eastAsia="en-US"/>
        </w:rPr>
        <w:t xml:space="preserve"> δεν </w:t>
      </w:r>
      <w:proofErr w:type="spellStart"/>
      <w:r w:rsidR="005045C8" w:rsidRPr="00F95936">
        <w:rPr>
          <w:rFonts w:eastAsiaTheme="minorHAnsi"/>
          <w:lang w:eastAsia="en-US"/>
        </w:rPr>
        <w:t>μπορει</w:t>
      </w:r>
      <w:proofErr w:type="spellEnd"/>
      <w:r w:rsidR="005045C8" w:rsidRPr="00F95936">
        <w:rPr>
          <w:rFonts w:eastAsiaTheme="minorHAnsi"/>
          <w:lang w:eastAsia="en-US"/>
        </w:rPr>
        <w:t xml:space="preserve"> να </w:t>
      </w:r>
      <w:proofErr w:type="spellStart"/>
      <w:r w:rsidR="005045C8" w:rsidRPr="00F95936">
        <w:rPr>
          <w:rFonts w:eastAsiaTheme="minorHAnsi"/>
          <w:lang w:eastAsia="en-US"/>
        </w:rPr>
        <w:t>λειτουργησει</w:t>
      </w:r>
      <w:proofErr w:type="spellEnd"/>
      <w:r w:rsidR="005045C8" w:rsidRPr="00F95936">
        <w:rPr>
          <w:rFonts w:eastAsiaTheme="minorHAnsi"/>
          <w:lang w:eastAsia="en-US"/>
        </w:rPr>
        <w:t xml:space="preserve"> ως υποκατάστατο μια ολοκληρωμένης</w:t>
      </w:r>
      <w:r w:rsidR="00125197">
        <w:rPr>
          <w:rFonts w:eastAsiaTheme="minorHAnsi"/>
          <w:lang w:eastAsia="en-US"/>
        </w:rPr>
        <w:t xml:space="preserve"> οικονομικής</w:t>
      </w:r>
      <w:r w:rsidR="005045C8" w:rsidRPr="00F95936">
        <w:rPr>
          <w:rFonts w:eastAsiaTheme="minorHAnsi"/>
          <w:lang w:eastAsia="en-US"/>
        </w:rPr>
        <w:t xml:space="preserve"> πολιτικής</w:t>
      </w:r>
      <w:r w:rsidR="00125197">
        <w:rPr>
          <w:rFonts w:eastAsiaTheme="minorHAnsi"/>
          <w:lang w:eastAsia="en-US"/>
        </w:rPr>
        <w:t>.</w:t>
      </w:r>
      <w:r w:rsidR="006946EB">
        <w:rPr>
          <w:rFonts w:eastAsiaTheme="minorHAnsi"/>
          <w:lang w:eastAsia="en-US"/>
        </w:rPr>
        <w:t xml:space="preserve"> </w:t>
      </w:r>
    </w:p>
    <w:p w:rsidR="006946EB" w:rsidRDefault="006946EB" w:rsidP="006946EB">
      <w:pPr>
        <w:spacing w:line="360" w:lineRule="auto"/>
        <w:ind w:firstLine="720"/>
        <w:jc w:val="both"/>
        <w:rPr>
          <w:rFonts w:eastAsiaTheme="minorHAnsi"/>
          <w:lang w:eastAsia="en-US"/>
        </w:rPr>
      </w:pPr>
    </w:p>
    <w:tbl>
      <w:tblPr>
        <w:tblStyle w:val="af3"/>
        <w:tblW w:w="0" w:type="auto"/>
        <w:tblLook w:val="04A0"/>
      </w:tblPr>
      <w:tblGrid>
        <w:gridCol w:w="8528"/>
      </w:tblGrid>
      <w:tr w:rsidR="006946EB" w:rsidTr="006946EB">
        <w:tc>
          <w:tcPr>
            <w:tcW w:w="8528" w:type="dxa"/>
          </w:tcPr>
          <w:p w:rsidR="006946EB" w:rsidRPr="00E36943" w:rsidRDefault="006946EB" w:rsidP="006946EB">
            <w:pPr>
              <w:spacing w:line="360" w:lineRule="auto"/>
              <w:contextualSpacing/>
              <w:jc w:val="both"/>
              <w:rPr>
                <w:rFonts w:ascii="Times New Roman" w:hAnsi="Times New Roman"/>
                <w:b/>
                <w:i/>
              </w:rPr>
            </w:pPr>
            <w:r>
              <w:rPr>
                <w:rFonts w:ascii="Times New Roman" w:hAnsi="Times New Roman"/>
                <w:b/>
                <w:i/>
              </w:rPr>
              <w:t>Πλαίσιο 5</w:t>
            </w:r>
          </w:p>
          <w:p w:rsidR="006946EB" w:rsidRPr="00E36943" w:rsidRDefault="006946EB" w:rsidP="006946EB">
            <w:pPr>
              <w:spacing w:line="360" w:lineRule="auto"/>
              <w:contextualSpacing/>
              <w:jc w:val="both"/>
              <w:rPr>
                <w:rFonts w:ascii="Times New Roman" w:hAnsi="Times New Roman"/>
                <w:b/>
                <w:i/>
              </w:rPr>
            </w:pPr>
            <w:r w:rsidRPr="00453F39">
              <w:rPr>
                <w:rFonts w:ascii="Times New Roman" w:hAnsi="Times New Roman"/>
                <w:b/>
                <w:i/>
              </w:rPr>
              <w:t xml:space="preserve">Τι κρύβεται πίσω από τον πόλεμο του </w:t>
            </w:r>
            <w:proofErr w:type="spellStart"/>
            <w:r w:rsidRPr="00453F39">
              <w:rPr>
                <w:rFonts w:ascii="Times New Roman" w:hAnsi="Times New Roman"/>
                <w:b/>
                <w:i/>
              </w:rPr>
              <w:t>Γουάν</w:t>
            </w:r>
            <w:proofErr w:type="spellEnd"/>
          </w:p>
          <w:p w:rsidR="006946EB" w:rsidRPr="00E36943" w:rsidRDefault="006946EB" w:rsidP="006946EB">
            <w:pPr>
              <w:spacing w:line="360" w:lineRule="auto"/>
              <w:contextualSpacing/>
              <w:jc w:val="both"/>
              <w:rPr>
                <w:rFonts w:ascii="Times New Roman" w:hAnsi="Times New Roman"/>
                <w:b/>
                <w:i/>
              </w:rPr>
            </w:pPr>
          </w:p>
          <w:p w:rsidR="006946EB" w:rsidRPr="00BE66AD" w:rsidRDefault="006946EB" w:rsidP="006946EB">
            <w:pPr>
              <w:spacing w:line="360" w:lineRule="auto"/>
              <w:contextualSpacing/>
              <w:jc w:val="both"/>
              <w:rPr>
                <w:rFonts w:ascii="Times New Roman" w:eastAsia="Times New Roman" w:hAnsi="Times New Roman"/>
                <w:sz w:val="28"/>
                <w:lang w:eastAsia="el-GR"/>
              </w:rPr>
            </w:pPr>
            <w:r w:rsidRPr="00BE66AD">
              <w:rPr>
                <w:rFonts w:ascii="Times New Roman" w:hAnsi="Times New Roman"/>
              </w:rPr>
              <w:t xml:space="preserve">Και οι δύο όχθες του Ατλαντικού είναι δυσαρεστημένες με το συναλλαγματικό καθεστώς της Κίνας –ήτοι την σύνδεση του </w:t>
            </w:r>
            <w:proofErr w:type="spellStart"/>
            <w:r w:rsidRPr="00BE66AD">
              <w:rPr>
                <w:rFonts w:ascii="Times New Roman" w:hAnsi="Times New Roman"/>
              </w:rPr>
              <w:t>γουάν</w:t>
            </w:r>
            <w:proofErr w:type="spellEnd"/>
            <w:r w:rsidRPr="00BE66AD">
              <w:rPr>
                <w:rFonts w:ascii="Times New Roman" w:hAnsi="Times New Roman"/>
              </w:rPr>
              <w:t xml:space="preserve"> με το $. Οι ΗΠΑ παραπονιούνται για τα</w:t>
            </w:r>
            <w:r>
              <w:rPr>
                <w:rFonts w:ascii="Times New Roman" w:eastAsia="Times New Roman" w:hAnsi="Times New Roman"/>
                <w:sz w:val="28"/>
                <w:lang w:eastAsia="el-GR"/>
              </w:rPr>
              <w:t xml:space="preserve"> </w:t>
            </w:r>
            <w:r w:rsidRPr="00BE66AD">
              <w:rPr>
                <w:rFonts w:ascii="Times New Roman" w:hAnsi="Times New Roman"/>
              </w:rPr>
              <w:t>φθηνά κινέζικα προϊόντα και η Ευρώπη ότι επωμίζεται όλο το βάρος του αποδυναμωμένου δολαρίου.</w:t>
            </w:r>
            <w:r>
              <w:rPr>
                <w:rFonts w:ascii="Times New Roman" w:eastAsia="Times New Roman" w:hAnsi="Times New Roman"/>
                <w:sz w:val="28"/>
                <w:lang w:eastAsia="el-GR"/>
              </w:rPr>
              <w:t xml:space="preserve"> </w:t>
            </w:r>
            <w:r w:rsidRPr="00BE66AD">
              <w:rPr>
                <w:rFonts w:ascii="Times New Roman" w:hAnsi="Times New Roman"/>
              </w:rPr>
              <w:t xml:space="preserve">Προκειμένου να διατηρήσει την σχέση των δύο νομισμάτων σταθερή η Κίνα αναγκάζεται να αγοράζει πληθώρα δολαρίων τα οποία μετά επενδύονται σε ομόλογα Αμερικανικού δημοσίου, χρηματοδοτώντας έτσι τα υπέρογκα ελλείμματα  των ΗΠΑ. Επίσης, η Κίνα θεωρεί προς όφελος της κοινωνικής και πολιτικής σταθερότητας ότι πρέπει να δημιουργηθούν φέτος 15 με 20 εκατομμύρια θέσεις εργασίας. Η διεύρυνση της αγοράς εργασίας σε τέτοια κλίμακα μπορεί να απορροφήσει τόσο την αύξηση του πληθυσμού όσο και τους εκτοπισμένους </w:t>
            </w:r>
            <w:r w:rsidRPr="00BE66AD">
              <w:rPr>
                <w:rFonts w:ascii="Times New Roman" w:hAnsi="Times New Roman"/>
              </w:rPr>
              <w:lastRenderedPageBreak/>
              <w:t>εργάτες των προβληματικών εταιριών</w:t>
            </w:r>
          </w:p>
          <w:p w:rsidR="006946EB" w:rsidRPr="00BE66AD" w:rsidRDefault="006946EB" w:rsidP="006946EB">
            <w:pPr>
              <w:spacing w:line="360" w:lineRule="auto"/>
              <w:contextualSpacing/>
              <w:jc w:val="both"/>
              <w:rPr>
                <w:rFonts w:ascii="Times New Roman" w:hAnsi="Times New Roman"/>
              </w:rPr>
            </w:pPr>
            <w:proofErr w:type="spellStart"/>
            <w:r w:rsidRPr="00BE66AD">
              <w:rPr>
                <w:rFonts w:ascii="Times New Roman" w:hAnsi="Times New Roman"/>
              </w:rPr>
              <w:t>Παρόλ</w:t>
            </w:r>
            <w:proofErr w:type="spellEnd"/>
            <w:r w:rsidRPr="00BE66AD">
              <w:rPr>
                <w:rFonts w:ascii="Times New Roman" w:hAnsi="Times New Roman"/>
              </w:rPr>
              <w:t xml:space="preserve">’ αυτά, μια ανατίμηση του </w:t>
            </w:r>
            <w:proofErr w:type="spellStart"/>
            <w:r w:rsidRPr="00BE66AD">
              <w:rPr>
                <w:rFonts w:ascii="Times New Roman" w:hAnsi="Times New Roman"/>
              </w:rPr>
              <w:t>γουάν</w:t>
            </w:r>
            <w:proofErr w:type="spellEnd"/>
            <w:r w:rsidRPr="00BE66AD">
              <w:rPr>
                <w:rFonts w:ascii="Times New Roman" w:hAnsi="Times New Roman"/>
              </w:rPr>
              <w:t xml:space="preserve"> δεν θα είχε μεγάλη επίδραση στις ΗΠΑ κυρίως διότι δεν θα καταλήγαμε σε μεγάλη άνοδο του </w:t>
            </w:r>
            <w:proofErr w:type="spellStart"/>
            <w:r w:rsidRPr="00BE66AD">
              <w:rPr>
                <w:rFonts w:ascii="Times New Roman" w:hAnsi="Times New Roman"/>
              </w:rPr>
              <w:t>γουάν</w:t>
            </w:r>
            <w:proofErr w:type="spellEnd"/>
            <w:r w:rsidRPr="00BE66AD">
              <w:rPr>
                <w:rFonts w:ascii="Times New Roman" w:hAnsi="Times New Roman"/>
              </w:rPr>
              <w:t xml:space="preserve"> και η Κίνα αναλογεί μόλις στο 1/10 των συναλλαγών των ΗΠΑ με το εξωτερικό. </w:t>
            </w:r>
            <w:proofErr w:type="spellStart"/>
            <w:r w:rsidRPr="00BE66AD">
              <w:rPr>
                <w:rFonts w:ascii="Times New Roman" w:hAnsi="Times New Roman"/>
              </w:rPr>
              <w:t>Γι’αυτό</w:t>
            </w:r>
            <w:proofErr w:type="spellEnd"/>
            <w:r w:rsidRPr="00BE66AD">
              <w:rPr>
                <w:rFonts w:ascii="Times New Roman" w:hAnsi="Times New Roman"/>
              </w:rPr>
              <w:t>, το λόγο η Κίνα υιοθέτησε μια πιο χαλαρή πολιτική από το 2005 χωρίς ωστόσο να επιτρέψει να μεταβάλλεται ελευθέρα στις αγορές συναλλάγματος (</w:t>
            </w:r>
            <w:r w:rsidRPr="00BE66AD">
              <w:rPr>
                <w:rFonts w:ascii="Times New Roman" w:hAnsi="Times New Roman"/>
                <w:lang w:val="en-US"/>
              </w:rPr>
              <w:t>Crawling</w:t>
            </w:r>
            <w:r w:rsidRPr="00BE66AD">
              <w:rPr>
                <w:rFonts w:ascii="Times New Roman" w:hAnsi="Times New Roman"/>
              </w:rPr>
              <w:t xml:space="preserve"> </w:t>
            </w:r>
            <w:r w:rsidRPr="00BE66AD">
              <w:rPr>
                <w:rFonts w:ascii="Times New Roman" w:hAnsi="Times New Roman"/>
                <w:lang w:val="en-US"/>
              </w:rPr>
              <w:t>Peg</w:t>
            </w:r>
            <w:r w:rsidRPr="00BE66AD">
              <w:rPr>
                <w:rFonts w:ascii="Times New Roman" w:hAnsi="Times New Roman"/>
              </w:rPr>
              <w:t>). Αυτό το πέτυχε με συστηματική παρέμβαση στις αγορές συναλλάγματος μεταβάλλοντας τα συναλλαγματικά της αποθέματα με απώτερο στόχο την εξαγωγή φθηνών κινέζικων προϊόντων. Το πρώτο τρίμηνο 2013 τα επίσημα αποθέματα συναλλάγματος σε δολάρια ανήλθαν στα $ 3,43 τρις όσο περίπου το μέγεθος της οικονομίας της Γερμανίας. Και αυτό είναι μια ένδειξης ανεπιθύμητης εισροής ξένων κεφαλαίων.</w:t>
            </w:r>
          </w:p>
          <w:p w:rsidR="006946EB" w:rsidRPr="00BE66AD" w:rsidRDefault="006946EB" w:rsidP="006946EB">
            <w:pPr>
              <w:spacing w:line="360" w:lineRule="auto"/>
              <w:contextualSpacing/>
              <w:jc w:val="both"/>
              <w:rPr>
                <w:rFonts w:ascii="Times New Roman" w:hAnsi="Times New Roman"/>
              </w:rPr>
            </w:pPr>
            <w:r w:rsidRPr="00BE66AD">
              <w:rPr>
                <w:rFonts w:ascii="Times New Roman" w:hAnsi="Times New Roman"/>
              </w:rPr>
              <w:t xml:space="preserve">Σύμφωνα με την κοινή λογική η Κίνα κερδίζει από αυτή την πολιτική γιατί έτσι οι εξαγωγές της είναι φθηνές και ενισχύεται η ανταγωνιστική της θέση στις διεθνείς αγορές. Ωστόσο, έχει αποδειχθεί ότι αυτή η ιστορία επιβεβαιώνεται μόνο σε βραχυχρόνια διαστήματα. Με δεδομένες τις τιμές εντός και εκτός Κίνας μια ευνοϊκή (χαμηλή) ισοτιμία </w:t>
            </w:r>
            <w:proofErr w:type="spellStart"/>
            <w:r w:rsidRPr="00BE66AD">
              <w:rPr>
                <w:rFonts w:ascii="Times New Roman" w:hAnsi="Times New Roman"/>
              </w:rPr>
              <w:t>γουάν</w:t>
            </w:r>
            <w:proofErr w:type="spellEnd"/>
            <w:r w:rsidRPr="00BE66AD">
              <w:rPr>
                <w:rFonts w:ascii="Times New Roman" w:hAnsi="Times New Roman"/>
              </w:rPr>
              <w:t xml:space="preserve">-δολαρίου καθιστά σχετικά φθηνά τα κινέζικα αγαθά στους κατόχους αμερικάνικων δολαρίων. Επίσης, η ισοτιμία αυτή διατηρήθηκε για 10 περίπου χρόνια. Επομένως, η επίδραση της πρέπει να εξεταστεί σε μακροχρόνια βάση. Όμως, μακροπρόθεσμα, η συναλλαγματική ισοτιμία δεν έχει καμία επίδραση στην ανταγωνιστικότητα. Τούτο διότι οι τιμές προσαρμόζονται ώστε να αντανακλούν την ισοτιμία και η πραγματική συναλλαγματική ισοτιμία δεν επηρεάζεται από την ονομαστική συναλλαγματική ισοτιμία. Επομένως, η Κίνα εξακολουθεί να υιοθετεί αυτή την πολιτική  ως ένα μέσο επίτευξης χαμηλού πληθωρισμού. Συνδέοντας το </w:t>
            </w:r>
            <w:proofErr w:type="spellStart"/>
            <w:r w:rsidRPr="00BE66AD">
              <w:rPr>
                <w:rFonts w:ascii="Times New Roman" w:hAnsi="Times New Roman"/>
              </w:rPr>
              <w:t>γουάν</w:t>
            </w:r>
            <w:proofErr w:type="spellEnd"/>
            <w:r w:rsidRPr="00BE66AD">
              <w:rPr>
                <w:rFonts w:ascii="Times New Roman" w:hAnsi="Times New Roman"/>
              </w:rPr>
              <w:t xml:space="preserve"> με το δολάριο, ο πληθωρισμός της Κίνας «αγκιστρώνεται» στον πληθωρισμό των ΗΠΑ. Με αυτό τον τρόπο μειώνει σημαντικά αρνητικές επιπτώσεις από τους υψηλούς ρυθμούς ανάπτυξης της τελευταίας δεκαετίας.  Από την άλλη, η πρόσφατη απότομη άνοδος της ονομαστικής συναλλαγματικής ισοτιμίας είναι τουλάχιστον παράξενη (</w:t>
            </w:r>
            <w:r w:rsidRPr="00BE66AD">
              <w:rPr>
                <w:rFonts w:ascii="Times New Roman" w:hAnsi="Times New Roman"/>
                <w:lang w:val="en-US"/>
              </w:rPr>
              <w:t>puzzling</w:t>
            </w:r>
            <w:r w:rsidRPr="00BE66AD">
              <w:rPr>
                <w:rFonts w:ascii="Times New Roman" w:hAnsi="Times New Roman"/>
              </w:rPr>
              <w:t xml:space="preserve"> </w:t>
            </w:r>
            <w:r w:rsidRPr="00BE66AD">
              <w:rPr>
                <w:rFonts w:ascii="Times New Roman" w:hAnsi="Times New Roman"/>
                <w:lang w:val="en-US"/>
              </w:rPr>
              <w:t>and</w:t>
            </w:r>
            <w:r w:rsidRPr="00BE66AD">
              <w:rPr>
                <w:rFonts w:ascii="Times New Roman" w:hAnsi="Times New Roman"/>
              </w:rPr>
              <w:t xml:space="preserve"> </w:t>
            </w:r>
            <w:r w:rsidRPr="00BE66AD">
              <w:rPr>
                <w:rFonts w:ascii="Times New Roman" w:hAnsi="Times New Roman"/>
                <w:lang w:val="en-US"/>
              </w:rPr>
              <w:t>awkward</w:t>
            </w:r>
            <w:r w:rsidRPr="00BE66AD">
              <w:rPr>
                <w:rFonts w:ascii="Times New Roman" w:hAnsi="Times New Roman"/>
              </w:rPr>
              <w:t xml:space="preserve">). Έρχεται σε μια περίοδο φθίνοντος ρυθμού ανάπτυξης, φθίνοντος πληθωρισμού (μόνο 2,1% το Μάιο) και σχεδόν αμετάβλητων εξαγωγών (αυξήθηκαν μόνο 1% σε σχέση με την προηγούμενη περίοδο). </w:t>
            </w:r>
          </w:p>
          <w:p w:rsidR="006946EB" w:rsidRPr="00BE66AD" w:rsidRDefault="006946EB" w:rsidP="006946EB">
            <w:pPr>
              <w:spacing w:line="360" w:lineRule="auto"/>
              <w:jc w:val="both"/>
              <w:rPr>
                <w:rFonts w:ascii="Times New Roman" w:hAnsi="Times New Roman"/>
              </w:rPr>
            </w:pPr>
            <w:r w:rsidRPr="00BE66AD">
              <w:rPr>
                <w:rFonts w:ascii="Times New Roman" w:hAnsi="Times New Roman"/>
              </w:rPr>
              <w:t>Άρα, καταλήγουμε ότι η πολιτική καθορισμού της συναλλαγματικής ισοτιμίας είναι νομισματική πολιτική, και όχι πολιτική που αφορά το ισοζύγιο. Για να μεταβληθεί το ισοζύγιο θα πρέπει να μεταβληθεί η αποταμίευση και οι επενδύσεις. Τέλος, υπάρχουν</w:t>
            </w:r>
          </w:p>
          <w:p w:rsidR="006946EB" w:rsidRPr="00E36943" w:rsidRDefault="006946EB" w:rsidP="006946EB">
            <w:pPr>
              <w:spacing w:line="360" w:lineRule="auto"/>
              <w:jc w:val="both"/>
              <w:rPr>
                <w:rFonts w:ascii="Times New Roman" w:hAnsi="Times New Roman"/>
              </w:rPr>
            </w:pPr>
            <w:r w:rsidRPr="00BE66AD">
              <w:rPr>
                <w:rFonts w:ascii="Times New Roman" w:hAnsi="Times New Roman"/>
              </w:rPr>
              <w:t>νέοι φόβοι για έλεγχο πληθωρισμού λόγω πιστωτικής επέκτασης η οποία εν μέρει οφείλεται στην εκτύπωση χρήματος στις ΗΠΑ και Ιαπωνία</w:t>
            </w:r>
          </w:p>
          <w:p w:rsidR="006946EB" w:rsidRPr="00E36943" w:rsidRDefault="006946EB" w:rsidP="006946EB">
            <w:pPr>
              <w:spacing w:line="360" w:lineRule="auto"/>
              <w:jc w:val="both"/>
              <w:rPr>
                <w:rFonts w:ascii="Times New Roman" w:hAnsi="Times New Roman"/>
              </w:rPr>
            </w:pPr>
          </w:p>
          <w:p w:rsidR="006946EB" w:rsidRDefault="006946EB" w:rsidP="006946EB">
            <w:pPr>
              <w:spacing w:line="360" w:lineRule="auto"/>
              <w:contextualSpacing/>
              <w:jc w:val="center"/>
            </w:pPr>
            <w:r>
              <w:rPr>
                <w:noProof/>
              </w:rPr>
              <w:lastRenderedPageBreak/>
              <w:drawing>
                <wp:inline distT="0" distB="0" distL="0" distR="0">
                  <wp:extent cx="5133975" cy="315277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6946EB" w:rsidRDefault="006946EB" w:rsidP="006946EB">
            <w:pPr>
              <w:spacing w:line="360" w:lineRule="auto"/>
              <w:jc w:val="both"/>
              <w:rPr>
                <w:rFonts w:eastAsiaTheme="minorHAnsi"/>
              </w:rPr>
            </w:pPr>
            <w:r>
              <w:t xml:space="preserve">Πηγές:  Εφημερίδα Καθημερινή 28/05/2005, </w:t>
            </w:r>
            <w:r>
              <w:rPr>
                <w:lang w:val="en-US"/>
              </w:rPr>
              <w:t>Economist</w:t>
            </w:r>
            <w:r w:rsidRPr="00F5424F">
              <w:t>,</w:t>
            </w:r>
            <w:r>
              <w:t xml:space="preserve"> </w:t>
            </w:r>
            <w:hyperlink r:id="rId171" w:history="1">
              <w:r w:rsidRPr="00BE588B">
                <w:rPr>
                  <w:rStyle w:val="-"/>
                </w:rPr>
                <w:t>http://fx.sauder.ubc.ca/data.html</w:t>
              </w:r>
            </w:hyperlink>
          </w:p>
        </w:tc>
      </w:tr>
    </w:tbl>
    <w:p w:rsidR="006946EB" w:rsidRPr="006946EB" w:rsidRDefault="006946EB" w:rsidP="006946EB">
      <w:pPr>
        <w:spacing w:line="360" w:lineRule="auto"/>
        <w:ind w:firstLine="720"/>
        <w:jc w:val="both"/>
        <w:rPr>
          <w:rFonts w:eastAsiaTheme="minorHAnsi"/>
          <w:lang w:eastAsia="en-US"/>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F5424F" w:rsidRDefault="00F5424F"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015994" w:rsidRDefault="00015994" w:rsidP="00754AF6">
      <w:pPr>
        <w:rPr>
          <w:i/>
        </w:rPr>
      </w:pPr>
    </w:p>
    <w:p w:rsidR="00F5424F" w:rsidRDefault="00F5424F" w:rsidP="00754AF6">
      <w:pPr>
        <w:rPr>
          <w:i/>
        </w:rPr>
      </w:pPr>
    </w:p>
    <w:p w:rsidR="009F6F3B" w:rsidRDefault="00754AF6" w:rsidP="00754AF6">
      <w:pPr>
        <w:rPr>
          <w:b/>
          <w:i/>
        </w:rPr>
      </w:pPr>
      <w:r w:rsidRPr="001F5501">
        <w:rPr>
          <w:b/>
          <w:i/>
          <w:lang w:val="en-US"/>
        </w:rPr>
        <w:t>E</w:t>
      </w:r>
      <w:r w:rsidR="009F6F3B" w:rsidRPr="001F5501">
        <w:rPr>
          <w:b/>
          <w:i/>
        </w:rPr>
        <w:t>ρωτήσεις Μελέτης Κεφαλαίου</w:t>
      </w:r>
    </w:p>
    <w:p w:rsidR="001F5501" w:rsidRPr="001F5501" w:rsidRDefault="001F5501" w:rsidP="00754AF6">
      <w:pPr>
        <w:rPr>
          <w:b/>
          <w:i/>
        </w:rPr>
      </w:pPr>
    </w:p>
    <w:p w:rsidR="00201EBA" w:rsidRPr="00453F39" w:rsidRDefault="00201EBA" w:rsidP="006411E7">
      <w:pPr>
        <w:pStyle w:val="ae"/>
        <w:numPr>
          <w:ilvl w:val="0"/>
          <w:numId w:val="5"/>
        </w:numPr>
        <w:autoSpaceDE w:val="0"/>
        <w:autoSpaceDN w:val="0"/>
        <w:adjustRightInd w:val="0"/>
        <w:spacing w:after="25" w:line="360" w:lineRule="auto"/>
        <w:jc w:val="both"/>
        <w:rPr>
          <w:color w:val="000000"/>
        </w:rPr>
      </w:pPr>
      <w:r w:rsidRPr="00453F39">
        <w:rPr>
          <w:color w:val="000000"/>
        </w:rPr>
        <w:t>Ποια η διαφορά μεταξύ τρέχο</w:t>
      </w:r>
      <w:r w:rsidR="00125197">
        <w:rPr>
          <w:color w:val="000000"/>
        </w:rPr>
        <w:t>υσας και προθεσμιακής ισοτιμίας και</w:t>
      </w:r>
      <w:r w:rsidRPr="00453F39">
        <w:rPr>
          <w:color w:val="000000"/>
        </w:rPr>
        <w:t xml:space="preserve"> </w:t>
      </w:r>
      <w:r w:rsidR="00125197">
        <w:rPr>
          <w:color w:val="000000"/>
        </w:rPr>
        <w:t>π</w:t>
      </w:r>
      <w:r w:rsidRPr="00453F39">
        <w:rPr>
          <w:color w:val="000000"/>
        </w:rPr>
        <w:t xml:space="preserve">οια η διαφορά μεταξύ τιμής πώλησης και τιμής αγοράς του ξένου συναλλάγματος; </w:t>
      </w:r>
    </w:p>
    <w:p w:rsidR="00201EBA" w:rsidRPr="00453F39" w:rsidRDefault="00201EBA" w:rsidP="006411E7">
      <w:pPr>
        <w:pStyle w:val="ae"/>
        <w:numPr>
          <w:ilvl w:val="0"/>
          <w:numId w:val="5"/>
        </w:numPr>
        <w:autoSpaceDE w:val="0"/>
        <w:autoSpaceDN w:val="0"/>
        <w:adjustRightInd w:val="0"/>
        <w:spacing w:after="25" w:line="360" w:lineRule="auto"/>
        <w:jc w:val="both"/>
        <w:rPr>
          <w:color w:val="000000"/>
        </w:rPr>
      </w:pPr>
      <w:r w:rsidRPr="00453F39">
        <w:rPr>
          <w:color w:val="000000"/>
        </w:rPr>
        <w:t>Να προσδιορίσετε τους βασικούς παράγοντες που επηρεάζουν την ζήτηση συναλλάγματος.</w:t>
      </w:r>
    </w:p>
    <w:p w:rsidR="00201EBA" w:rsidRPr="00453F39" w:rsidRDefault="00201EBA" w:rsidP="006411E7">
      <w:pPr>
        <w:pStyle w:val="ae"/>
        <w:numPr>
          <w:ilvl w:val="0"/>
          <w:numId w:val="5"/>
        </w:numPr>
        <w:autoSpaceDE w:val="0"/>
        <w:autoSpaceDN w:val="0"/>
        <w:adjustRightInd w:val="0"/>
        <w:spacing w:after="25" w:line="360" w:lineRule="auto"/>
        <w:jc w:val="both"/>
        <w:rPr>
          <w:color w:val="000000"/>
        </w:rPr>
      </w:pPr>
      <w:r w:rsidRPr="00453F39">
        <w:rPr>
          <w:color w:val="000000"/>
        </w:rPr>
        <w:t>Να προσδιορίσετε τους βασικούς παράγοντες που επηρεάζουν την προσφορά συναλλάγματος.</w:t>
      </w:r>
    </w:p>
    <w:p w:rsidR="00201EBA" w:rsidRPr="00453F39" w:rsidRDefault="00201EBA" w:rsidP="006411E7">
      <w:pPr>
        <w:pStyle w:val="ae"/>
        <w:numPr>
          <w:ilvl w:val="0"/>
          <w:numId w:val="5"/>
        </w:numPr>
        <w:autoSpaceDE w:val="0"/>
        <w:autoSpaceDN w:val="0"/>
        <w:adjustRightInd w:val="0"/>
        <w:spacing w:after="25" w:line="360" w:lineRule="auto"/>
        <w:jc w:val="both"/>
        <w:rPr>
          <w:color w:val="000000"/>
        </w:rPr>
      </w:pPr>
      <w:r w:rsidRPr="00453F39">
        <w:rPr>
          <w:color w:val="000000"/>
        </w:rPr>
        <w:t>Ποιες οι επιπτώσεις στην ισοτιμία όψεως από μια αύξηση του εισοδήματος της αλλοδαπής; Απαραίτητη η γραφική απεικόνιση.</w:t>
      </w:r>
    </w:p>
    <w:p w:rsidR="00201EBA" w:rsidRPr="00453F39" w:rsidRDefault="00201EBA" w:rsidP="006411E7">
      <w:pPr>
        <w:pStyle w:val="ae"/>
        <w:numPr>
          <w:ilvl w:val="0"/>
          <w:numId w:val="5"/>
        </w:numPr>
        <w:autoSpaceDE w:val="0"/>
        <w:autoSpaceDN w:val="0"/>
        <w:adjustRightInd w:val="0"/>
        <w:spacing w:after="25" w:line="360" w:lineRule="auto"/>
        <w:jc w:val="both"/>
        <w:rPr>
          <w:color w:val="000000"/>
        </w:rPr>
      </w:pPr>
      <w:r w:rsidRPr="00453F39">
        <w:rPr>
          <w:color w:val="000000"/>
        </w:rPr>
        <w:t>Ποιες οι επιπτώσεις στην ισοτιμία όψεως από μια αύξηση των τιμών της αλλοδαπής; Απαραίτητη η γραφική απεικόνιση.</w:t>
      </w:r>
    </w:p>
    <w:p w:rsidR="00BC3AFC" w:rsidRDefault="00BC3AFC" w:rsidP="006411E7">
      <w:pPr>
        <w:pStyle w:val="ae"/>
        <w:numPr>
          <w:ilvl w:val="0"/>
          <w:numId w:val="5"/>
        </w:numPr>
        <w:spacing w:line="360" w:lineRule="auto"/>
        <w:contextualSpacing/>
        <w:jc w:val="both"/>
      </w:pPr>
      <w:r w:rsidRPr="00453F39">
        <w:t>Πόσο σημαντική είναι η έννοια της πραγματικής συναλλαγματικής ισοτιμίας για μια οικονομία;</w:t>
      </w:r>
    </w:p>
    <w:p w:rsidR="00817B6A" w:rsidRPr="00453F39" w:rsidRDefault="00817B6A" w:rsidP="006411E7">
      <w:pPr>
        <w:pStyle w:val="ae"/>
        <w:numPr>
          <w:ilvl w:val="0"/>
          <w:numId w:val="5"/>
        </w:numPr>
        <w:spacing w:line="360" w:lineRule="auto"/>
        <w:contextualSpacing/>
        <w:jc w:val="both"/>
      </w:pPr>
      <w:r>
        <w:t>Τι μας δείχνει το ισοζύγιο πληρωμών μιας χώρας; Ποια τα βασικά του στοιχεία;</w:t>
      </w:r>
    </w:p>
    <w:p w:rsidR="00345F03" w:rsidRPr="00345F03" w:rsidRDefault="00345F03" w:rsidP="006411E7">
      <w:pPr>
        <w:pStyle w:val="ae"/>
        <w:numPr>
          <w:ilvl w:val="0"/>
          <w:numId w:val="5"/>
        </w:numPr>
        <w:spacing w:line="360" w:lineRule="auto"/>
        <w:jc w:val="both"/>
      </w:pPr>
      <w:r w:rsidRPr="00345F03">
        <w:t>Παρουσιάστε τις βασικές θέσεις της θεωρίας ισοτιμίας αγοραστικών δυνάμεων (</w:t>
      </w:r>
      <w:r w:rsidRPr="00345F03">
        <w:rPr>
          <w:lang w:val="en-US"/>
        </w:rPr>
        <w:t>Purchasing</w:t>
      </w:r>
      <w:r w:rsidRPr="00345F03">
        <w:t xml:space="preserve"> </w:t>
      </w:r>
      <w:r w:rsidRPr="00345F03">
        <w:rPr>
          <w:lang w:val="en-US"/>
        </w:rPr>
        <w:t>Power</w:t>
      </w:r>
      <w:r w:rsidRPr="00345F03">
        <w:t xml:space="preserve"> </w:t>
      </w:r>
      <w:r w:rsidRPr="00345F03">
        <w:rPr>
          <w:lang w:val="en-US"/>
        </w:rPr>
        <w:t>Parity</w:t>
      </w:r>
      <w:r w:rsidRPr="00345F03">
        <w:t xml:space="preserve">, </w:t>
      </w:r>
      <w:r w:rsidRPr="00345F03">
        <w:rPr>
          <w:lang w:val="en-US"/>
        </w:rPr>
        <w:t>PPP</w:t>
      </w:r>
      <w:r w:rsidRPr="00345F03">
        <w:t>). Κάνοντας χρήση των βασικών θεωριών ισοτιμίας επιτοκίων (καλυμμένη CIP &amp; ακάλυπτη UIP), και της ισοτιμίας αγοραστικών δυνάμεων (PPP) να συμπληρώσετε τον ακόλουθο πίνακα.</w:t>
      </w:r>
    </w:p>
    <w:tbl>
      <w:tblPr>
        <w:tblW w:w="0" w:type="auto"/>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0"/>
        <w:gridCol w:w="755"/>
        <w:gridCol w:w="1010"/>
      </w:tblGrid>
      <w:tr w:rsidR="00345F03" w:rsidRPr="00003FD0" w:rsidTr="000F0CE4">
        <w:trPr>
          <w:jc w:val="center"/>
        </w:trPr>
        <w:tc>
          <w:tcPr>
            <w:tcW w:w="5930" w:type="dxa"/>
          </w:tcPr>
          <w:p w:rsidR="00345F03" w:rsidRPr="00003FD0" w:rsidRDefault="00345F03" w:rsidP="000F0CE4">
            <w:pPr>
              <w:jc w:val="both"/>
              <w:rPr>
                <w:b/>
                <w:sz w:val="20"/>
              </w:rPr>
            </w:pPr>
          </w:p>
        </w:tc>
        <w:tc>
          <w:tcPr>
            <w:tcW w:w="755" w:type="dxa"/>
          </w:tcPr>
          <w:p w:rsidR="00345F03" w:rsidRPr="00003FD0" w:rsidRDefault="00345F03" w:rsidP="000F0CE4">
            <w:pPr>
              <w:jc w:val="center"/>
              <w:rPr>
                <w:b/>
                <w:sz w:val="20"/>
              </w:rPr>
            </w:pPr>
            <w:r w:rsidRPr="00003FD0">
              <w:rPr>
                <w:b/>
                <w:sz w:val="20"/>
              </w:rPr>
              <w:t>€</w:t>
            </w:r>
          </w:p>
        </w:tc>
        <w:tc>
          <w:tcPr>
            <w:tcW w:w="1010" w:type="dxa"/>
          </w:tcPr>
          <w:p w:rsidR="00345F03" w:rsidRPr="00003FD0" w:rsidRDefault="00345F03" w:rsidP="000F0CE4">
            <w:pPr>
              <w:jc w:val="center"/>
              <w:rPr>
                <w:b/>
                <w:sz w:val="20"/>
              </w:rPr>
            </w:pPr>
            <w:r w:rsidRPr="00003FD0">
              <w:rPr>
                <w:b/>
                <w:sz w:val="20"/>
                <w:lang w:val="en-US"/>
              </w:rPr>
              <w:t>Swiss</w:t>
            </w:r>
            <w:r w:rsidRPr="00003FD0">
              <w:rPr>
                <w:b/>
                <w:sz w:val="20"/>
              </w:rPr>
              <w:t xml:space="preserve"> </w:t>
            </w:r>
            <w:r w:rsidRPr="00003FD0">
              <w:rPr>
                <w:b/>
                <w:sz w:val="20"/>
                <w:lang w:val="en-US"/>
              </w:rPr>
              <w:t>Franc</w:t>
            </w:r>
          </w:p>
        </w:tc>
      </w:tr>
      <w:tr w:rsidR="00345F03" w:rsidRPr="00003FD0" w:rsidTr="000F0CE4">
        <w:trPr>
          <w:jc w:val="center"/>
        </w:trPr>
        <w:tc>
          <w:tcPr>
            <w:tcW w:w="5930" w:type="dxa"/>
          </w:tcPr>
          <w:p w:rsidR="00345F03" w:rsidRPr="00003FD0" w:rsidRDefault="00345F03" w:rsidP="000F0CE4">
            <w:pPr>
              <w:jc w:val="both"/>
              <w:rPr>
                <w:b/>
                <w:sz w:val="20"/>
              </w:rPr>
            </w:pPr>
            <w:r w:rsidRPr="00003FD0">
              <w:rPr>
                <w:b/>
                <w:sz w:val="20"/>
              </w:rPr>
              <w:t>Πληθωρισμός</w:t>
            </w:r>
          </w:p>
        </w:tc>
        <w:tc>
          <w:tcPr>
            <w:tcW w:w="755" w:type="dxa"/>
          </w:tcPr>
          <w:p w:rsidR="00345F03" w:rsidRPr="00003FD0" w:rsidRDefault="00345F03" w:rsidP="000F0CE4">
            <w:pPr>
              <w:jc w:val="center"/>
              <w:rPr>
                <w:bCs/>
                <w:sz w:val="20"/>
              </w:rPr>
            </w:pPr>
            <w:r w:rsidRPr="00003FD0">
              <w:rPr>
                <w:bCs/>
                <w:sz w:val="20"/>
              </w:rPr>
              <w:t>2%</w:t>
            </w:r>
          </w:p>
        </w:tc>
        <w:tc>
          <w:tcPr>
            <w:tcW w:w="1010" w:type="dxa"/>
          </w:tcPr>
          <w:p w:rsidR="00345F03" w:rsidRPr="00003FD0" w:rsidRDefault="00345F03" w:rsidP="000F0CE4">
            <w:pPr>
              <w:jc w:val="center"/>
              <w:rPr>
                <w:bCs/>
                <w:sz w:val="20"/>
              </w:rPr>
            </w:pPr>
            <w:r w:rsidRPr="00003FD0">
              <w:rPr>
                <w:bCs/>
                <w:sz w:val="20"/>
              </w:rPr>
              <w:t>?</w:t>
            </w:r>
          </w:p>
        </w:tc>
      </w:tr>
      <w:tr w:rsidR="00345F03" w:rsidRPr="00003FD0" w:rsidTr="000F0CE4">
        <w:trPr>
          <w:jc w:val="center"/>
        </w:trPr>
        <w:tc>
          <w:tcPr>
            <w:tcW w:w="5930" w:type="dxa"/>
          </w:tcPr>
          <w:p w:rsidR="00345F03" w:rsidRPr="00003FD0" w:rsidRDefault="00345F03" w:rsidP="000F0CE4">
            <w:pPr>
              <w:jc w:val="both"/>
              <w:rPr>
                <w:b/>
                <w:sz w:val="20"/>
              </w:rPr>
            </w:pPr>
            <w:r w:rsidRPr="00003FD0">
              <w:rPr>
                <w:b/>
                <w:sz w:val="20"/>
              </w:rPr>
              <w:t>Επιτόκιο ενός χρόνου</w:t>
            </w:r>
          </w:p>
        </w:tc>
        <w:tc>
          <w:tcPr>
            <w:tcW w:w="755" w:type="dxa"/>
          </w:tcPr>
          <w:p w:rsidR="00345F03" w:rsidRPr="00003FD0" w:rsidRDefault="00345F03" w:rsidP="000F0CE4">
            <w:pPr>
              <w:jc w:val="center"/>
              <w:rPr>
                <w:bCs/>
                <w:sz w:val="20"/>
              </w:rPr>
            </w:pPr>
            <w:r w:rsidRPr="00003FD0">
              <w:rPr>
                <w:bCs/>
                <w:sz w:val="20"/>
              </w:rPr>
              <w:t>3,5%</w:t>
            </w:r>
          </w:p>
        </w:tc>
        <w:tc>
          <w:tcPr>
            <w:tcW w:w="1010" w:type="dxa"/>
          </w:tcPr>
          <w:p w:rsidR="00345F03" w:rsidRPr="00003FD0" w:rsidRDefault="00345F03" w:rsidP="000F0CE4">
            <w:pPr>
              <w:jc w:val="center"/>
              <w:rPr>
                <w:bCs/>
                <w:sz w:val="20"/>
              </w:rPr>
            </w:pPr>
            <w:r w:rsidRPr="00003FD0">
              <w:rPr>
                <w:bCs/>
                <w:sz w:val="20"/>
              </w:rPr>
              <w:t>2,5%</w:t>
            </w:r>
          </w:p>
        </w:tc>
      </w:tr>
      <w:tr w:rsidR="00345F03" w:rsidRPr="00003FD0" w:rsidTr="000F0CE4">
        <w:trPr>
          <w:jc w:val="center"/>
        </w:trPr>
        <w:tc>
          <w:tcPr>
            <w:tcW w:w="5930" w:type="dxa"/>
          </w:tcPr>
          <w:p w:rsidR="00345F03" w:rsidRPr="00003FD0" w:rsidRDefault="00345F03" w:rsidP="000F0CE4">
            <w:pPr>
              <w:jc w:val="both"/>
              <w:rPr>
                <w:b/>
                <w:sz w:val="20"/>
              </w:rPr>
            </w:pPr>
            <w:r w:rsidRPr="00003FD0">
              <w:rPr>
                <w:b/>
                <w:sz w:val="20"/>
              </w:rPr>
              <w:t>Τρέχουσα συναλλαγματική ισοτιμία (</w:t>
            </w:r>
            <w:r w:rsidRPr="00003FD0">
              <w:rPr>
                <w:b/>
                <w:sz w:val="20"/>
                <w:lang w:val="en-US"/>
              </w:rPr>
              <w:t>Spot</w:t>
            </w:r>
            <w:r w:rsidRPr="00003FD0">
              <w:rPr>
                <w:b/>
                <w:sz w:val="20"/>
              </w:rPr>
              <w:t xml:space="preserve"> </w:t>
            </w:r>
            <w:r w:rsidRPr="00003FD0">
              <w:rPr>
                <w:b/>
                <w:sz w:val="20"/>
                <w:lang w:val="en-US"/>
              </w:rPr>
              <w:t>Exchange</w:t>
            </w:r>
            <w:r w:rsidRPr="00003FD0">
              <w:rPr>
                <w:b/>
                <w:sz w:val="20"/>
              </w:rPr>
              <w:t xml:space="preserve"> </w:t>
            </w:r>
            <w:r w:rsidRPr="00003FD0">
              <w:rPr>
                <w:b/>
                <w:sz w:val="20"/>
                <w:lang w:val="en-US"/>
              </w:rPr>
              <w:t>Rate</w:t>
            </w:r>
            <w:r w:rsidRPr="00003FD0">
              <w:rPr>
                <w:b/>
                <w:sz w:val="20"/>
              </w:rPr>
              <w:t>)</w:t>
            </w:r>
          </w:p>
        </w:tc>
        <w:tc>
          <w:tcPr>
            <w:tcW w:w="755" w:type="dxa"/>
          </w:tcPr>
          <w:p w:rsidR="00345F03" w:rsidRPr="00003FD0" w:rsidRDefault="00345F03" w:rsidP="000F0CE4">
            <w:pPr>
              <w:jc w:val="center"/>
              <w:rPr>
                <w:bCs/>
                <w:sz w:val="20"/>
              </w:rPr>
            </w:pPr>
          </w:p>
        </w:tc>
        <w:tc>
          <w:tcPr>
            <w:tcW w:w="1010" w:type="dxa"/>
          </w:tcPr>
          <w:p w:rsidR="00345F03" w:rsidRPr="00003FD0" w:rsidRDefault="00345F03" w:rsidP="000F0CE4">
            <w:pPr>
              <w:jc w:val="center"/>
              <w:rPr>
                <w:bCs/>
                <w:sz w:val="20"/>
              </w:rPr>
            </w:pPr>
            <w:r w:rsidRPr="00003FD0">
              <w:rPr>
                <w:bCs/>
                <w:sz w:val="20"/>
              </w:rPr>
              <w:t>?</w:t>
            </w:r>
          </w:p>
        </w:tc>
      </w:tr>
      <w:tr w:rsidR="00345F03" w:rsidRPr="00003FD0" w:rsidTr="000F0CE4">
        <w:trPr>
          <w:jc w:val="center"/>
        </w:trPr>
        <w:tc>
          <w:tcPr>
            <w:tcW w:w="5930" w:type="dxa"/>
          </w:tcPr>
          <w:p w:rsidR="00345F03" w:rsidRPr="00003FD0" w:rsidRDefault="00345F03" w:rsidP="000F0CE4">
            <w:pPr>
              <w:jc w:val="both"/>
              <w:rPr>
                <w:b/>
                <w:sz w:val="20"/>
              </w:rPr>
            </w:pPr>
            <w:r w:rsidRPr="00003FD0">
              <w:rPr>
                <w:b/>
                <w:sz w:val="20"/>
              </w:rPr>
              <w:t>Αναμενόμενη συναλλαγματική ισοτιμία σε ένα χρόνο (</w:t>
            </w:r>
            <w:r w:rsidRPr="00003FD0">
              <w:rPr>
                <w:b/>
                <w:sz w:val="20"/>
                <w:lang w:val="en-US"/>
              </w:rPr>
              <w:t>Expected</w:t>
            </w:r>
            <w:r w:rsidRPr="00003FD0">
              <w:rPr>
                <w:b/>
                <w:sz w:val="20"/>
              </w:rPr>
              <w:t xml:space="preserve"> </w:t>
            </w:r>
            <w:r w:rsidRPr="00003FD0">
              <w:rPr>
                <w:b/>
                <w:sz w:val="20"/>
                <w:lang w:val="en-US"/>
              </w:rPr>
              <w:t>Exchange</w:t>
            </w:r>
            <w:r w:rsidRPr="00003FD0">
              <w:rPr>
                <w:b/>
                <w:sz w:val="20"/>
              </w:rPr>
              <w:t xml:space="preserve"> </w:t>
            </w:r>
            <w:r w:rsidRPr="00003FD0">
              <w:rPr>
                <w:b/>
                <w:sz w:val="20"/>
                <w:lang w:val="en-US"/>
              </w:rPr>
              <w:t>Rate</w:t>
            </w:r>
            <w:r w:rsidRPr="00003FD0">
              <w:rPr>
                <w:b/>
                <w:sz w:val="20"/>
              </w:rPr>
              <w:t xml:space="preserve"> </w:t>
            </w:r>
            <w:r w:rsidRPr="00003FD0">
              <w:rPr>
                <w:b/>
                <w:sz w:val="20"/>
                <w:lang w:val="en-US"/>
              </w:rPr>
              <w:t>in</w:t>
            </w:r>
            <w:r w:rsidRPr="00003FD0">
              <w:rPr>
                <w:b/>
                <w:sz w:val="20"/>
              </w:rPr>
              <w:t xml:space="preserve"> </w:t>
            </w:r>
            <w:r w:rsidRPr="00003FD0">
              <w:rPr>
                <w:b/>
                <w:sz w:val="20"/>
                <w:lang w:val="en-US"/>
              </w:rPr>
              <w:t>one</w:t>
            </w:r>
            <w:r w:rsidRPr="00003FD0">
              <w:rPr>
                <w:b/>
                <w:sz w:val="20"/>
              </w:rPr>
              <w:t xml:space="preserve"> </w:t>
            </w:r>
            <w:r w:rsidRPr="00003FD0">
              <w:rPr>
                <w:b/>
                <w:sz w:val="20"/>
                <w:lang w:val="en-US"/>
              </w:rPr>
              <w:t>year</w:t>
            </w:r>
            <w:r w:rsidRPr="00003FD0">
              <w:rPr>
                <w:b/>
                <w:sz w:val="20"/>
              </w:rPr>
              <w:t>) 1€</w:t>
            </w:r>
            <w:r w:rsidRPr="00003FD0">
              <w:rPr>
                <w:b/>
                <w:sz w:val="20"/>
              </w:rPr>
              <w:sym w:font="Wingdings" w:char="F0E0"/>
            </w:r>
            <w:r w:rsidRPr="00003FD0">
              <w:rPr>
                <w:b/>
                <w:sz w:val="20"/>
              </w:rPr>
              <w:t xml:space="preserve"> 1,63</w:t>
            </w:r>
            <w:r w:rsidRPr="00003FD0">
              <w:rPr>
                <w:b/>
                <w:sz w:val="20"/>
                <w:lang w:val="en-US"/>
              </w:rPr>
              <w:t>Swiss</w:t>
            </w:r>
            <w:r w:rsidRPr="00003FD0">
              <w:rPr>
                <w:b/>
                <w:sz w:val="20"/>
              </w:rPr>
              <w:t xml:space="preserve"> </w:t>
            </w:r>
            <w:r w:rsidRPr="00003FD0">
              <w:rPr>
                <w:b/>
                <w:sz w:val="20"/>
                <w:lang w:val="en-US"/>
              </w:rPr>
              <w:t>Franc</w:t>
            </w:r>
          </w:p>
        </w:tc>
        <w:tc>
          <w:tcPr>
            <w:tcW w:w="755" w:type="dxa"/>
          </w:tcPr>
          <w:p w:rsidR="00345F03" w:rsidRPr="00003FD0" w:rsidRDefault="00345F03" w:rsidP="000F0CE4">
            <w:pPr>
              <w:jc w:val="center"/>
              <w:rPr>
                <w:bCs/>
                <w:sz w:val="20"/>
              </w:rPr>
            </w:pPr>
          </w:p>
        </w:tc>
        <w:tc>
          <w:tcPr>
            <w:tcW w:w="1010" w:type="dxa"/>
          </w:tcPr>
          <w:p w:rsidR="00345F03" w:rsidRPr="00003FD0" w:rsidRDefault="00345F03" w:rsidP="000F0CE4">
            <w:pPr>
              <w:jc w:val="center"/>
              <w:rPr>
                <w:bCs/>
                <w:sz w:val="20"/>
              </w:rPr>
            </w:pPr>
            <w:r w:rsidRPr="00003FD0">
              <w:rPr>
                <w:bCs/>
                <w:sz w:val="20"/>
              </w:rPr>
              <w:t>1,63</w:t>
            </w:r>
          </w:p>
        </w:tc>
      </w:tr>
      <w:tr w:rsidR="00345F03" w:rsidRPr="00003FD0" w:rsidTr="000F0CE4">
        <w:trPr>
          <w:jc w:val="center"/>
        </w:trPr>
        <w:tc>
          <w:tcPr>
            <w:tcW w:w="5930" w:type="dxa"/>
          </w:tcPr>
          <w:p w:rsidR="00345F03" w:rsidRPr="00003FD0" w:rsidRDefault="00345F03" w:rsidP="000F0CE4">
            <w:pPr>
              <w:jc w:val="both"/>
              <w:rPr>
                <w:b/>
                <w:sz w:val="20"/>
              </w:rPr>
            </w:pPr>
            <w:r w:rsidRPr="00003FD0">
              <w:rPr>
                <w:b/>
                <w:sz w:val="20"/>
              </w:rPr>
              <w:t>Προθεσμιακή συναλλαγματική ισοτιμία ενός χρόνου (</w:t>
            </w:r>
            <w:r w:rsidRPr="00003FD0">
              <w:rPr>
                <w:b/>
                <w:sz w:val="20"/>
                <w:lang w:val="en-US"/>
              </w:rPr>
              <w:t>One</w:t>
            </w:r>
            <w:r w:rsidRPr="00003FD0">
              <w:rPr>
                <w:b/>
                <w:sz w:val="20"/>
              </w:rPr>
              <w:t xml:space="preserve"> </w:t>
            </w:r>
            <w:r w:rsidRPr="00003FD0">
              <w:rPr>
                <w:b/>
                <w:sz w:val="20"/>
                <w:lang w:val="en-US"/>
              </w:rPr>
              <w:t>year</w:t>
            </w:r>
            <w:r w:rsidRPr="00003FD0">
              <w:rPr>
                <w:b/>
                <w:sz w:val="20"/>
              </w:rPr>
              <w:t xml:space="preserve"> </w:t>
            </w:r>
            <w:r w:rsidRPr="00003FD0">
              <w:rPr>
                <w:b/>
                <w:sz w:val="20"/>
                <w:lang w:val="en-US"/>
              </w:rPr>
              <w:t>Forward</w:t>
            </w:r>
            <w:r w:rsidRPr="00003FD0">
              <w:rPr>
                <w:b/>
                <w:sz w:val="20"/>
              </w:rPr>
              <w:t xml:space="preserve"> </w:t>
            </w:r>
            <w:r w:rsidRPr="00003FD0">
              <w:rPr>
                <w:b/>
                <w:sz w:val="20"/>
                <w:lang w:val="en-US"/>
              </w:rPr>
              <w:t>Exchange</w:t>
            </w:r>
            <w:r w:rsidRPr="00003FD0">
              <w:rPr>
                <w:b/>
                <w:sz w:val="20"/>
              </w:rPr>
              <w:t xml:space="preserve"> </w:t>
            </w:r>
            <w:r w:rsidRPr="00003FD0">
              <w:rPr>
                <w:b/>
                <w:sz w:val="20"/>
                <w:lang w:val="en-US"/>
              </w:rPr>
              <w:t>Rate</w:t>
            </w:r>
            <w:r w:rsidRPr="00003FD0">
              <w:rPr>
                <w:b/>
                <w:sz w:val="20"/>
              </w:rPr>
              <w:t>)</w:t>
            </w:r>
          </w:p>
        </w:tc>
        <w:tc>
          <w:tcPr>
            <w:tcW w:w="755" w:type="dxa"/>
          </w:tcPr>
          <w:p w:rsidR="00345F03" w:rsidRPr="00003FD0" w:rsidRDefault="00345F03" w:rsidP="000F0CE4">
            <w:pPr>
              <w:jc w:val="center"/>
              <w:rPr>
                <w:bCs/>
                <w:sz w:val="20"/>
              </w:rPr>
            </w:pPr>
          </w:p>
        </w:tc>
        <w:tc>
          <w:tcPr>
            <w:tcW w:w="1010" w:type="dxa"/>
          </w:tcPr>
          <w:p w:rsidR="00345F03" w:rsidRPr="00003FD0" w:rsidRDefault="00345F03" w:rsidP="000F0CE4">
            <w:pPr>
              <w:jc w:val="center"/>
              <w:rPr>
                <w:bCs/>
                <w:sz w:val="20"/>
              </w:rPr>
            </w:pPr>
            <w:r w:rsidRPr="00003FD0">
              <w:rPr>
                <w:bCs/>
                <w:sz w:val="20"/>
              </w:rPr>
              <w:t>?</w:t>
            </w:r>
          </w:p>
        </w:tc>
      </w:tr>
    </w:tbl>
    <w:p w:rsidR="00A6689B" w:rsidRDefault="00A6689B" w:rsidP="00345F03">
      <w:pPr>
        <w:spacing w:line="360" w:lineRule="auto"/>
        <w:contextualSpacing/>
        <w:jc w:val="both"/>
      </w:pPr>
    </w:p>
    <w:p w:rsidR="00A6689B" w:rsidRPr="002E0BAA" w:rsidRDefault="00A6689B" w:rsidP="006411E7">
      <w:pPr>
        <w:pStyle w:val="ae"/>
        <w:numPr>
          <w:ilvl w:val="0"/>
          <w:numId w:val="5"/>
        </w:numPr>
        <w:spacing w:line="360" w:lineRule="auto"/>
        <w:ind w:left="426" w:hanging="426"/>
        <w:jc w:val="both"/>
      </w:pPr>
      <w:r w:rsidRPr="002E0BAA">
        <w:t xml:space="preserve">Ο παρακάτω πίνακας δίνει την αξία ενός </w:t>
      </w:r>
      <w:r w:rsidRPr="00A6689B">
        <w:rPr>
          <w:lang w:val="en-US"/>
        </w:rPr>
        <w:t>hamburger</w:t>
      </w:r>
      <w:r w:rsidRPr="002E0BAA">
        <w:t xml:space="preserve"> (</w:t>
      </w:r>
      <w:proofErr w:type="spellStart"/>
      <w:r w:rsidRPr="00A6689B">
        <w:rPr>
          <w:lang w:val="en-US"/>
        </w:rPr>
        <w:t>BigMac</w:t>
      </w:r>
      <w:proofErr w:type="spellEnd"/>
      <w:r w:rsidRPr="002E0BAA">
        <w:t xml:space="preserve">) για μια σειρά χωρών εκφρασμένη σε τοπικό νόμισμα καθώς και τη συναλλαγματική ισοτιμία κάθε τοπικού νομίσματος ως προς το δολάριο ΗΠΑ ($), </w:t>
      </w:r>
      <w:r w:rsidR="006E6DC8">
        <w:t>τον Ιούλιο του 2014.</w:t>
      </w:r>
    </w:p>
    <w:p w:rsidR="00A6689B" w:rsidRPr="002E0BAA" w:rsidRDefault="00A6689B" w:rsidP="00F70EF2">
      <w:pPr>
        <w:spacing w:line="360" w:lineRule="auto"/>
        <w:ind w:left="426" w:hanging="426"/>
        <w:jc w:val="both"/>
      </w:pPr>
      <w:r w:rsidRPr="002E0BAA">
        <w:t xml:space="preserve">(α) Είναι ίδια η τιμή του </w:t>
      </w:r>
      <w:proofErr w:type="spellStart"/>
      <w:r w:rsidRPr="002E0BAA">
        <w:rPr>
          <w:lang w:val="en-US"/>
        </w:rPr>
        <w:t>BigMac</w:t>
      </w:r>
      <w:proofErr w:type="spellEnd"/>
      <w:r w:rsidRPr="002E0BAA">
        <w:t xml:space="preserve"> στις χώρες του πίνακα, για έναν αμερικάνο πολίτη; Ναι ή όχι. Δικαιολογήστε την απάντησή σας αναφέροντας πιθανές αιτίες που ερμηνεύουν τυχόν αποκλίσεις.</w:t>
      </w:r>
    </w:p>
    <w:p w:rsidR="00A6689B" w:rsidRPr="002E0BAA" w:rsidRDefault="00A6689B" w:rsidP="00F70EF2">
      <w:pPr>
        <w:spacing w:line="360" w:lineRule="auto"/>
        <w:ind w:left="426" w:hanging="426"/>
        <w:jc w:val="both"/>
      </w:pPr>
      <w:r w:rsidRPr="002E0BAA">
        <w:lastRenderedPageBreak/>
        <w:t>(Β) Να υπολογίσετε την συναλλαγματική ισοτιμία που προκύπτει από την Απόλυτη Ισοδυναμία Αγοραστικής Δύναμης (ΙΑΔ)</w:t>
      </w:r>
      <w:r w:rsidR="00705A35">
        <w:t>.</w:t>
      </w:r>
    </w:p>
    <w:p w:rsidR="00A6689B" w:rsidRPr="002E0BAA" w:rsidRDefault="00A6689B" w:rsidP="00F70EF2">
      <w:pPr>
        <w:spacing w:line="360" w:lineRule="auto"/>
        <w:ind w:left="426" w:hanging="426"/>
        <w:jc w:val="both"/>
      </w:pPr>
      <w:r w:rsidRPr="002E0BAA">
        <w:t>(γ) Ισχύει η Απόλυτη ΙΑΔ; Εάν όχι, να υπολογίσετε την απαιτούμενη διόρθωση (σε ποσοστιαίους όρους) που πρέπει να πραγματοποιηθεί ώστε εξαλειφθούν οι αποκλίσεις.</w:t>
      </w:r>
    </w:p>
    <w:tbl>
      <w:tblPr>
        <w:tblStyle w:val="af3"/>
        <w:tblW w:w="8815" w:type="dxa"/>
        <w:jc w:val="center"/>
        <w:tblLook w:val="04A0"/>
      </w:tblPr>
      <w:tblGrid>
        <w:gridCol w:w="1148"/>
        <w:gridCol w:w="1269"/>
        <w:gridCol w:w="1744"/>
        <w:gridCol w:w="1585"/>
        <w:gridCol w:w="1615"/>
        <w:gridCol w:w="1454"/>
      </w:tblGrid>
      <w:tr w:rsidR="00A6689B" w:rsidRPr="001C391A" w:rsidTr="001F5501">
        <w:trPr>
          <w:trHeight w:val="255"/>
          <w:jc w:val="center"/>
        </w:trPr>
        <w:tc>
          <w:tcPr>
            <w:tcW w:w="1148"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(1)</w:t>
            </w:r>
          </w:p>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Χώρα</w:t>
            </w:r>
          </w:p>
        </w:tc>
        <w:tc>
          <w:tcPr>
            <w:tcW w:w="1269"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(2)</w:t>
            </w:r>
          </w:p>
          <w:p w:rsidR="00A6689B" w:rsidRPr="001C391A" w:rsidRDefault="00705A35" w:rsidP="00754AF6">
            <w:pPr>
              <w:spacing w:line="360" w:lineRule="auto"/>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 xml:space="preserve">Αξία </w:t>
            </w:r>
            <w:proofErr w:type="spellStart"/>
            <w:r w:rsidRPr="001C391A">
              <w:rPr>
                <w:rFonts w:ascii="Arial" w:eastAsia="Times New Roman" w:hAnsi="Arial" w:cs="Arial"/>
                <w:b/>
                <w:bCs/>
                <w:sz w:val="18"/>
                <w:szCs w:val="18"/>
                <w:lang w:eastAsia="el-GR"/>
              </w:rPr>
              <w:t>Big</w:t>
            </w:r>
            <w:proofErr w:type="spellEnd"/>
            <w:r w:rsidRPr="001C391A">
              <w:rPr>
                <w:rFonts w:ascii="Arial" w:eastAsia="Times New Roman" w:hAnsi="Arial" w:cs="Arial"/>
                <w:b/>
                <w:bCs/>
                <w:sz w:val="18"/>
                <w:szCs w:val="18"/>
                <w:lang w:eastAsia="el-GR"/>
              </w:rPr>
              <w:t xml:space="preserve"> </w:t>
            </w:r>
            <w:proofErr w:type="spellStart"/>
            <w:r w:rsidRPr="001C391A">
              <w:rPr>
                <w:rFonts w:ascii="Arial" w:eastAsia="Times New Roman" w:hAnsi="Arial" w:cs="Arial"/>
                <w:b/>
                <w:bCs/>
                <w:sz w:val="18"/>
                <w:szCs w:val="18"/>
                <w:lang w:eastAsia="el-GR"/>
              </w:rPr>
              <w:t>Mac</w:t>
            </w:r>
            <w:proofErr w:type="spellEnd"/>
            <w:r w:rsidRPr="001C391A">
              <w:rPr>
                <w:rFonts w:ascii="Arial" w:eastAsia="Times New Roman" w:hAnsi="Arial" w:cs="Arial"/>
                <w:b/>
                <w:bCs/>
                <w:sz w:val="18"/>
                <w:szCs w:val="18"/>
                <w:lang w:eastAsia="el-GR"/>
              </w:rPr>
              <w:t xml:space="preserve"> </w:t>
            </w:r>
            <w:r w:rsidR="00A6689B" w:rsidRPr="001C391A">
              <w:rPr>
                <w:rFonts w:ascii="Arial" w:eastAsia="Times New Roman" w:hAnsi="Arial" w:cs="Arial"/>
                <w:b/>
                <w:bCs/>
                <w:sz w:val="18"/>
                <w:szCs w:val="18"/>
                <w:lang w:eastAsia="el-GR"/>
              </w:rPr>
              <w:t>σε</w:t>
            </w:r>
            <w:r w:rsidRPr="001C391A">
              <w:rPr>
                <w:rFonts w:ascii="Arial" w:eastAsia="Times New Roman" w:hAnsi="Arial" w:cs="Arial"/>
                <w:b/>
                <w:bCs/>
                <w:sz w:val="18"/>
                <w:szCs w:val="18"/>
                <w:lang w:eastAsia="el-GR"/>
              </w:rPr>
              <w:t xml:space="preserve"> </w:t>
            </w:r>
            <w:r w:rsidR="00A6689B" w:rsidRPr="001C391A">
              <w:rPr>
                <w:rFonts w:ascii="Arial" w:eastAsia="Times New Roman" w:hAnsi="Arial" w:cs="Arial"/>
                <w:b/>
                <w:bCs/>
                <w:sz w:val="18"/>
                <w:szCs w:val="18"/>
                <w:lang w:eastAsia="el-GR"/>
              </w:rPr>
              <w:t>Τοπικό Νόμισμα</w:t>
            </w:r>
          </w:p>
        </w:tc>
        <w:tc>
          <w:tcPr>
            <w:tcW w:w="1744"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(3)</w:t>
            </w:r>
          </w:p>
          <w:p w:rsidR="00A6689B" w:rsidRPr="001C391A" w:rsidRDefault="00A6689B" w:rsidP="00754AF6">
            <w:pPr>
              <w:spacing w:line="360" w:lineRule="auto"/>
              <w:ind w:left="33" w:firstLine="14"/>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Ονομαστική Συναλλαγματική Ισοτιμία Έναντι του Δολαρίου ($)</w:t>
            </w:r>
          </w:p>
        </w:tc>
        <w:tc>
          <w:tcPr>
            <w:tcW w:w="1585"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(4)</w:t>
            </w:r>
          </w:p>
          <w:p w:rsidR="00A6689B" w:rsidRPr="001C391A" w:rsidRDefault="00A6689B" w:rsidP="00754AF6">
            <w:pPr>
              <w:spacing w:line="360" w:lineRule="auto"/>
              <w:ind w:left="-79" w:right="-111"/>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 xml:space="preserve">Αξία </w:t>
            </w:r>
            <w:proofErr w:type="spellStart"/>
            <w:r w:rsidRPr="001C391A">
              <w:rPr>
                <w:rFonts w:ascii="Arial" w:eastAsia="Times New Roman" w:hAnsi="Arial" w:cs="Arial"/>
                <w:b/>
                <w:bCs/>
                <w:sz w:val="18"/>
                <w:szCs w:val="18"/>
                <w:lang w:eastAsia="el-GR"/>
              </w:rPr>
              <w:t>Big</w:t>
            </w:r>
            <w:proofErr w:type="spellEnd"/>
            <w:r w:rsidRPr="001C391A">
              <w:rPr>
                <w:rFonts w:ascii="Arial" w:eastAsia="Times New Roman" w:hAnsi="Arial" w:cs="Arial"/>
                <w:b/>
                <w:bCs/>
                <w:sz w:val="18"/>
                <w:szCs w:val="18"/>
                <w:lang w:eastAsia="el-GR"/>
              </w:rPr>
              <w:t xml:space="preserve"> </w:t>
            </w:r>
            <w:proofErr w:type="spellStart"/>
            <w:r w:rsidRPr="001C391A">
              <w:rPr>
                <w:rFonts w:ascii="Arial" w:eastAsia="Times New Roman" w:hAnsi="Arial" w:cs="Arial"/>
                <w:b/>
                <w:bCs/>
                <w:sz w:val="18"/>
                <w:szCs w:val="18"/>
                <w:lang w:eastAsia="el-GR"/>
              </w:rPr>
              <w:t>Mac</w:t>
            </w:r>
            <w:proofErr w:type="spellEnd"/>
            <w:r w:rsidRPr="001C391A">
              <w:rPr>
                <w:rFonts w:ascii="Arial" w:eastAsia="Times New Roman" w:hAnsi="Arial" w:cs="Arial"/>
                <w:b/>
                <w:bCs/>
                <w:sz w:val="18"/>
                <w:szCs w:val="18"/>
                <w:lang w:eastAsia="el-GR"/>
              </w:rPr>
              <w:t xml:space="preserve"> σε </w:t>
            </w:r>
            <w:r w:rsidR="001C391A">
              <w:rPr>
                <w:rFonts w:ascii="Arial" w:eastAsia="Times New Roman" w:hAnsi="Arial" w:cs="Arial"/>
                <w:b/>
                <w:bCs/>
                <w:sz w:val="18"/>
                <w:szCs w:val="18"/>
                <w:lang w:eastAsia="el-GR"/>
              </w:rPr>
              <w:t>Αμερικάνικα Δ</w:t>
            </w:r>
            <w:r w:rsidRPr="001C391A">
              <w:rPr>
                <w:rFonts w:ascii="Arial" w:eastAsia="Times New Roman" w:hAnsi="Arial" w:cs="Arial"/>
                <w:b/>
                <w:bCs/>
                <w:sz w:val="18"/>
                <w:szCs w:val="18"/>
                <w:lang w:eastAsia="el-GR"/>
              </w:rPr>
              <w:t>ολάρια ($)</w:t>
            </w:r>
          </w:p>
        </w:tc>
        <w:tc>
          <w:tcPr>
            <w:tcW w:w="1615"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(5)</w:t>
            </w:r>
          </w:p>
          <w:p w:rsidR="001C391A" w:rsidRPr="001C391A" w:rsidRDefault="00A6689B" w:rsidP="00754AF6">
            <w:pPr>
              <w:spacing w:line="360" w:lineRule="auto"/>
              <w:ind w:left="37" w:hanging="37"/>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PPP</w:t>
            </w:r>
          </w:p>
          <w:p w:rsidR="00A6689B" w:rsidRPr="001C391A" w:rsidRDefault="00A6689B" w:rsidP="00754AF6">
            <w:pPr>
              <w:spacing w:line="360" w:lineRule="auto"/>
              <w:ind w:left="37" w:hanging="37"/>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Συναλλαγματική Ισοτιμία</w:t>
            </w:r>
          </w:p>
        </w:tc>
        <w:tc>
          <w:tcPr>
            <w:tcW w:w="1454" w:type="dxa"/>
            <w:noWrap/>
            <w:vAlign w:val="center"/>
            <w:hideMark/>
          </w:tcPr>
          <w:p w:rsidR="00705A35" w:rsidRPr="001C391A" w:rsidRDefault="00A6689B" w:rsidP="00754AF6">
            <w:pPr>
              <w:spacing w:line="360" w:lineRule="auto"/>
              <w:ind w:left="426" w:hanging="426"/>
              <w:jc w:val="center"/>
              <w:rPr>
                <w:rFonts w:ascii="Arial" w:eastAsia="Times New Roman" w:hAnsi="Arial" w:cs="Arial"/>
                <w:b/>
                <w:bCs/>
                <w:sz w:val="18"/>
                <w:szCs w:val="18"/>
                <w:lang w:eastAsia="el-GR"/>
              </w:rPr>
            </w:pPr>
            <w:r w:rsidRPr="001C391A">
              <w:rPr>
                <w:rFonts w:ascii="Arial" w:eastAsia="Times New Roman" w:hAnsi="Arial" w:cs="Arial"/>
                <w:b/>
                <w:bCs/>
                <w:sz w:val="18"/>
                <w:szCs w:val="18"/>
                <w:lang w:eastAsia="el-GR"/>
              </w:rPr>
              <w:t>(6)</w:t>
            </w:r>
          </w:p>
          <w:p w:rsidR="00A6689B" w:rsidRPr="001C391A" w:rsidRDefault="00A6689B" w:rsidP="00754AF6">
            <w:pPr>
              <w:spacing w:line="360" w:lineRule="auto"/>
              <w:ind w:hanging="20"/>
              <w:jc w:val="center"/>
              <w:rPr>
                <w:rFonts w:ascii="Arial" w:eastAsia="Times New Roman" w:hAnsi="Arial" w:cs="Arial"/>
                <w:sz w:val="18"/>
                <w:szCs w:val="18"/>
                <w:lang w:eastAsia="el-GR"/>
              </w:rPr>
            </w:pPr>
            <w:r w:rsidRPr="001C391A">
              <w:rPr>
                <w:rFonts w:ascii="Arial" w:eastAsia="Times New Roman" w:hAnsi="Arial" w:cs="Arial"/>
                <w:b/>
                <w:bCs/>
                <w:sz w:val="18"/>
                <w:szCs w:val="18"/>
                <w:lang w:eastAsia="el-GR"/>
              </w:rPr>
              <w:t xml:space="preserve">Ποσοστιαία Υποτίμηση   </w:t>
            </w:r>
            <w:r w:rsidR="00705A35" w:rsidRPr="001C391A">
              <w:rPr>
                <w:rFonts w:ascii="Arial" w:eastAsia="Times New Roman" w:hAnsi="Arial" w:cs="Arial"/>
                <w:b/>
                <w:bCs/>
                <w:sz w:val="18"/>
                <w:szCs w:val="18"/>
                <w:lang w:eastAsia="el-GR"/>
              </w:rPr>
              <w:t>/Ανατίμηση</w:t>
            </w: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Ουκρανία</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19</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11,69</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bCs/>
                <w:sz w:val="18"/>
                <w:szCs w:val="18"/>
                <w:lang w:eastAsia="el-GR"/>
              </w:rPr>
            </w:pPr>
            <w:r w:rsidRPr="001C391A">
              <w:rPr>
                <w:rFonts w:ascii="Arial" w:eastAsia="Times New Roman" w:hAnsi="Arial" w:cs="Arial"/>
                <w:bCs/>
                <w:sz w:val="18"/>
                <w:szCs w:val="18"/>
                <w:lang w:eastAsia="el-GR"/>
              </w:rPr>
              <w:t>Αργεντινή</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21</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8,17</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bCs/>
                <w:sz w:val="18"/>
                <w:szCs w:val="18"/>
                <w:lang w:eastAsia="el-GR"/>
              </w:rPr>
            </w:pPr>
            <w:r w:rsidRPr="001C391A">
              <w:rPr>
                <w:rFonts w:ascii="Arial" w:eastAsia="Times New Roman" w:hAnsi="Arial" w:cs="Arial"/>
                <w:bCs/>
                <w:sz w:val="18"/>
                <w:szCs w:val="18"/>
                <w:lang w:eastAsia="el-GR"/>
              </w:rPr>
              <w:t>Κίνα</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16,9</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6,20</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Πορτογαλία</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3</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0,74</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Ελλάδα</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3,05</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0,74</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A6689B" w:rsidRPr="001C391A" w:rsidTr="001F5501">
        <w:trPr>
          <w:trHeight w:val="255"/>
          <w:jc w:val="center"/>
        </w:trPr>
        <w:tc>
          <w:tcPr>
            <w:tcW w:w="1148"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Τουρκία</w:t>
            </w:r>
          </w:p>
        </w:tc>
        <w:tc>
          <w:tcPr>
            <w:tcW w:w="1269"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9,25</w:t>
            </w:r>
          </w:p>
        </w:tc>
        <w:tc>
          <w:tcPr>
            <w:tcW w:w="1744" w:type="dxa"/>
            <w:noWrap/>
            <w:vAlign w:val="center"/>
            <w:hideMark/>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2,09</w:t>
            </w:r>
          </w:p>
        </w:tc>
        <w:tc>
          <w:tcPr>
            <w:tcW w:w="158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A6689B" w:rsidRPr="001C391A" w:rsidRDefault="00A6689B" w:rsidP="00754AF6">
            <w:pPr>
              <w:spacing w:line="360" w:lineRule="auto"/>
              <w:ind w:left="426" w:hanging="426"/>
              <w:jc w:val="center"/>
              <w:rPr>
                <w:rFonts w:ascii="Arial" w:eastAsia="Times New Roman" w:hAnsi="Arial" w:cs="Arial"/>
                <w:sz w:val="18"/>
                <w:szCs w:val="18"/>
                <w:lang w:eastAsia="el-GR"/>
              </w:rPr>
            </w:pPr>
          </w:p>
        </w:tc>
      </w:tr>
      <w:tr w:rsidR="001F5501" w:rsidRPr="001C391A" w:rsidTr="001401E6">
        <w:trPr>
          <w:trHeight w:val="255"/>
          <w:jc w:val="center"/>
        </w:trPr>
        <w:tc>
          <w:tcPr>
            <w:tcW w:w="1148" w:type="dxa"/>
            <w:noWrap/>
            <w:vAlign w:val="center"/>
            <w:hideMark/>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Ιρλανδία</w:t>
            </w:r>
          </w:p>
        </w:tc>
        <w:tc>
          <w:tcPr>
            <w:tcW w:w="1269" w:type="dxa"/>
            <w:noWrap/>
            <w:vAlign w:val="center"/>
            <w:hideMark/>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3,49</w:t>
            </w:r>
          </w:p>
        </w:tc>
        <w:tc>
          <w:tcPr>
            <w:tcW w:w="1744" w:type="dxa"/>
            <w:noWrap/>
            <w:vAlign w:val="center"/>
            <w:hideMark/>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r w:rsidRPr="001C391A">
              <w:rPr>
                <w:rFonts w:ascii="Arial" w:eastAsia="Times New Roman" w:hAnsi="Arial" w:cs="Arial"/>
                <w:sz w:val="18"/>
                <w:szCs w:val="18"/>
                <w:lang w:eastAsia="el-GR"/>
              </w:rPr>
              <w:t>0,74</w:t>
            </w:r>
          </w:p>
        </w:tc>
        <w:tc>
          <w:tcPr>
            <w:tcW w:w="1585" w:type="dxa"/>
            <w:noWrap/>
            <w:vAlign w:val="center"/>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p>
        </w:tc>
        <w:tc>
          <w:tcPr>
            <w:tcW w:w="1615" w:type="dxa"/>
            <w:noWrap/>
            <w:vAlign w:val="center"/>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p>
        </w:tc>
        <w:tc>
          <w:tcPr>
            <w:tcW w:w="1454" w:type="dxa"/>
            <w:noWrap/>
            <w:vAlign w:val="center"/>
          </w:tcPr>
          <w:p w:rsidR="001F5501" w:rsidRPr="001C391A" w:rsidRDefault="001F5501" w:rsidP="001401E6">
            <w:pPr>
              <w:spacing w:line="360" w:lineRule="auto"/>
              <w:ind w:left="426" w:hanging="426"/>
              <w:jc w:val="center"/>
              <w:rPr>
                <w:rFonts w:ascii="Arial" w:eastAsia="Times New Roman" w:hAnsi="Arial" w:cs="Arial"/>
                <w:sz w:val="18"/>
                <w:szCs w:val="18"/>
                <w:lang w:eastAsia="el-GR"/>
              </w:rPr>
            </w:pPr>
          </w:p>
        </w:tc>
      </w:tr>
      <w:tr w:rsidR="00D22A80" w:rsidRPr="001F5501" w:rsidTr="001401E6">
        <w:trPr>
          <w:gridAfter w:val="4"/>
          <w:wAfter w:w="6398" w:type="dxa"/>
          <w:trHeight w:val="255"/>
          <w:jc w:val="center"/>
        </w:trPr>
        <w:tc>
          <w:tcPr>
            <w:tcW w:w="1148" w:type="dxa"/>
            <w:noWrap/>
          </w:tcPr>
          <w:p w:rsidR="00D22A80" w:rsidRPr="001F5501" w:rsidRDefault="00D22A80" w:rsidP="001F5501">
            <w:pPr>
              <w:spacing w:line="360" w:lineRule="auto"/>
              <w:ind w:left="426" w:hanging="426"/>
              <w:jc w:val="center"/>
              <w:rPr>
                <w:rFonts w:ascii="Arial" w:eastAsia="Times New Roman" w:hAnsi="Arial" w:cs="Arial"/>
                <w:sz w:val="18"/>
                <w:szCs w:val="18"/>
                <w:lang w:eastAsia="el-GR"/>
              </w:rPr>
            </w:pPr>
            <w:r w:rsidRPr="001F5501">
              <w:rPr>
                <w:rFonts w:ascii="Arial" w:eastAsia="Times New Roman" w:hAnsi="Arial" w:cs="Arial"/>
                <w:sz w:val="18"/>
                <w:szCs w:val="18"/>
                <w:lang w:eastAsia="el-GR"/>
              </w:rPr>
              <w:t>Η.Π.Α.</w:t>
            </w:r>
          </w:p>
        </w:tc>
        <w:tc>
          <w:tcPr>
            <w:tcW w:w="1269" w:type="dxa"/>
            <w:noWrap/>
          </w:tcPr>
          <w:p w:rsidR="00D22A80" w:rsidRPr="001F5501" w:rsidRDefault="00D22A80" w:rsidP="001F5501">
            <w:pPr>
              <w:spacing w:line="360" w:lineRule="auto"/>
              <w:ind w:left="426" w:hanging="426"/>
              <w:jc w:val="center"/>
              <w:rPr>
                <w:rFonts w:ascii="Arial" w:eastAsia="Times New Roman" w:hAnsi="Arial" w:cs="Arial"/>
                <w:sz w:val="18"/>
                <w:szCs w:val="18"/>
                <w:lang w:eastAsia="el-GR"/>
              </w:rPr>
            </w:pPr>
            <w:r w:rsidRPr="001F5501">
              <w:rPr>
                <w:rFonts w:ascii="Arial" w:eastAsia="Times New Roman" w:hAnsi="Arial" w:cs="Arial"/>
                <w:sz w:val="18"/>
                <w:szCs w:val="18"/>
                <w:lang w:eastAsia="el-GR"/>
              </w:rPr>
              <w:t>4,795</w:t>
            </w:r>
          </w:p>
        </w:tc>
      </w:tr>
    </w:tbl>
    <w:p w:rsidR="00A6689B" w:rsidRPr="000647CB" w:rsidRDefault="00A6689B" w:rsidP="004C4483">
      <w:pPr>
        <w:spacing w:line="360" w:lineRule="auto"/>
        <w:ind w:left="426" w:hanging="426"/>
        <w:jc w:val="both"/>
        <w:rPr>
          <w:i/>
          <w:sz w:val="22"/>
          <w:szCs w:val="22"/>
        </w:rPr>
      </w:pPr>
      <w:r w:rsidRPr="000647CB">
        <w:rPr>
          <w:i/>
          <w:sz w:val="22"/>
          <w:szCs w:val="22"/>
        </w:rPr>
        <w:t xml:space="preserve">Πηγή: </w:t>
      </w:r>
      <w:r w:rsidRPr="000647CB">
        <w:rPr>
          <w:i/>
          <w:sz w:val="22"/>
          <w:szCs w:val="22"/>
          <w:lang w:val="en-US"/>
        </w:rPr>
        <w:t>Economist</w:t>
      </w:r>
      <w:r w:rsidRPr="000647CB">
        <w:rPr>
          <w:i/>
          <w:sz w:val="22"/>
          <w:szCs w:val="22"/>
        </w:rPr>
        <w:t xml:space="preserve"> 2014</w:t>
      </w:r>
    </w:p>
    <w:p w:rsidR="007551A3" w:rsidRPr="007551A3" w:rsidRDefault="007551A3" w:rsidP="006411E7">
      <w:pPr>
        <w:pStyle w:val="ae"/>
        <w:numPr>
          <w:ilvl w:val="0"/>
          <w:numId w:val="5"/>
        </w:numPr>
        <w:spacing w:line="360" w:lineRule="auto"/>
        <w:jc w:val="both"/>
        <w:rPr>
          <w:rFonts w:eastAsiaTheme="minorEastAsia"/>
        </w:rPr>
      </w:pPr>
      <w:r w:rsidRPr="007551A3">
        <w:rPr>
          <w:rFonts w:eastAsiaTheme="minorEastAsia"/>
        </w:rPr>
        <w:t>Το επίπεδο τιμών στις ΗΠΑ για ένα αντιπροσωπευτικό καταναλωτικό καλάθι είναι</w:t>
      </w:r>
      <w:r w:rsidR="001C391A">
        <w:rPr>
          <w:rFonts w:eastAsiaTheme="minorEastAsia"/>
        </w:rPr>
        <w:t xml:space="preserve"> </w:t>
      </w:r>
      <w:r w:rsidRPr="007551A3">
        <w:rPr>
          <w:rFonts w:eastAsiaTheme="minorEastAsia"/>
        </w:rPr>
        <w:t xml:space="preserve">$ 30.000. Το αντίστοιχο καλάθι στο Ηνωμένο Βασίλειο (ΗΒ) κοστίζει </w:t>
      </w:r>
      <w:r w:rsidR="001C391A">
        <w:rPr>
          <w:rFonts w:eastAsiaTheme="minorEastAsia"/>
        </w:rPr>
        <w:t xml:space="preserve">         </w:t>
      </w:r>
      <w:r w:rsidRPr="007551A3">
        <w:rPr>
          <w:rFonts w:eastAsiaTheme="minorEastAsia" w:cstheme="minorHAnsi"/>
        </w:rPr>
        <w:t>£</w:t>
      </w:r>
      <w:r w:rsidRPr="007551A3">
        <w:rPr>
          <w:rFonts w:eastAsiaTheme="minorEastAsia"/>
        </w:rPr>
        <w:t xml:space="preserve"> 15.000. Η τρέχουσα ονομαστική συναλλαγματική ισοτιμία του δολαρίου έναντι της στερλίνας είναι </w:t>
      </w:r>
      <m:oMath>
        <m:f>
          <m:fPr>
            <m:type m:val="lin"/>
            <m:ctrlPr>
              <w:rPr>
                <w:rFonts w:ascii="Cambria Math" w:eastAsiaTheme="minorEastAsia" w:hAnsi="Cambria Math"/>
                <w:i/>
              </w:rPr>
            </m:ctrlPr>
          </m:fPr>
          <m:num>
            <m:r>
              <w:rPr>
                <w:rFonts w:ascii="Cambria Math" w:eastAsiaTheme="minorEastAsia" w:hAnsi="Cambria Math"/>
              </w:rPr>
              <m:t>$ 1,60</m:t>
            </m:r>
          </m:num>
          <m:den>
            <m:r>
              <m:rPr>
                <m:sty m:val="p"/>
              </m:rPr>
              <w:rPr>
                <w:rFonts w:ascii="Cambria Math" w:eastAsiaTheme="minorEastAsia" w:hAnsi="Cambria Math" w:cstheme="minorHAnsi"/>
              </w:rPr>
              <m:t>£</m:t>
            </m:r>
          </m:den>
        </m:f>
      </m:oMath>
      <w:r w:rsidRPr="007551A3">
        <w:rPr>
          <w:rFonts w:eastAsiaTheme="minorEastAsia"/>
        </w:rPr>
        <w:t xml:space="preserve">. </w:t>
      </w:r>
    </w:p>
    <w:p w:rsidR="007551A3" w:rsidRPr="002E0BAA" w:rsidRDefault="00754AF6" w:rsidP="00F70EF2">
      <w:pPr>
        <w:spacing w:line="360" w:lineRule="auto"/>
        <w:ind w:left="360"/>
        <w:jc w:val="both"/>
        <w:rPr>
          <w:rFonts w:eastAsiaTheme="minorEastAsia"/>
        </w:rPr>
      </w:pPr>
      <w:r>
        <w:rPr>
          <w:rFonts w:eastAsiaTheme="minorEastAsia"/>
        </w:rPr>
        <w:t>α</w:t>
      </w:r>
      <w:r w:rsidR="007551A3" w:rsidRPr="002E0BAA">
        <w:rPr>
          <w:rFonts w:eastAsiaTheme="minorEastAsia"/>
        </w:rPr>
        <w:t xml:space="preserve">) Να αιτιολογήσετε γιατί παραβιάζεται η απόλυτη ισοδυναμία αγοραστικής δύναμης. </w:t>
      </w:r>
    </w:p>
    <w:p w:rsidR="007551A3" w:rsidRPr="002E0BAA" w:rsidRDefault="00754AF6" w:rsidP="00F70EF2">
      <w:pPr>
        <w:spacing w:line="360" w:lineRule="auto"/>
        <w:ind w:left="360"/>
        <w:jc w:val="both"/>
        <w:rPr>
          <w:rFonts w:eastAsiaTheme="minorEastAsia"/>
        </w:rPr>
      </w:pPr>
      <w:r>
        <w:rPr>
          <w:rFonts w:eastAsiaTheme="minorEastAsia"/>
        </w:rPr>
        <w:t>β</w:t>
      </w:r>
      <w:r w:rsidR="007551A3" w:rsidRPr="002E0BAA">
        <w:rPr>
          <w:rFonts w:eastAsiaTheme="minorEastAsia"/>
        </w:rPr>
        <w:t>) Να προσδιορίσετε ποιο νόμισμα είναι υποτιμημένο ή υπερτιμημένο αντίστοιχα και τι πρέπει να γίνει για να διορθωθεί η απόκλιση μεταξύ της θεωρητικής ισοδυναμίας και της ονομαστικής.</w:t>
      </w:r>
    </w:p>
    <w:p w:rsidR="007551A3" w:rsidRPr="002E0BAA" w:rsidRDefault="00754AF6" w:rsidP="00F70EF2">
      <w:pPr>
        <w:spacing w:line="360" w:lineRule="auto"/>
        <w:ind w:left="360"/>
        <w:jc w:val="both"/>
        <w:rPr>
          <w:rFonts w:eastAsiaTheme="minorEastAsia"/>
        </w:rPr>
      </w:pPr>
      <w:r>
        <w:rPr>
          <w:rFonts w:eastAsiaTheme="minorEastAsia"/>
        </w:rPr>
        <w:t>γ</w:t>
      </w:r>
      <w:r w:rsidR="007551A3" w:rsidRPr="002E0BAA">
        <w:rPr>
          <w:rFonts w:eastAsiaTheme="minorEastAsia"/>
        </w:rPr>
        <w:t>) Το επόμενο έτος ο πληθωρισμός στις ΗΠΑ είναι 4% και ο πληθωρισμός στο ΗΒ είναι 10%. Ποια θα είναι η επίδραση του πληθωρισμού στο επίπεδο τιμών κάθε χώρας;</w:t>
      </w:r>
    </w:p>
    <w:p w:rsidR="007551A3" w:rsidRPr="002E0BAA" w:rsidRDefault="00754AF6" w:rsidP="00F70EF2">
      <w:pPr>
        <w:spacing w:line="360" w:lineRule="auto"/>
        <w:ind w:left="360"/>
        <w:jc w:val="both"/>
        <w:rPr>
          <w:rFonts w:eastAsiaTheme="minorEastAsia"/>
        </w:rPr>
      </w:pPr>
      <w:r>
        <w:rPr>
          <w:rFonts w:eastAsiaTheme="minorEastAsia"/>
        </w:rPr>
        <w:t>δ</w:t>
      </w:r>
      <w:r w:rsidR="007551A3" w:rsidRPr="002E0BAA">
        <w:rPr>
          <w:rFonts w:eastAsiaTheme="minorEastAsia"/>
        </w:rPr>
        <w:t>) Ποια θα είναι η νέα συναλλαγματική ισοτιμία με βάση την Απόλυτη ΙΑΔ;</w:t>
      </w:r>
    </w:p>
    <w:p w:rsidR="007551A3" w:rsidRPr="002E0BAA" w:rsidRDefault="00754AF6" w:rsidP="00F70EF2">
      <w:pPr>
        <w:spacing w:line="360" w:lineRule="auto"/>
        <w:ind w:left="360"/>
        <w:jc w:val="both"/>
        <w:rPr>
          <w:rFonts w:eastAsiaTheme="minorEastAsia"/>
        </w:rPr>
      </w:pPr>
      <w:r>
        <w:rPr>
          <w:rFonts w:eastAsiaTheme="minorEastAsia"/>
        </w:rPr>
        <w:t>ε</w:t>
      </w:r>
      <w:r w:rsidR="007551A3" w:rsidRPr="002E0BAA">
        <w:rPr>
          <w:rFonts w:eastAsiaTheme="minorEastAsia"/>
        </w:rPr>
        <w:t xml:space="preserve">) Εάν εξακολουθεί να υφίσταται η απόκλιση (ερώτημα Β) από την απόλυτη ΙΑΔ ποια θα είναι η αναμενόμενη ονομαστική συναλλαγματική ισοτιμία; </w:t>
      </w:r>
    </w:p>
    <w:p w:rsidR="00A6689B" w:rsidRPr="007B1925" w:rsidRDefault="00754AF6" w:rsidP="007B1925">
      <w:pPr>
        <w:spacing w:line="360" w:lineRule="auto"/>
        <w:ind w:left="360"/>
        <w:jc w:val="both"/>
        <w:rPr>
          <w:rFonts w:eastAsiaTheme="minorEastAsia"/>
        </w:rPr>
      </w:pPr>
      <w:r>
        <w:rPr>
          <w:rFonts w:eastAsiaTheme="minorEastAsia"/>
        </w:rPr>
        <w:lastRenderedPageBreak/>
        <w:t>στ</w:t>
      </w:r>
      <w:r w:rsidR="007551A3" w:rsidRPr="002E0BAA">
        <w:rPr>
          <w:rFonts w:eastAsiaTheme="minorEastAsia"/>
        </w:rPr>
        <w:t xml:space="preserve">) Στην περίπτωση που η αναμενόμενη ονομαστική συναλλαγματική ισοτιμία εξακολουθεί να μην ακολουθεί το επίπεδο της ΑΙΑΔ ποιο νόμισμα πρέπει να ισχυροποιηθεί ή να αποδυναμωθεί αντίστοιχα, και κατά πόσο, για να ισχύει η </w:t>
      </w:r>
      <w:r w:rsidR="007551A3" w:rsidRPr="0022169B">
        <w:rPr>
          <w:rFonts w:eastAsiaTheme="minorEastAsia"/>
        </w:rPr>
        <w:t>Σχετική</w:t>
      </w:r>
      <w:r w:rsidR="007551A3" w:rsidRPr="002E0BAA">
        <w:rPr>
          <w:rFonts w:eastAsiaTheme="minorEastAsia"/>
        </w:rPr>
        <w:t xml:space="preserve"> Ισοδυναμία Αγοραστικής Δύναμης; </w:t>
      </w:r>
    </w:p>
    <w:p w:rsidR="00345F03" w:rsidRPr="00345F03" w:rsidRDefault="00345F03" w:rsidP="006411E7">
      <w:pPr>
        <w:pStyle w:val="ae"/>
        <w:numPr>
          <w:ilvl w:val="0"/>
          <w:numId w:val="5"/>
        </w:numPr>
        <w:spacing w:line="360" w:lineRule="auto"/>
        <w:contextualSpacing/>
        <w:jc w:val="both"/>
      </w:pPr>
      <w:r w:rsidRPr="00345F03">
        <w:t>Εάν τα ονομαστικά επιτόκια στην Αμερική μειώνονται αλλά τα πραγματικά επιτόκια παραμένουν σταθερά, να προβλέψετε τι πρόκειται να συμβεί στη συναλλαγματική ισοτιμία του $.</w:t>
      </w:r>
    </w:p>
    <w:p w:rsidR="00345F03" w:rsidRDefault="00345F03" w:rsidP="006411E7">
      <w:pPr>
        <w:pStyle w:val="ae"/>
        <w:numPr>
          <w:ilvl w:val="0"/>
          <w:numId w:val="5"/>
        </w:numPr>
        <w:spacing w:line="360" w:lineRule="auto"/>
        <w:contextualSpacing/>
        <w:jc w:val="both"/>
      </w:pPr>
      <w:r w:rsidRPr="00345F03">
        <w:t>Παρουσιάστε τις βασικές θέσεις της θεωρίας καλυμμένης ισοτιμίας επιτοκίων (</w:t>
      </w:r>
      <w:proofErr w:type="spellStart"/>
      <w:r w:rsidRPr="00345F03">
        <w:t>Covered</w:t>
      </w:r>
      <w:proofErr w:type="spellEnd"/>
      <w:r w:rsidRPr="00345F03">
        <w:t xml:space="preserve"> </w:t>
      </w:r>
      <w:proofErr w:type="spellStart"/>
      <w:r w:rsidRPr="00345F03">
        <w:t>interest</w:t>
      </w:r>
      <w:proofErr w:type="spellEnd"/>
      <w:r w:rsidRPr="00345F03">
        <w:t xml:space="preserve"> </w:t>
      </w:r>
      <w:proofErr w:type="spellStart"/>
      <w:r w:rsidRPr="00345F03">
        <w:t>rate</w:t>
      </w:r>
      <w:proofErr w:type="spellEnd"/>
      <w:r w:rsidRPr="00345F03">
        <w:t xml:space="preserve"> </w:t>
      </w:r>
      <w:proofErr w:type="spellStart"/>
      <w:r w:rsidRPr="00345F03">
        <w:t>Parity</w:t>
      </w:r>
      <w:proofErr w:type="spellEnd"/>
      <w:r w:rsidRPr="00345F03">
        <w:t>, CIP).</w:t>
      </w:r>
    </w:p>
    <w:p w:rsidR="00A85D08" w:rsidRDefault="00A85D08" w:rsidP="006411E7">
      <w:pPr>
        <w:pStyle w:val="ae"/>
        <w:numPr>
          <w:ilvl w:val="0"/>
          <w:numId w:val="5"/>
        </w:numPr>
        <w:spacing w:line="360" w:lineRule="auto"/>
        <w:contextualSpacing/>
        <w:jc w:val="both"/>
      </w:pPr>
      <w:r w:rsidRPr="00345F03">
        <w:t>Παρουσιάστε τις βασικές θέσεις της θεωρίας</w:t>
      </w:r>
      <w:r>
        <w:t xml:space="preserve"> μη</w:t>
      </w:r>
      <w:r w:rsidRPr="00345F03">
        <w:t xml:space="preserve"> καλυμμένης ισοτιμίας επιτοκίων (</w:t>
      </w:r>
      <w:proofErr w:type="spellStart"/>
      <w:r>
        <w:rPr>
          <w:lang w:val="en-US"/>
        </w:rPr>
        <w:t>Unc</w:t>
      </w:r>
      <w:r w:rsidRPr="00345F03">
        <w:t>overed</w:t>
      </w:r>
      <w:proofErr w:type="spellEnd"/>
      <w:r w:rsidRPr="00345F03">
        <w:t xml:space="preserve"> </w:t>
      </w:r>
      <w:proofErr w:type="spellStart"/>
      <w:r w:rsidRPr="00345F03">
        <w:t>interest</w:t>
      </w:r>
      <w:proofErr w:type="spellEnd"/>
      <w:r w:rsidRPr="00345F03">
        <w:t xml:space="preserve"> </w:t>
      </w:r>
      <w:proofErr w:type="spellStart"/>
      <w:r w:rsidRPr="00345F03">
        <w:t>rate</w:t>
      </w:r>
      <w:proofErr w:type="spellEnd"/>
      <w:r w:rsidRPr="00345F03">
        <w:t xml:space="preserve"> </w:t>
      </w:r>
      <w:proofErr w:type="spellStart"/>
      <w:r w:rsidRPr="00345F03">
        <w:t>Parity</w:t>
      </w:r>
      <w:proofErr w:type="spellEnd"/>
      <w:r w:rsidRPr="00345F03">
        <w:t xml:space="preserve">, </w:t>
      </w:r>
      <w:r>
        <w:rPr>
          <w:lang w:val="en-US"/>
        </w:rPr>
        <w:t>U</w:t>
      </w:r>
      <w:r w:rsidRPr="00345F03">
        <w:t>IP).</w:t>
      </w:r>
    </w:p>
    <w:p w:rsidR="00345F03" w:rsidRPr="00A85D08" w:rsidRDefault="00345F03" w:rsidP="006411E7">
      <w:pPr>
        <w:pStyle w:val="ae"/>
        <w:numPr>
          <w:ilvl w:val="0"/>
          <w:numId w:val="5"/>
        </w:numPr>
        <w:spacing w:line="360" w:lineRule="auto"/>
        <w:contextualSpacing/>
        <w:jc w:val="both"/>
      </w:pPr>
      <w:r>
        <w:rPr>
          <w:rFonts w:eastAsia="Calibri"/>
          <w:iCs/>
          <w:lang w:eastAsia="en-US"/>
        </w:rPr>
        <w:t xml:space="preserve">Έστω ότι </w:t>
      </w:r>
      <w:r w:rsidRPr="00550635">
        <w:rPr>
          <w:rFonts w:eastAsia="Calibri"/>
          <w:lang w:val="en-US" w:eastAsia="en-US"/>
        </w:rPr>
        <w:t>i</w:t>
      </w:r>
      <w:r w:rsidRPr="00550635">
        <w:rPr>
          <w:rFonts w:eastAsia="Calibri"/>
          <w:vertAlign w:val="subscript"/>
          <w:lang w:val="en-US" w:eastAsia="en-US"/>
        </w:rPr>
        <w:t>d</w:t>
      </w:r>
      <w:r w:rsidRPr="00550635">
        <w:rPr>
          <w:rFonts w:eastAsia="Calibri"/>
          <w:lang w:eastAsia="en-US"/>
        </w:rPr>
        <w:t xml:space="preserve">=6% και το  </w:t>
      </w:r>
      <w:r w:rsidRPr="00550635">
        <w:rPr>
          <w:rFonts w:eastAsia="Calibri"/>
          <w:lang w:val="en-US" w:eastAsia="en-US"/>
        </w:rPr>
        <w:t>i</w:t>
      </w:r>
      <w:r w:rsidRPr="00550635">
        <w:rPr>
          <w:rFonts w:eastAsia="Calibri"/>
          <w:vertAlign w:val="subscript"/>
          <w:lang w:val="en-US" w:eastAsia="en-US"/>
        </w:rPr>
        <w:t>f</w:t>
      </w:r>
      <w:r w:rsidRPr="00550635">
        <w:rPr>
          <w:rFonts w:eastAsia="Calibri"/>
          <w:lang w:eastAsia="en-US"/>
        </w:rPr>
        <w:t xml:space="preserve">=4% και η αναμενόμενη μεταβολή της συναλλαγματικής ισοτιμίας ισούται με +1%. </w:t>
      </w:r>
      <w:r>
        <w:rPr>
          <w:rFonts w:eastAsia="Calibri"/>
          <w:lang w:eastAsia="en-US"/>
        </w:rPr>
        <w:t>Πείτε μας αν</w:t>
      </w:r>
      <w:r w:rsidRPr="00550635">
        <w:rPr>
          <w:rFonts w:eastAsia="Calibri"/>
          <w:lang w:eastAsia="en-US"/>
        </w:rPr>
        <w:t xml:space="preserve"> ισχύει η ΑΑΕ</w:t>
      </w:r>
      <w:r w:rsidR="00A85D08">
        <w:rPr>
          <w:rFonts w:eastAsia="Calibri"/>
          <w:lang w:eastAsia="en-US"/>
        </w:rPr>
        <w:t>.</w:t>
      </w:r>
      <w:r>
        <w:rPr>
          <w:rFonts w:eastAsia="Calibri"/>
          <w:lang w:eastAsia="en-US"/>
        </w:rPr>
        <w:t xml:space="preserve"> Βάζοντας νούμερα στο ακόλουθο γραφικό τοποθετήστε το σημείο όπου βρίσκεται ο επενδυτής. Στην συνέχεια εξηγείστε </w:t>
      </w:r>
      <w:r w:rsidR="00A85D08">
        <w:rPr>
          <w:rFonts w:eastAsia="Calibri"/>
          <w:lang w:eastAsia="en-US"/>
        </w:rPr>
        <w:t>τον μηχανισμό εξισορρόπησης.</w:t>
      </w:r>
    </w:p>
    <w:p w:rsidR="00A85D08" w:rsidRDefault="00A85D08" w:rsidP="00F5195A">
      <w:pPr>
        <w:spacing w:line="360" w:lineRule="auto"/>
        <w:contextualSpacing/>
        <w:jc w:val="both"/>
      </w:pPr>
      <w:r w:rsidRPr="00550635">
        <w:rPr>
          <w:rFonts w:eastAsia="Calibri"/>
          <w:noProof/>
        </w:rPr>
        <w:drawing>
          <wp:inline distT="0" distB="0" distL="0" distR="0">
            <wp:extent cx="2971287" cy="1930400"/>
            <wp:effectExtent l="19050" t="19050" r="19685" b="12700"/>
            <wp:docPr id="47124" name="Εικόνα 4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x_2.jpg"/>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798" r="54644" b="43106"/>
                    <a:stretch/>
                  </pic:blipFill>
                  <pic:spPr bwMode="auto">
                    <a:xfrm>
                      <a:off x="0" y="0"/>
                      <a:ext cx="2970195" cy="1929690"/>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C3AFC" w:rsidRPr="00A85D08" w:rsidRDefault="00BC3AFC" w:rsidP="006411E7">
      <w:pPr>
        <w:pStyle w:val="ae"/>
        <w:numPr>
          <w:ilvl w:val="0"/>
          <w:numId w:val="5"/>
        </w:numPr>
        <w:spacing w:line="360" w:lineRule="auto"/>
        <w:contextualSpacing/>
        <w:jc w:val="both"/>
      </w:pPr>
      <w:r w:rsidRPr="00453F39">
        <w:t>Να αναφέρεται τα πλεονεκτήματα και τα μειονεκτήματα των συστημάτων σταθερών συναλλ</w:t>
      </w:r>
      <w:r w:rsidR="00125197">
        <w:t>α</w:t>
      </w:r>
      <w:r w:rsidRPr="00453F39">
        <w:t>γματικών ισοτιμιών έναντι των συστημάτων ελεύθερα κυμαινόμενων ισοτιμιών.</w:t>
      </w:r>
    </w:p>
    <w:p w:rsidR="00A85D08" w:rsidRDefault="00A85D08" w:rsidP="006411E7">
      <w:pPr>
        <w:pStyle w:val="ae"/>
        <w:numPr>
          <w:ilvl w:val="0"/>
          <w:numId w:val="5"/>
        </w:numPr>
        <w:spacing w:line="360" w:lineRule="auto"/>
        <w:contextualSpacing/>
        <w:jc w:val="both"/>
      </w:pPr>
      <w:r w:rsidRPr="00A85D08">
        <w:t xml:space="preserve"> </w:t>
      </w:r>
      <w:r>
        <w:t>Να</w:t>
      </w:r>
      <w:r w:rsidRPr="00A85D08">
        <w:t xml:space="preserve"> </w:t>
      </w:r>
      <w:r>
        <w:t>αναφέρετε</w:t>
      </w:r>
      <w:r w:rsidRPr="00A85D08">
        <w:t xml:space="preserve"> </w:t>
      </w:r>
      <w:r>
        <w:t>τις</w:t>
      </w:r>
      <w:r w:rsidRPr="00A85D08">
        <w:t xml:space="preserve"> </w:t>
      </w:r>
      <w:r>
        <w:t>διαφορές</w:t>
      </w:r>
      <w:r w:rsidRPr="00A85D08">
        <w:t xml:space="preserve"> </w:t>
      </w:r>
      <w:r>
        <w:t>μεταξύ των νομισματικών συστημάτων</w:t>
      </w:r>
      <w:r w:rsidRPr="00A85D08">
        <w:t xml:space="preserve"> </w:t>
      </w:r>
      <w:r w:rsidRPr="00A85D08">
        <w:rPr>
          <w:lang w:val="en-US"/>
        </w:rPr>
        <w:t>Monetary</w:t>
      </w:r>
      <w:r w:rsidRPr="00A85D08">
        <w:t xml:space="preserve"> </w:t>
      </w:r>
      <w:r w:rsidRPr="00A85D08">
        <w:rPr>
          <w:lang w:val="en-US"/>
        </w:rPr>
        <w:t>Union</w:t>
      </w:r>
      <w:r w:rsidRPr="00A85D08">
        <w:t xml:space="preserve">, </w:t>
      </w:r>
      <w:r w:rsidRPr="00A85D08">
        <w:rPr>
          <w:lang w:val="en-US"/>
        </w:rPr>
        <w:t>Dollarization</w:t>
      </w:r>
      <w:r w:rsidRPr="00A85D08">
        <w:t xml:space="preserve">, </w:t>
      </w:r>
      <w:r w:rsidRPr="00A85D08">
        <w:rPr>
          <w:lang w:val="en-US"/>
        </w:rPr>
        <w:t>Currency</w:t>
      </w:r>
      <w:r w:rsidRPr="00A85D08">
        <w:t xml:space="preserve"> </w:t>
      </w:r>
      <w:r w:rsidRPr="00A85D08">
        <w:rPr>
          <w:lang w:val="en-US"/>
        </w:rPr>
        <w:t>Board</w:t>
      </w:r>
      <w:r w:rsidRPr="00A85D08">
        <w:t xml:space="preserve">, </w:t>
      </w:r>
      <w:r w:rsidRPr="00A85D08">
        <w:rPr>
          <w:lang w:val="en-US"/>
        </w:rPr>
        <w:t>Truly</w:t>
      </w:r>
      <w:r w:rsidRPr="00A85D08">
        <w:t xml:space="preserve"> </w:t>
      </w:r>
      <w:r w:rsidRPr="00A85D08">
        <w:rPr>
          <w:lang w:val="en-US"/>
        </w:rPr>
        <w:t>Fixed</w:t>
      </w:r>
      <w:r w:rsidRPr="00A85D08">
        <w:t>.</w:t>
      </w:r>
    </w:p>
    <w:p w:rsidR="00A85D08" w:rsidRPr="00A85D08" w:rsidRDefault="00A85D08" w:rsidP="006411E7">
      <w:pPr>
        <w:pStyle w:val="ae"/>
        <w:numPr>
          <w:ilvl w:val="0"/>
          <w:numId w:val="5"/>
        </w:numPr>
        <w:spacing w:line="360" w:lineRule="auto"/>
        <w:contextualSpacing/>
        <w:jc w:val="both"/>
      </w:pPr>
      <w:r>
        <w:t xml:space="preserve">Να αναφέρετε τα βασικά σημεία των νομισματικών συστημάτων </w:t>
      </w:r>
      <w:proofErr w:type="spellStart"/>
      <w:r>
        <w:t>Adjustable</w:t>
      </w:r>
      <w:proofErr w:type="spellEnd"/>
      <w:r>
        <w:t xml:space="preserve"> </w:t>
      </w:r>
      <w:proofErr w:type="spellStart"/>
      <w:r>
        <w:t>Peg</w:t>
      </w:r>
      <w:proofErr w:type="spellEnd"/>
      <w:r>
        <w:t xml:space="preserve">, </w:t>
      </w:r>
      <w:proofErr w:type="spellStart"/>
      <w:r>
        <w:t>Crawling</w:t>
      </w:r>
      <w:proofErr w:type="spellEnd"/>
      <w:r>
        <w:t xml:space="preserve"> </w:t>
      </w:r>
      <w:proofErr w:type="spellStart"/>
      <w:r>
        <w:t>Peg</w:t>
      </w:r>
      <w:proofErr w:type="spellEnd"/>
      <w:r>
        <w:t xml:space="preserve">, </w:t>
      </w:r>
      <w:proofErr w:type="spellStart"/>
      <w:r>
        <w:t>Basket</w:t>
      </w:r>
      <w:proofErr w:type="spellEnd"/>
      <w:r>
        <w:t xml:space="preserve"> </w:t>
      </w:r>
      <w:proofErr w:type="spellStart"/>
      <w:r>
        <w:t>Peg</w:t>
      </w:r>
      <w:proofErr w:type="spellEnd"/>
      <w:r>
        <w:t xml:space="preserve">, </w:t>
      </w:r>
      <w:proofErr w:type="spellStart"/>
      <w:r>
        <w:t>Target</w:t>
      </w:r>
      <w:proofErr w:type="spellEnd"/>
      <w:r>
        <w:t xml:space="preserve"> </w:t>
      </w:r>
      <w:proofErr w:type="spellStart"/>
      <w:r>
        <w:t>Zone</w:t>
      </w:r>
      <w:proofErr w:type="spellEnd"/>
      <w:r>
        <w:t>.</w:t>
      </w:r>
    </w:p>
    <w:p w:rsidR="00BC3AFC" w:rsidRPr="00453F39" w:rsidRDefault="003927D3" w:rsidP="006411E7">
      <w:pPr>
        <w:pStyle w:val="ae"/>
        <w:numPr>
          <w:ilvl w:val="0"/>
          <w:numId w:val="5"/>
        </w:numPr>
        <w:spacing w:line="360" w:lineRule="auto"/>
        <w:contextualSpacing/>
        <w:jc w:val="both"/>
      </w:pPr>
      <w:r w:rsidRPr="00453F39">
        <w:t xml:space="preserve">Να αναφέρετε τις βασικές σχέσεις του υποδείγματος εύκαμπτων τιμών. </w:t>
      </w:r>
    </w:p>
    <w:p w:rsidR="00387EBC" w:rsidRPr="00387EBC" w:rsidRDefault="00387EBC" w:rsidP="006411E7">
      <w:pPr>
        <w:pStyle w:val="ae"/>
        <w:numPr>
          <w:ilvl w:val="0"/>
          <w:numId w:val="5"/>
        </w:numPr>
        <w:spacing w:line="360" w:lineRule="auto"/>
        <w:contextualSpacing/>
        <w:jc w:val="both"/>
      </w:pPr>
      <w:r w:rsidRPr="00387EBC">
        <w:t>Να αναφέρετε τις βασ</w:t>
      </w:r>
      <w:r>
        <w:t>ικές σχέσεις του υποδείγματος ά</w:t>
      </w:r>
      <w:r w:rsidRPr="00387EBC">
        <w:t xml:space="preserve">καμπτων τιμών. </w:t>
      </w:r>
    </w:p>
    <w:p w:rsidR="003927D3" w:rsidRDefault="00387EBC" w:rsidP="006411E7">
      <w:pPr>
        <w:pStyle w:val="ae"/>
        <w:numPr>
          <w:ilvl w:val="0"/>
          <w:numId w:val="5"/>
        </w:numPr>
        <w:spacing w:line="360" w:lineRule="auto"/>
        <w:contextualSpacing/>
        <w:jc w:val="both"/>
      </w:pPr>
      <w:r>
        <w:lastRenderedPageBreak/>
        <w:t>Να δώσετε ένα παράδειγμα π</w:t>
      </w:r>
      <w:r w:rsidRPr="00387EBC">
        <w:t>αρεμβατική</w:t>
      </w:r>
      <w:r>
        <w:t>ς</w:t>
      </w:r>
      <w:r w:rsidRPr="00387EBC">
        <w:t xml:space="preserve"> πολιτική</w:t>
      </w:r>
      <w:r>
        <w:t xml:space="preserve">ς </w:t>
      </w:r>
      <w:r w:rsidRPr="00387EBC">
        <w:t>μη αποστείρωσης</w:t>
      </w:r>
      <w:r w:rsidR="00017702">
        <w:t>,</w:t>
      </w:r>
      <w:r w:rsidRPr="00387EBC">
        <w:t xml:space="preserve"> </w:t>
      </w:r>
      <w:r w:rsidR="00017702">
        <w:t>της κεντρικής τράπεζας</w:t>
      </w:r>
      <w:r w:rsidR="00017702" w:rsidRPr="00387EBC">
        <w:t xml:space="preserve"> </w:t>
      </w:r>
      <w:r w:rsidRPr="00387EBC">
        <w:t>στην αγορά συναλλάγματος</w:t>
      </w:r>
      <w:r>
        <w:t>. Απαραίτητη η γραφική απεικόνιση.</w:t>
      </w:r>
    </w:p>
    <w:p w:rsidR="00387EBC" w:rsidRPr="00387EBC" w:rsidRDefault="00387EBC" w:rsidP="006411E7">
      <w:pPr>
        <w:pStyle w:val="ae"/>
        <w:numPr>
          <w:ilvl w:val="0"/>
          <w:numId w:val="5"/>
        </w:numPr>
        <w:spacing w:line="360" w:lineRule="auto"/>
        <w:contextualSpacing/>
        <w:jc w:val="both"/>
      </w:pPr>
      <w:r w:rsidRPr="00387EBC">
        <w:t>Να δώσετε ένα παράδειγμα παρεμβατικής πολιτικής αποστείρωσης</w:t>
      </w:r>
      <w:r w:rsidR="00017702">
        <w:t>,</w:t>
      </w:r>
      <w:r w:rsidRPr="00387EBC">
        <w:t xml:space="preserve"> </w:t>
      </w:r>
      <w:r w:rsidR="00017702" w:rsidRPr="00387EBC">
        <w:t xml:space="preserve">της κεντρικής τράπεζας </w:t>
      </w:r>
      <w:r w:rsidRPr="00387EBC">
        <w:t>στην αγορά συναλλάγματος. Απαραίτητη η γραφική απεικόνιση.</w:t>
      </w:r>
    </w:p>
    <w:p w:rsidR="00F5195A" w:rsidRPr="00817B6A" w:rsidRDefault="00F5195A" w:rsidP="006411E7">
      <w:pPr>
        <w:pStyle w:val="ae"/>
        <w:numPr>
          <w:ilvl w:val="0"/>
          <w:numId w:val="5"/>
        </w:numPr>
        <w:spacing w:line="360" w:lineRule="auto"/>
        <w:jc w:val="both"/>
      </w:pPr>
      <w:r w:rsidRPr="00817B6A">
        <w:t xml:space="preserve">Τι επίδραση θα είχε μια υποτίμηση με βάση την μονεταριστική προσέγγιση στο ισοζύγιο πληρωμών. </w:t>
      </w:r>
    </w:p>
    <w:p w:rsidR="00F5195A" w:rsidRPr="00817B6A" w:rsidRDefault="00F5195A" w:rsidP="006411E7">
      <w:pPr>
        <w:pStyle w:val="ae"/>
        <w:numPr>
          <w:ilvl w:val="0"/>
          <w:numId w:val="5"/>
        </w:numPr>
        <w:spacing w:line="360" w:lineRule="auto"/>
        <w:jc w:val="both"/>
        <w:rPr>
          <w:rFonts w:eastAsiaTheme="minorEastAsia"/>
        </w:rPr>
      </w:pPr>
      <w:r w:rsidRPr="00817B6A">
        <w:t xml:space="preserve">Να αποδείξετε την συνθήκη </w:t>
      </w:r>
      <w:r w:rsidRPr="00817B6A">
        <w:rPr>
          <w:lang w:val="en-US"/>
        </w:rPr>
        <w:t>Marshall</w:t>
      </w:r>
      <w:r w:rsidRPr="00817B6A">
        <w:t>-</w:t>
      </w:r>
      <w:r w:rsidRPr="00817B6A">
        <w:rPr>
          <w:lang w:val="en-US"/>
        </w:rPr>
        <w:t>Lerner</w:t>
      </w:r>
      <w:r w:rsidRPr="00817B6A">
        <w:t xml:space="preserve"> (</w:t>
      </w:r>
      <m:oMath>
        <m:sSub>
          <m:sSubPr>
            <m:ctrlPr>
              <w:rPr>
                <w:rFonts w:ascii="Cambria Math" w:hAnsi="Cambria Math"/>
                <w:i/>
              </w:rPr>
            </m:ctrlPr>
          </m:sSubPr>
          <m:e>
            <m:r>
              <w:rPr>
                <w:rFonts w:ascii="Cambria Math" w:hAnsi="Cambria Math"/>
              </w:rPr>
              <m:t>n</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w:rPr>
                <w:rFonts w:ascii="Cambria Math" w:hAnsi="Cambria Math"/>
              </w:rPr>
              <m:t>m</m:t>
            </m:r>
          </m:sub>
        </m:sSub>
        <m:r>
          <w:rPr>
            <w:rFonts w:ascii="Cambria Math" w:hAnsi="Cambria Math"/>
          </w:rPr>
          <m:t>&gt;1)</m:t>
        </m:r>
      </m:oMath>
      <w:r w:rsidRPr="00817B6A">
        <w:rPr>
          <w:rFonts w:eastAsiaTheme="minorEastAsia"/>
        </w:rPr>
        <w:t xml:space="preserve">. Και τι σημαίνει σε οικονομικούς όρους; Τι δείχνει η καμπύλη </w:t>
      </w:r>
      <w:r w:rsidRPr="00817B6A">
        <w:rPr>
          <w:rFonts w:eastAsiaTheme="minorEastAsia"/>
          <w:lang w:val="en-US"/>
        </w:rPr>
        <w:t>J</w:t>
      </w:r>
      <w:r w:rsidRPr="00817B6A">
        <w:rPr>
          <w:rFonts w:eastAsiaTheme="minorEastAsia"/>
        </w:rPr>
        <w:t>;</w:t>
      </w:r>
    </w:p>
    <w:p w:rsidR="00F5195A" w:rsidRDefault="00F5195A" w:rsidP="006411E7">
      <w:pPr>
        <w:pStyle w:val="ae"/>
        <w:numPr>
          <w:ilvl w:val="0"/>
          <w:numId w:val="5"/>
        </w:numPr>
        <w:spacing w:line="360" w:lineRule="auto"/>
        <w:jc w:val="both"/>
        <w:rPr>
          <w:rFonts w:eastAsiaTheme="minorEastAsia"/>
        </w:rPr>
      </w:pPr>
      <w:r w:rsidRPr="00817B6A">
        <w:rPr>
          <w:rFonts w:eastAsiaTheme="minorEastAsia"/>
        </w:rPr>
        <w:t>Να αποδείξετε γιατί η υποτίμηση δεν είναι από μόνη της η σωστή λύση σύμφωνα με το υπόδειγμα απορρόφησης ή δαπάνης.</w:t>
      </w:r>
    </w:p>
    <w:p w:rsidR="00F5195A" w:rsidRDefault="00F5195A" w:rsidP="006411E7">
      <w:pPr>
        <w:pStyle w:val="ae"/>
        <w:numPr>
          <w:ilvl w:val="0"/>
          <w:numId w:val="5"/>
        </w:numPr>
        <w:spacing w:line="360" w:lineRule="auto"/>
        <w:jc w:val="both"/>
        <w:rPr>
          <w:rFonts w:eastAsiaTheme="minorEastAsia"/>
        </w:rPr>
      </w:pPr>
      <w:r>
        <w:rPr>
          <w:rFonts w:eastAsiaTheme="minorEastAsia"/>
        </w:rPr>
        <w:t xml:space="preserve">Ποια τα πιο σημαντικά εμπειρικά ευρήματα για την ΙΑΔ σύμφωνα με τον καθηγητή </w:t>
      </w:r>
      <w:proofErr w:type="spellStart"/>
      <w:r>
        <w:rPr>
          <w:rFonts w:eastAsiaTheme="minorEastAsia"/>
          <w:lang w:val="en-US"/>
        </w:rPr>
        <w:t>Pilbeam</w:t>
      </w:r>
      <w:proofErr w:type="spellEnd"/>
      <w:r>
        <w:rPr>
          <w:rFonts w:eastAsiaTheme="minorEastAsia"/>
        </w:rPr>
        <w:t>;</w:t>
      </w:r>
    </w:p>
    <w:p w:rsidR="00F5195A" w:rsidRPr="00817B6A" w:rsidRDefault="00F5195A" w:rsidP="006411E7">
      <w:pPr>
        <w:pStyle w:val="ae"/>
        <w:numPr>
          <w:ilvl w:val="0"/>
          <w:numId w:val="5"/>
        </w:numPr>
        <w:spacing w:line="360" w:lineRule="auto"/>
        <w:jc w:val="both"/>
        <w:rPr>
          <w:rFonts w:eastAsiaTheme="minorEastAsia"/>
        </w:rPr>
      </w:pPr>
      <w:r>
        <w:rPr>
          <w:rFonts w:eastAsiaTheme="minorEastAsia"/>
        </w:rPr>
        <w:t xml:space="preserve">Να αναφέρετε τους πιθανούς λόγους αποτυχίας της ΙΑΔ που εμφανίζονται στην βιβλιογραφία. </w:t>
      </w:r>
    </w:p>
    <w:p w:rsidR="002322C4" w:rsidRPr="00BE66AD" w:rsidRDefault="002322C4" w:rsidP="006411E7">
      <w:pPr>
        <w:pStyle w:val="ae"/>
        <w:numPr>
          <w:ilvl w:val="0"/>
          <w:numId w:val="5"/>
        </w:numPr>
        <w:spacing w:line="360" w:lineRule="auto"/>
        <w:contextualSpacing/>
        <w:jc w:val="both"/>
      </w:pPr>
      <w:r w:rsidRPr="00BE66AD">
        <w:t xml:space="preserve">Για ποιο λόγο οι δύο </w:t>
      </w:r>
      <w:proofErr w:type="spellStart"/>
      <w:r w:rsidRPr="00BE66AD">
        <w:t>όχθεις</w:t>
      </w:r>
      <w:proofErr w:type="spellEnd"/>
      <w:r w:rsidRPr="00BE66AD">
        <w:t xml:space="preserve"> του Ατλαντικού είναι δυσαρεστημένες με το συναλλαγματικό καθεστώς της Κίνας;</w:t>
      </w:r>
    </w:p>
    <w:p w:rsidR="002322C4" w:rsidRPr="00BE66AD" w:rsidRDefault="00125197" w:rsidP="006411E7">
      <w:pPr>
        <w:pStyle w:val="ae"/>
        <w:numPr>
          <w:ilvl w:val="0"/>
          <w:numId w:val="5"/>
        </w:numPr>
        <w:spacing w:line="360" w:lineRule="auto"/>
        <w:contextualSpacing/>
        <w:jc w:val="both"/>
      </w:pPr>
      <w:r w:rsidRPr="00BE66AD">
        <w:t xml:space="preserve">Προκειμένου να διατηρήσει </w:t>
      </w:r>
      <w:r w:rsidR="002322C4" w:rsidRPr="00BE66AD">
        <w:t xml:space="preserve">την συναλλαγματική ισοτιμία </w:t>
      </w:r>
      <w:proofErr w:type="spellStart"/>
      <w:r w:rsidR="002322C4" w:rsidRPr="00BE66AD">
        <w:t>γουάν</w:t>
      </w:r>
      <w:proofErr w:type="spellEnd"/>
      <w:r w:rsidR="002322C4" w:rsidRPr="00BE66AD">
        <w:t xml:space="preserve"> δολαρίου σταθερή τι αναγκάζεται να κάνει η Κίνα;</w:t>
      </w:r>
    </w:p>
    <w:p w:rsidR="002322C4" w:rsidRPr="00BE66AD" w:rsidRDefault="002322C4" w:rsidP="006411E7">
      <w:pPr>
        <w:pStyle w:val="ae"/>
        <w:numPr>
          <w:ilvl w:val="0"/>
          <w:numId w:val="5"/>
        </w:numPr>
        <w:spacing w:line="360" w:lineRule="auto"/>
        <w:contextualSpacing/>
        <w:jc w:val="both"/>
      </w:pPr>
      <w:r w:rsidRPr="00BE66AD">
        <w:t xml:space="preserve">Για ποιους λόγους καθυστερεί η </w:t>
      </w:r>
      <w:proofErr w:type="spellStart"/>
      <w:r w:rsidRPr="00BE66AD">
        <w:t>η</w:t>
      </w:r>
      <w:proofErr w:type="spellEnd"/>
      <w:r w:rsidRPr="00BE66AD">
        <w:t xml:space="preserve"> Κινεζική κυβέρνηση μια ανατίμηση του </w:t>
      </w:r>
      <w:proofErr w:type="spellStart"/>
      <w:r w:rsidRPr="00BE66AD">
        <w:t>γουάν</w:t>
      </w:r>
      <w:proofErr w:type="spellEnd"/>
      <w:r w:rsidRPr="00BE66AD">
        <w:t>;</w:t>
      </w:r>
    </w:p>
    <w:p w:rsidR="002322C4" w:rsidRPr="00BE66AD" w:rsidRDefault="002322C4" w:rsidP="006411E7">
      <w:pPr>
        <w:pStyle w:val="ae"/>
        <w:numPr>
          <w:ilvl w:val="0"/>
          <w:numId w:val="5"/>
        </w:numPr>
        <w:spacing w:line="360" w:lineRule="auto"/>
        <w:contextualSpacing/>
        <w:jc w:val="both"/>
      </w:pPr>
      <w:r w:rsidRPr="00BE66AD">
        <w:t>Ποια θα είναι η επίπτωση στα επιτόκια των ΗΠΑ αν οι κινέζοι πάψουν αν αγοράζουν τα Αμερικανικά ομόλογα;</w:t>
      </w:r>
    </w:p>
    <w:p w:rsidR="002322C4" w:rsidRPr="00BE66AD" w:rsidRDefault="002322C4" w:rsidP="006411E7">
      <w:pPr>
        <w:pStyle w:val="ae"/>
        <w:numPr>
          <w:ilvl w:val="0"/>
          <w:numId w:val="5"/>
        </w:numPr>
        <w:spacing w:line="360" w:lineRule="auto"/>
        <w:contextualSpacing/>
        <w:jc w:val="both"/>
      </w:pPr>
      <w:r w:rsidRPr="00BE66AD">
        <w:t xml:space="preserve">Για ποιο λόγο μια ανατίμηση του </w:t>
      </w:r>
      <w:proofErr w:type="spellStart"/>
      <w:r w:rsidRPr="00BE66AD">
        <w:t>γουάν</w:t>
      </w:r>
      <w:proofErr w:type="spellEnd"/>
      <w:r w:rsidRPr="00BE66AD">
        <w:t xml:space="preserve"> δεν θα αποτελούσε λύτρωση για τις ΗΠΑ; </w:t>
      </w:r>
    </w:p>
    <w:p w:rsidR="002322C4" w:rsidRDefault="002322C4" w:rsidP="002322C4">
      <w:pPr>
        <w:spacing w:line="360" w:lineRule="auto"/>
        <w:contextualSpacing/>
        <w:jc w:val="both"/>
      </w:pPr>
    </w:p>
    <w:p w:rsidR="002322C4" w:rsidRPr="002322C4" w:rsidRDefault="002322C4" w:rsidP="002322C4"/>
    <w:p w:rsidR="002322C4" w:rsidRDefault="002322C4" w:rsidP="000D79D8">
      <w:pPr>
        <w:pStyle w:val="2"/>
        <w:spacing w:before="0" w:after="0" w:line="360" w:lineRule="auto"/>
        <w:jc w:val="both"/>
        <w:rPr>
          <w:rFonts w:ascii="Times New Roman" w:hAnsi="Times New Roman" w:cs="Times New Roman"/>
          <w:i w:val="0"/>
        </w:rPr>
      </w:pPr>
    </w:p>
    <w:p w:rsidR="00AF2EAD" w:rsidRDefault="00AF2EAD" w:rsidP="00AF2EAD"/>
    <w:p w:rsidR="00AF2EAD" w:rsidRDefault="00AF2EAD" w:rsidP="00AF2EAD"/>
    <w:p w:rsidR="00AF2EAD" w:rsidRDefault="00AF2EAD" w:rsidP="00AF2EAD"/>
    <w:p w:rsidR="00AF2EAD" w:rsidRDefault="00AF2EAD" w:rsidP="00AF2EAD"/>
    <w:p w:rsidR="00AF2EAD" w:rsidRDefault="00AF2EAD" w:rsidP="00AF2EAD"/>
    <w:p w:rsidR="00AF2EAD" w:rsidRPr="00AF2EAD" w:rsidRDefault="00AF2EAD" w:rsidP="00AF2EAD"/>
    <w:p w:rsidR="00460FE5" w:rsidRPr="000D79D8" w:rsidRDefault="00964312" w:rsidP="000D79D8">
      <w:pPr>
        <w:pStyle w:val="2"/>
        <w:spacing w:before="0" w:after="0" w:line="360" w:lineRule="auto"/>
        <w:jc w:val="both"/>
        <w:rPr>
          <w:rFonts w:ascii="Times New Roman" w:hAnsi="Times New Roman" w:cs="Times New Roman"/>
          <w:i w:val="0"/>
        </w:rPr>
      </w:pPr>
      <w:bookmarkStart w:id="47" w:name="_Toc395803108"/>
      <w:bookmarkStart w:id="48" w:name="_Toc396220917"/>
      <w:r>
        <w:rPr>
          <w:rFonts w:ascii="Times New Roman" w:hAnsi="Times New Roman" w:cs="Times New Roman"/>
          <w:i w:val="0"/>
        </w:rPr>
        <w:lastRenderedPageBreak/>
        <w:t xml:space="preserve">Βιβλιογραφία </w:t>
      </w:r>
      <w:r w:rsidR="00567FAF" w:rsidRPr="000D79D8">
        <w:rPr>
          <w:rFonts w:ascii="Times New Roman" w:hAnsi="Times New Roman" w:cs="Times New Roman"/>
          <w:i w:val="0"/>
        </w:rPr>
        <w:t>Κεφαλαίου</w:t>
      </w:r>
      <w:bookmarkEnd w:id="47"/>
      <w:bookmarkEnd w:id="48"/>
    </w:p>
    <w:p w:rsidR="00A4275F" w:rsidRDefault="00A4275F" w:rsidP="00A4275F">
      <w:pPr>
        <w:spacing w:line="360" w:lineRule="auto"/>
        <w:jc w:val="both"/>
        <w:rPr>
          <w:rFonts w:eastAsiaTheme="minorHAnsi"/>
          <w:b/>
          <w:lang w:eastAsia="en-US"/>
        </w:rPr>
      </w:pPr>
    </w:p>
    <w:p w:rsidR="00567FAF" w:rsidRPr="00A4275F" w:rsidRDefault="00A4275F" w:rsidP="00A4275F">
      <w:pPr>
        <w:spacing w:line="360" w:lineRule="auto"/>
        <w:jc w:val="both"/>
        <w:rPr>
          <w:rFonts w:eastAsiaTheme="minorHAnsi"/>
          <w:b/>
          <w:lang w:eastAsia="en-US"/>
        </w:rPr>
      </w:pPr>
      <w:r w:rsidRPr="00A4275F">
        <w:rPr>
          <w:rFonts w:eastAsiaTheme="minorHAnsi"/>
          <w:b/>
          <w:lang w:eastAsia="en-US"/>
        </w:rPr>
        <w:t>Ελληνική Βιβλιογραφία</w:t>
      </w:r>
    </w:p>
    <w:p w:rsidR="00A4275F" w:rsidRPr="00A4275F" w:rsidRDefault="00A4275F" w:rsidP="00A4275F">
      <w:pPr>
        <w:spacing w:before="120" w:after="120" w:line="360" w:lineRule="auto"/>
        <w:contextualSpacing/>
        <w:jc w:val="both"/>
      </w:pPr>
      <w:proofErr w:type="spellStart"/>
      <w:proofErr w:type="gramStart"/>
      <w:r w:rsidRPr="002426EE">
        <w:rPr>
          <w:lang w:val="en-US"/>
        </w:rPr>
        <w:t>Krugman</w:t>
      </w:r>
      <w:proofErr w:type="spellEnd"/>
      <w:r w:rsidRPr="00AA2CEF">
        <w:rPr>
          <w:lang w:val="en-US"/>
        </w:rPr>
        <w:t xml:space="preserve">, </w:t>
      </w:r>
      <w:r>
        <w:rPr>
          <w:lang w:val="en-US"/>
        </w:rPr>
        <w:t>P</w:t>
      </w:r>
      <w:r w:rsidRPr="00AA2CEF">
        <w:rPr>
          <w:lang w:val="en-US"/>
        </w:rPr>
        <w:t>.</w:t>
      </w:r>
      <w:r>
        <w:rPr>
          <w:lang w:val="en-US"/>
        </w:rPr>
        <w:t>R</w:t>
      </w:r>
      <w:r w:rsidRPr="00AA2CEF">
        <w:rPr>
          <w:lang w:val="en-US"/>
        </w:rPr>
        <w:t xml:space="preserve">. </w:t>
      </w:r>
      <w:proofErr w:type="spellStart"/>
      <w:r w:rsidRPr="00754AF6">
        <w:rPr>
          <w:color w:val="000000" w:themeColor="text1"/>
          <w:lang w:val="en-US"/>
        </w:rPr>
        <w:t>O</w:t>
      </w:r>
      <w:r w:rsidR="00754AF6" w:rsidRPr="00754AF6">
        <w:rPr>
          <w:color w:val="000000" w:themeColor="text1"/>
          <w:lang w:val="en-US"/>
        </w:rPr>
        <w:t>b</w:t>
      </w:r>
      <w:r w:rsidRPr="00754AF6">
        <w:rPr>
          <w:color w:val="000000" w:themeColor="text1"/>
          <w:lang w:val="en-US"/>
        </w:rPr>
        <w:t>stfeld</w:t>
      </w:r>
      <w:proofErr w:type="spellEnd"/>
      <w:r w:rsidRPr="00AA2CEF">
        <w:rPr>
          <w:lang w:val="en-US"/>
        </w:rPr>
        <w:t xml:space="preserve">, </w:t>
      </w:r>
      <w:r>
        <w:rPr>
          <w:lang w:val="en-US"/>
        </w:rPr>
        <w:t>M</w:t>
      </w:r>
      <w:r w:rsidRPr="00AA2CEF">
        <w:rPr>
          <w:lang w:val="en-US"/>
        </w:rPr>
        <w:t>. (2011).</w:t>
      </w:r>
      <w:proofErr w:type="gramEnd"/>
      <w:r w:rsidRPr="00AA2CEF">
        <w:rPr>
          <w:lang w:val="en-US"/>
        </w:rPr>
        <w:t xml:space="preserve"> </w:t>
      </w:r>
      <w:r w:rsidRPr="00A4275F">
        <w:rPr>
          <w:i/>
        </w:rPr>
        <w:t>Διεθνής Οικονομική Θεωρία Και Πολιτική</w:t>
      </w:r>
      <w:r>
        <w:t>, Κριτική Αθήνα</w:t>
      </w:r>
      <w:r w:rsidRPr="00A4275F">
        <w:t>.</w:t>
      </w:r>
    </w:p>
    <w:p w:rsidR="00A4275F" w:rsidRPr="002426EE" w:rsidRDefault="00A4275F" w:rsidP="00A4275F">
      <w:pPr>
        <w:spacing w:before="120" w:after="120" w:line="360" w:lineRule="auto"/>
        <w:jc w:val="both"/>
      </w:pPr>
      <w:proofErr w:type="spellStart"/>
      <w:r w:rsidRPr="002426EE">
        <w:t>Αντζουλάτος</w:t>
      </w:r>
      <w:proofErr w:type="spellEnd"/>
      <w:r w:rsidRPr="002426EE">
        <w:t xml:space="preserve"> Α. (2011). </w:t>
      </w:r>
      <w:r w:rsidRPr="002426EE">
        <w:rPr>
          <w:i/>
        </w:rPr>
        <w:t>Κυβερνήσεις Χρηματαγορές και Μακροοικονομία</w:t>
      </w:r>
      <w:r w:rsidRPr="002426EE">
        <w:t>, Εκδόσεις Διπλογραφία.</w:t>
      </w:r>
    </w:p>
    <w:p w:rsidR="00A4275F" w:rsidRPr="00E36943" w:rsidRDefault="00A4275F" w:rsidP="002426EE">
      <w:pPr>
        <w:spacing w:before="120" w:after="120" w:line="360" w:lineRule="auto"/>
        <w:jc w:val="both"/>
      </w:pPr>
      <w:proofErr w:type="spellStart"/>
      <w:r w:rsidRPr="002426EE">
        <w:t>Λεβεντάκης</w:t>
      </w:r>
      <w:proofErr w:type="spellEnd"/>
      <w:r w:rsidRPr="002426EE">
        <w:t xml:space="preserve">, Ι. (2003). </w:t>
      </w:r>
      <w:r w:rsidRPr="002426EE">
        <w:rPr>
          <w:i/>
        </w:rPr>
        <w:t xml:space="preserve">Διεθνής Μακροοικονομική &amp; Χρηματοοικονομική, </w:t>
      </w:r>
      <w:proofErr w:type="spellStart"/>
      <w:r w:rsidRPr="002426EE">
        <w:t>Εκδοσεις</w:t>
      </w:r>
      <w:proofErr w:type="spellEnd"/>
      <w:r w:rsidRPr="002426EE">
        <w:t xml:space="preserve"> </w:t>
      </w:r>
      <w:proofErr w:type="spellStart"/>
      <w:r w:rsidRPr="002426EE">
        <w:t>Σταμουλη</w:t>
      </w:r>
      <w:proofErr w:type="spellEnd"/>
      <w:r w:rsidRPr="002426EE">
        <w:t>.</w:t>
      </w:r>
    </w:p>
    <w:p w:rsidR="000C4432" w:rsidRPr="000C4432" w:rsidRDefault="000C4432" w:rsidP="002426EE">
      <w:pPr>
        <w:spacing w:before="120" w:after="120" w:line="360" w:lineRule="auto"/>
        <w:jc w:val="both"/>
      </w:pPr>
      <w:proofErr w:type="spellStart"/>
      <w:proofErr w:type="gramStart"/>
      <w:r>
        <w:rPr>
          <w:lang w:val="en-US"/>
        </w:rPr>
        <w:t>McALeese</w:t>
      </w:r>
      <w:proofErr w:type="spellEnd"/>
      <w:r w:rsidRPr="000C4432">
        <w:t xml:space="preserve"> </w:t>
      </w:r>
      <w:r>
        <w:rPr>
          <w:lang w:val="en-US"/>
        </w:rPr>
        <w:t>P</w:t>
      </w:r>
      <w:r w:rsidRPr="000C4432">
        <w:t xml:space="preserve">., (2005), </w:t>
      </w:r>
      <w:r w:rsidRPr="009763EB">
        <w:rPr>
          <w:i/>
        </w:rPr>
        <w:t>Οικονομική</w:t>
      </w:r>
      <w:r w:rsidRPr="000C4432">
        <w:rPr>
          <w:i/>
        </w:rPr>
        <w:t xml:space="preserve"> </w:t>
      </w:r>
      <w:r w:rsidRPr="009763EB">
        <w:rPr>
          <w:i/>
        </w:rPr>
        <w:t>για</w:t>
      </w:r>
      <w:r w:rsidRPr="000C4432">
        <w:rPr>
          <w:i/>
        </w:rPr>
        <w:t xml:space="preserve"> </w:t>
      </w:r>
      <w:r w:rsidRPr="009763EB">
        <w:rPr>
          <w:i/>
        </w:rPr>
        <w:t xml:space="preserve">Επιχειρησιακές Σπουδές, Ανταγωνισμός, </w:t>
      </w:r>
      <w:proofErr w:type="spellStart"/>
      <w:r w:rsidRPr="009763EB">
        <w:rPr>
          <w:i/>
        </w:rPr>
        <w:t>Μακροσταθερότητα</w:t>
      </w:r>
      <w:proofErr w:type="spellEnd"/>
      <w:r w:rsidRPr="009763EB">
        <w:rPr>
          <w:i/>
        </w:rPr>
        <w:t xml:space="preserve"> &amp; Παγκοσμιοποίηση</w:t>
      </w:r>
      <w:r>
        <w:t xml:space="preserve">, Εκδόσεις </w:t>
      </w:r>
      <w:proofErr w:type="spellStart"/>
      <w:r>
        <w:t>Τυπωθήτω</w:t>
      </w:r>
      <w:proofErr w:type="spellEnd"/>
      <w:r>
        <w:t>.</w:t>
      </w:r>
      <w:proofErr w:type="gramEnd"/>
    </w:p>
    <w:p w:rsidR="00A4275F" w:rsidRPr="00A4275F" w:rsidRDefault="00A4275F" w:rsidP="00A4275F">
      <w:pPr>
        <w:spacing w:before="120" w:after="120" w:line="360" w:lineRule="auto"/>
        <w:jc w:val="both"/>
      </w:pPr>
      <w:proofErr w:type="spellStart"/>
      <w:r w:rsidRPr="002426EE">
        <w:t>Παπασυριόπουλος</w:t>
      </w:r>
      <w:proofErr w:type="spellEnd"/>
      <w:r w:rsidRPr="002426EE">
        <w:t xml:space="preserve">, Ν.Χ. (2000). </w:t>
      </w:r>
      <w:r w:rsidRPr="002426EE">
        <w:rPr>
          <w:i/>
        </w:rPr>
        <w:t xml:space="preserve">Διεθνείς χρηματοοικονομικές σχέσεις: χρηματιστηριακές αγορές, χρεόγραφα, επιχειρήσεις. </w:t>
      </w:r>
      <w:r w:rsidRPr="002426EE">
        <w:t>Θεσσαλονίκη</w:t>
      </w:r>
      <w:r w:rsidRPr="00A4275F">
        <w:t xml:space="preserve">: </w:t>
      </w:r>
      <w:r w:rsidRPr="002426EE">
        <w:t>Όμηρος</w:t>
      </w:r>
      <w:r w:rsidRPr="00A4275F">
        <w:t>, 2000.</w:t>
      </w:r>
    </w:p>
    <w:p w:rsidR="00A4275F" w:rsidRPr="002426EE" w:rsidRDefault="00A4275F" w:rsidP="00A4275F">
      <w:pPr>
        <w:spacing w:before="120" w:after="120" w:line="360" w:lineRule="auto"/>
        <w:jc w:val="both"/>
      </w:pPr>
      <w:proofErr w:type="spellStart"/>
      <w:r w:rsidRPr="002426EE">
        <w:t>Συριόπουλος</w:t>
      </w:r>
      <w:proofErr w:type="spellEnd"/>
      <w:r w:rsidRPr="002426EE">
        <w:t xml:space="preserve">, Κ., </w:t>
      </w:r>
      <w:proofErr w:type="spellStart"/>
      <w:r w:rsidRPr="002426EE">
        <w:t>Φίλιππας</w:t>
      </w:r>
      <w:proofErr w:type="spellEnd"/>
      <w:r w:rsidRPr="002426EE">
        <w:t xml:space="preserve"> Δ. (2010) </w:t>
      </w:r>
      <w:r w:rsidRPr="002426EE">
        <w:rPr>
          <w:i/>
        </w:rPr>
        <w:t>Οικονομετρικά υποδείγματα &amp; εφαρμογές στο EVIEWS</w:t>
      </w:r>
      <w:r w:rsidRPr="002426EE">
        <w:t xml:space="preserve">, Εκδόσεις </w:t>
      </w:r>
      <w:proofErr w:type="spellStart"/>
      <w:r w:rsidRPr="002426EE">
        <w:t>Ανικούλα</w:t>
      </w:r>
      <w:proofErr w:type="spellEnd"/>
      <w:r w:rsidRPr="002426EE">
        <w:t>, 2010 Θεσσαλονίκη.</w:t>
      </w:r>
    </w:p>
    <w:p w:rsidR="00A4275F" w:rsidRDefault="00A4275F" w:rsidP="00A4275F">
      <w:pPr>
        <w:spacing w:line="360" w:lineRule="auto"/>
        <w:jc w:val="both"/>
        <w:rPr>
          <w:rFonts w:eastAsiaTheme="minorHAnsi"/>
          <w:b/>
          <w:lang w:eastAsia="en-US"/>
        </w:rPr>
      </w:pPr>
    </w:p>
    <w:p w:rsidR="00B42EC2" w:rsidRPr="00746D11" w:rsidRDefault="00A4275F" w:rsidP="00A4275F">
      <w:pPr>
        <w:spacing w:line="360" w:lineRule="auto"/>
        <w:jc w:val="both"/>
        <w:rPr>
          <w:rFonts w:eastAsiaTheme="minorHAnsi"/>
          <w:b/>
          <w:lang w:val="en-US" w:eastAsia="en-US"/>
        </w:rPr>
      </w:pPr>
      <w:r>
        <w:rPr>
          <w:rFonts w:eastAsiaTheme="minorHAnsi"/>
          <w:b/>
          <w:lang w:eastAsia="en-US"/>
        </w:rPr>
        <w:t>Ξένη</w:t>
      </w:r>
      <w:r w:rsidRPr="00746D11">
        <w:rPr>
          <w:rFonts w:eastAsiaTheme="minorHAnsi"/>
          <w:b/>
          <w:lang w:val="en-US" w:eastAsia="en-US"/>
        </w:rPr>
        <w:t xml:space="preserve"> </w:t>
      </w:r>
      <w:r w:rsidRPr="00A4275F">
        <w:rPr>
          <w:rFonts w:eastAsiaTheme="minorHAnsi"/>
          <w:b/>
          <w:lang w:eastAsia="en-US"/>
        </w:rPr>
        <w:t>Βιβλιογραφία</w:t>
      </w:r>
    </w:p>
    <w:bookmarkEnd w:id="3"/>
    <w:p w:rsidR="001401E6" w:rsidRPr="00746D11" w:rsidRDefault="001401E6" w:rsidP="00746D11">
      <w:pPr>
        <w:pStyle w:val="ae"/>
        <w:spacing w:after="200" w:line="276" w:lineRule="auto"/>
        <w:ind w:left="0"/>
        <w:contextualSpacing/>
        <w:rPr>
          <w:lang w:val="en-US"/>
        </w:rPr>
      </w:pPr>
      <w:proofErr w:type="spellStart"/>
      <w:r>
        <w:rPr>
          <w:lang w:val="en-US"/>
        </w:rPr>
        <w:t>Asteriou</w:t>
      </w:r>
      <w:proofErr w:type="spellEnd"/>
      <w:r>
        <w:rPr>
          <w:lang w:val="en-US"/>
        </w:rPr>
        <w:t xml:space="preserve"> D. &amp; Hall S., (2011), </w:t>
      </w:r>
      <w:r w:rsidRPr="009763EB">
        <w:rPr>
          <w:i/>
          <w:lang w:val="en-US"/>
        </w:rPr>
        <w:t>Applied Econometrics</w:t>
      </w:r>
      <w:r>
        <w:rPr>
          <w:lang w:val="en-US"/>
        </w:rPr>
        <w:t>, Palgrave MacMillan</w:t>
      </w:r>
      <w:r w:rsidRPr="00746D11">
        <w:rPr>
          <w:lang w:val="en-US"/>
        </w:rPr>
        <w:t>.</w:t>
      </w:r>
    </w:p>
    <w:p w:rsidR="001401E6" w:rsidRPr="002426EE" w:rsidRDefault="001401E6" w:rsidP="002426EE">
      <w:pPr>
        <w:spacing w:before="120" w:after="120" w:line="360" w:lineRule="auto"/>
        <w:jc w:val="both"/>
        <w:rPr>
          <w:lang w:val="en-US"/>
        </w:rPr>
      </w:pPr>
      <w:proofErr w:type="gramStart"/>
      <w:r w:rsidRPr="002426EE">
        <w:rPr>
          <w:lang w:val="en-US"/>
        </w:rPr>
        <w:t>Baillie</w:t>
      </w:r>
      <w:r w:rsidRPr="003A3043">
        <w:rPr>
          <w:lang w:val="en-US"/>
        </w:rPr>
        <w:t xml:space="preserve">, </w:t>
      </w:r>
      <w:r w:rsidRPr="002426EE">
        <w:rPr>
          <w:lang w:val="en-US"/>
        </w:rPr>
        <w:t>R</w:t>
      </w:r>
      <w:r w:rsidRPr="003A3043">
        <w:rPr>
          <w:lang w:val="en-US"/>
        </w:rPr>
        <w:t xml:space="preserve">. </w:t>
      </w:r>
      <w:r w:rsidRPr="002426EE">
        <w:rPr>
          <w:lang w:val="en-US"/>
        </w:rPr>
        <w:t>T</w:t>
      </w:r>
      <w:r w:rsidRPr="003A3043">
        <w:rPr>
          <w:lang w:val="en-US"/>
        </w:rPr>
        <w:t xml:space="preserve">., &amp; </w:t>
      </w:r>
      <w:proofErr w:type="spellStart"/>
      <w:r w:rsidRPr="002426EE">
        <w:rPr>
          <w:lang w:val="en-US"/>
        </w:rPr>
        <w:t>Selover</w:t>
      </w:r>
      <w:proofErr w:type="spellEnd"/>
      <w:r w:rsidRPr="003A3043">
        <w:rPr>
          <w:lang w:val="en-US"/>
        </w:rPr>
        <w:t xml:space="preserve">, </w:t>
      </w:r>
      <w:r w:rsidRPr="002426EE">
        <w:rPr>
          <w:lang w:val="en-US"/>
        </w:rPr>
        <w:t>D</w:t>
      </w:r>
      <w:r w:rsidRPr="003A3043">
        <w:rPr>
          <w:lang w:val="en-US"/>
        </w:rPr>
        <w:t xml:space="preserve">. </w:t>
      </w:r>
      <w:r w:rsidRPr="002426EE">
        <w:rPr>
          <w:lang w:val="en-US"/>
        </w:rPr>
        <w:t>D</w:t>
      </w:r>
      <w:r w:rsidRPr="003A3043">
        <w:rPr>
          <w:lang w:val="en-US"/>
        </w:rPr>
        <w:t>. (1987).</w:t>
      </w:r>
      <w:proofErr w:type="gramEnd"/>
      <w:r w:rsidRPr="003A3043">
        <w:rPr>
          <w:lang w:val="en-US"/>
        </w:rPr>
        <w:t xml:space="preserve"> </w:t>
      </w:r>
      <w:proofErr w:type="spellStart"/>
      <w:r w:rsidRPr="002426EE">
        <w:rPr>
          <w:lang w:val="en-US"/>
        </w:rPr>
        <w:t>Cointegration</w:t>
      </w:r>
      <w:proofErr w:type="spellEnd"/>
      <w:r w:rsidRPr="002426EE">
        <w:rPr>
          <w:lang w:val="en-US"/>
        </w:rPr>
        <w:t xml:space="preserve"> and models of exchange rate determination. </w:t>
      </w:r>
      <w:r w:rsidRPr="002426EE">
        <w:rPr>
          <w:i/>
          <w:iCs/>
          <w:lang w:val="en-US"/>
        </w:rPr>
        <w:t>International Journal of Forecasting</w:t>
      </w:r>
      <w:r w:rsidRPr="002426EE">
        <w:rPr>
          <w:lang w:val="en-US"/>
        </w:rPr>
        <w:t>, </w:t>
      </w:r>
      <w:r w:rsidRPr="002426EE">
        <w:rPr>
          <w:i/>
          <w:iCs/>
          <w:lang w:val="en-US"/>
        </w:rPr>
        <w:t>3</w:t>
      </w:r>
      <w:r w:rsidRPr="002426EE">
        <w:rPr>
          <w:lang w:val="en-US"/>
        </w:rPr>
        <w:t>(1), 43-51.</w:t>
      </w:r>
    </w:p>
    <w:p w:rsidR="001401E6" w:rsidRPr="002426EE" w:rsidRDefault="001401E6" w:rsidP="002426EE">
      <w:pPr>
        <w:spacing w:before="120" w:after="120" w:line="360" w:lineRule="auto"/>
        <w:jc w:val="both"/>
        <w:rPr>
          <w:lang w:val="en-US"/>
        </w:rPr>
      </w:pPr>
      <w:proofErr w:type="spellStart"/>
      <w:r w:rsidRPr="002426EE">
        <w:rPr>
          <w:lang w:val="en-US"/>
        </w:rPr>
        <w:t>Bilson</w:t>
      </w:r>
      <w:proofErr w:type="spellEnd"/>
      <w:r w:rsidRPr="002426EE">
        <w:rPr>
          <w:lang w:val="en-US"/>
        </w:rPr>
        <w:t xml:space="preserve">, J. F. (1978). The Monetary Approach to the Exchange Rate: Some Empirical Evidence (La </w:t>
      </w:r>
      <w:proofErr w:type="spellStart"/>
      <w:r w:rsidRPr="002426EE">
        <w:rPr>
          <w:lang w:val="en-US"/>
        </w:rPr>
        <w:t>théorie</w:t>
      </w:r>
      <w:proofErr w:type="spellEnd"/>
      <w:r w:rsidRPr="002426EE">
        <w:rPr>
          <w:lang w:val="en-US"/>
        </w:rPr>
        <w:t xml:space="preserve"> </w:t>
      </w:r>
      <w:proofErr w:type="spellStart"/>
      <w:r w:rsidRPr="002426EE">
        <w:rPr>
          <w:lang w:val="en-US"/>
        </w:rPr>
        <w:t>monétaire</w:t>
      </w:r>
      <w:proofErr w:type="spellEnd"/>
      <w:r w:rsidRPr="002426EE">
        <w:rPr>
          <w:lang w:val="en-US"/>
        </w:rPr>
        <w:t xml:space="preserve"> du </w:t>
      </w:r>
      <w:proofErr w:type="spellStart"/>
      <w:r w:rsidRPr="002426EE">
        <w:rPr>
          <w:lang w:val="en-US"/>
        </w:rPr>
        <w:t>taux</w:t>
      </w:r>
      <w:proofErr w:type="spellEnd"/>
      <w:r w:rsidRPr="002426EE">
        <w:rPr>
          <w:lang w:val="en-US"/>
        </w:rPr>
        <w:t xml:space="preserve"> de change: </w:t>
      </w:r>
      <w:proofErr w:type="spellStart"/>
      <w:r w:rsidRPr="002426EE">
        <w:rPr>
          <w:lang w:val="en-US"/>
        </w:rPr>
        <w:t>preuves</w:t>
      </w:r>
      <w:proofErr w:type="spellEnd"/>
      <w:r w:rsidRPr="002426EE">
        <w:rPr>
          <w:lang w:val="en-US"/>
        </w:rPr>
        <w:t xml:space="preserve"> </w:t>
      </w:r>
      <w:proofErr w:type="spellStart"/>
      <w:r w:rsidRPr="002426EE">
        <w:rPr>
          <w:lang w:val="en-US"/>
        </w:rPr>
        <w:t>empiriques</w:t>
      </w:r>
      <w:proofErr w:type="spellEnd"/>
      <w:proofErr w:type="gramStart"/>
      <w:r w:rsidRPr="002426EE">
        <w:rPr>
          <w:lang w:val="en-US"/>
        </w:rPr>
        <w:t>)(</w:t>
      </w:r>
      <w:proofErr w:type="gramEnd"/>
      <w:r w:rsidRPr="002426EE">
        <w:rPr>
          <w:lang w:val="en-US"/>
        </w:rPr>
        <w:t xml:space="preserve">El </w:t>
      </w:r>
      <w:proofErr w:type="spellStart"/>
      <w:r w:rsidRPr="002426EE">
        <w:rPr>
          <w:lang w:val="en-US"/>
        </w:rPr>
        <w:t>enfoque</w:t>
      </w:r>
      <w:proofErr w:type="spellEnd"/>
      <w:r w:rsidRPr="002426EE">
        <w:rPr>
          <w:lang w:val="en-US"/>
        </w:rPr>
        <w:t xml:space="preserve"> </w:t>
      </w:r>
      <w:proofErr w:type="spellStart"/>
      <w:r w:rsidRPr="002426EE">
        <w:rPr>
          <w:lang w:val="en-US"/>
        </w:rPr>
        <w:t>monetario</w:t>
      </w:r>
      <w:proofErr w:type="spellEnd"/>
      <w:r w:rsidRPr="002426EE">
        <w:rPr>
          <w:lang w:val="en-US"/>
        </w:rPr>
        <w:t xml:space="preserve"> del </w:t>
      </w:r>
      <w:proofErr w:type="spellStart"/>
      <w:r w:rsidRPr="002426EE">
        <w:rPr>
          <w:lang w:val="en-US"/>
        </w:rPr>
        <w:t>tipo</w:t>
      </w:r>
      <w:proofErr w:type="spellEnd"/>
      <w:r w:rsidRPr="002426EE">
        <w:rPr>
          <w:lang w:val="en-US"/>
        </w:rPr>
        <w:t xml:space="preserve"> de </w:t>
      </w:r>
      <w:proofErr w:type="spellStart"/>
      <w:r w:rsidRPr="002426EE">
        <w:rPr>
          <w:lang w:val="en-US"/>
        </w:rPr>
        <w:t>cambio</w:t>
      </w:r>
      <w:proofErr w:type="spellEnd"/>
      <w:r w:rsidRPr="002426EE">
        <w:rPr>
          <w:lang w:val="en-US"/>
        </w:rPr>
        <w:t xml:space="preserve">: </w:t>
      </w:r>
      <w:proofErr w:type="spellStart"/>
      <w:r w:rsidRPr="002426EE">
        <w:rPr>
          <w:lang w:val="en-US"/>
        </w:rPr>
        <w:t>Algunas</w:t>
      </w:r>
      <w:proofErr w:type="spellEnd"/>
      <w:r w:rsidRPr="002426EE">
        <w:rPr>
          <w:lang w:val="en-US"/>
        </w:rPr>
        <w:t xml:space="preserve"> </w:t>
      </w:r>
      <w:proofErr w:type="spellStart"/>
      <w:r w:rsidRPr="002426EE">
        <w:rPr>
          <w:lang w:val="en-US"/>
        </w:rPr>
        <w:t>pruebas</w:t>
      </w:r>
      <w:proofErr w:type="spellEnd"/>
      <w:r w:rsidRPr="002426EE">
        <w:rPr>
          <w:lang w:val="en-US"/>
        </w:rPr>
        <w:t xml:space="preserve"> </w:t>
      </w:r>
      <w:proofErr w:type="spellStart"/>
      <w:r w:rsidRPr="002426EE">
        <w:rPr>
          <w:lang w:val="en-US"/>
        </w:rPr>
        <w:t>empíricas</w:t>
      </w:r>
      <w:proofErr w:type="spellEnd"/>
      <w:r w:rsidRPr="002426EE">
        <w:rPr>
          <w:lang w:val="en-US"/>
        </w:rPr>
        <w:t>). </w:t>
      </w:r>
      <w:r w:rsidRPr="002426EE">
        <w:rPr>
          <w:i/>
          <w:iCs/>
          <w:lang w:val="en-US"/>
        </w:rPr>
        <w:t>Staff Papers-International Monetary Fund</w:t>
      </w:r>
      <w:r w:rsidRPr="002426EE">
        <w:rPr>
          <w:lang w:val="en-US"/>
        </w:rPr>
        <w:t>, 48-75.</w:t>
      </w:r>
    </w:p>
    <w:p w:rsidR="001401E6" w:rsidRPr="002426EE" w:rsidRDefault="001401E6" w:rsidP="002426EE">
      <w:pPr>
        <w:spacing w:before="120" w:after="120" w:line="360" w:lineRule="auto"/>
        <w:jc w:val="both"/>
        <w:rPr>
          <w:lang w:val="en-US"/>
        </w:rPr>
      </w:pPr>
      <w:proofErr w:type="gramStart"/>
      <w:r w:rsidRPr="002426EE">
        <w:rPr>
          <w:lang w:val="en-US"/>
        </w:rPr>
        <w:t xml:space="preserve">Branson, W. H., </w:t>
      </w:r>
      <w:proofErr w:type="spellStart"/>
      <w:r w:rsidRPr="002426EE">
        <w:rPr>
          <w:lang w:val="en-US"/>
        </w:rPr>
        <w:t>Halttunen</w:t>
      </w:r>
      <w:proofErr w:type="spellEnd"/>
      <w:r w:rsidRPr="002426EE">
        <w:rPr>
          <w:lang w:val="en-US"/>
        </w:rPr>
        <w:t>, H., &amp; Masson, P. (1977).</w:t>
      </w:r>
      <w:proofErr w:type="gramEnd"/>
      <w:r w:rsidRPr="002426EE">
        <w:rPr>
          <w:lang w:val="en-US"/>
        </w:rPr>
        <w:t xml:space="preserve"> Exchange rates in the short run: The dollar-</w:t>
      </w:r>
      <w:proofErr w:type="spellStart"/>
      <w:r w:rsidRPr="002426EE">
        <w:rPr>
          <w:lang w:val="en-US"/>
        </w:rPr>
        <w:t>dentschemark</w:t>
      </w:r>
      <w:proofErr w:type="spellEnd"/>
      <w:r w:rsidRPr="002426EE">
        <w:rPr>
          <w:lang w:val="en-US"/>
        </w:rPr>
        <w:t xml:space="preserve"> rate. </w:t>
      </w:r>
      <w:r w:rsidRPr="002426EE">
        <w:rPr>
          <w:i/>
          <w:iCs/>
          <w:lang w:val="en-US"/>
        </w:rPr>
        <w:t>European Economic Review</w:t>
      </w:r>
      <w:r w:rsidRPr="002426EE">
        <w:rPr>
          <w:lang w:val="en-US"/>
        </w:rPr>
        <w:t>, </w:t>
      </w:r>
      <w:r w:rsidRPr="002426EE">
        <w:rPr>
          <w:i/>
          <w:iCs/>
          <w:lang w:val="en-US"/>
        </w:rPr>
        <w:t>10</w:t>
      </w:r>
      <w:r w:rsidRPr="002426EE">
        <w:rPr>
          <w:lang w:val="en-US"/>
        </w:rPr>
        <w:t>(3), 303-324.</w:t>
      </w:r>
    </w:p>
    <w:p w:rsidR="001401E6" w:rsidRPr="002426EE" w:rsidRDefault="001401E6" w:rsidP="002426EE">
      <w:pPr>
        <w:autoSpaceDE w:val="0"/>
        <w:autoSpaceDN w:val="0"/>
        <w:adjustRightInd w:val="0"/>
        <w:spacing w:before="120" w:after="120" w:line="360" w:lineRule="auto"/>
        <w:jc w:val="both"/>
        <w:rPr>
          <w:color w:val="131413"/>
          <w:lang w:val="en-US"/>
        </w:rPr>
      </w:pPr>
      <w:proofErr w:type="gramStart"/>
      <w:r w:rsidRPr="002426EE">
        <w:rPr>
          <w:color w:val="131413"/>
          <w:lang w:val="en-US"/>
        </w:rPr>
        <w:t xml:space="preserve">Chin, L., </w:t>
      </w:r>
      <w:proofErr w:type="spellStart"/>
      <w:r w:rsidRPr="002426EE">
        <w:rPr>
          <w:color w:val="131413"/>
          <w:lang w:val="en-US"/>
        </w:rPr>
        <w:t>Azali</w:t>
      </w:r>
      <w:proofErr w:type="spellEnd"/>
      <w:r w:rsidRPr="002426EE">
        <w:rPr>
          <w:color w:val="131413"/>
          <w:lang w:val="en-US"/>
        </w:rPr>
        <w:t>, M., &amp; Matthews, G. (2007a).</w:t>
      </w:r>
      <w:proofErr w:type="gramEnd"/>
      <w:r w:rsidRPr="002426EE">
        <w:rPr>
          <w:color w:val="131413"/>
          <w:lang w:val="en-US"/>
        </w:rPr>
        <w:t xml:space="preserve"> </w:t>
      </w:r>
      <w:proofErr w:type="gramStart"/>
      <w:r w:rsidRPr="002426EE">
        <w:rPr>
          <w:color w:val="131413"/>
          <w:lang w:val="en-US"/>
        </w:rPr>
        <w:t>The monetary approach to exchange rate determination for Malaysia.</w:t>
      </w:r>
      <w:proofErr w:type="gramEnd"/>
      <w:r w:rsidRPr="002426EE">
        <w:rPr>
          <w:color w:val="131413"/>
          <w:lang w:val="en-US"/>
        </w:rPr>
        <w:t xml:space="preserve"> </w:t>
      </w:r>
      <w:proofErr w:type="gramStart"/>
      <w:r w:rsidRPr="002426EE">
        <w:rPr>
          <w:color w:val="131413"/>
          <w:lang w:val="en-US"/>
        </w:rPr>
        <w:t>Applied Financial Economic Letters, 3(2), 91</w:t>
      </w:r>
      <w:r w:rsidRPr="002426EE">
        <w:rPr>
          <w:rFonts w:eastAsia="AdvTT3713a231+20"/>
          <w:color w:val="131413"/>
          <w:lang w:val="en-US"/>
        </w:rPr>
        <w:t>–</w:t>
      </w:r>
      <w:r w:rsidRPr="002426EE">
        <w:rPr>
          <w:color w:val="131413"/>
          <w:lang w:val="en-US"/>
        </w:rPr>
        <w:t>94.</w:t>
      </w:r>
      <w:proofErr w:type="gramEnd"/>
    </w:p>
    <w:p w:rsidR="001401E6" w:rsidRDefault="001401E6" w:rsidP="002426EE">
      <w:pPr>
        <w:autoSpaceDE w:val="0"/>
        <w:autoSpaceDN w:val="0"/>
        <w:adjustRightInd w:val="0"/>
        <w:spacing w:before="120" w:after="120" w:line="360" w:lineRule="auto"/>
        <w:jc w:val="both"/>
        <w:rPr>
          <w:color w:val="131413"/>
          <w:lang w:val="en-US"/>
        </w:rPr>
      </w:pPr>
      <w:r w:rsidRPr="002426EE">
        <w:rPr>
          <w:color w:val="131413"/>
          <w:lang w:val="en-US"/>
        </w:rPr>
        <w:lastRenderedPageBreak/>
        <w:t xml:space="preserve">Chin, L., </w:t>
      </w:r>
      <w:proofErr w:type="spellStart"/>
      <w:r w:rsidRPr="002426EE">
        <w:rPr>
          <w:color w:val="131413"/>
          <w:lang w:val="en-US"/>
        </w:rPr>
        <w:t>Azali</w:t>
      </w:r>
      <w:proofErr w:type="spellEnd"/>
      <w:r w:rsidRPr="002426EE">
        <w:rPr>
          <w:color w:val="131413"/>
          <w:lang w:val="en-US"/>
        </w:rPr>
        <w:t xml:space="preserve">, M., </w:t>
      </w:r>
      <w:proofErr w:type="spellStart"/>
      <w:r w:rsidRPr="002426EE">
        <w:rPr>
          <w:color w:val="131413"/>
          <w:lang w:val="en-US"/>
        </w:rPr>
        <w:t>Yusop</w:t>
      </w:r>
      <w:proofErr w:type="spellEnd"/>
      <w:r w:rsidRPr="002426EE">
        <w:rPr>
          <w:color w:val="131413"/>
          <w:lang w:val="en-US"/>
        </w:rPr>
        <w:t xml:space="preserve">, Z. B., &amp; </w:t>
      </w:r>
      <w:proofErr w:type="spellStart"/>
      <w:r w:rsidRPr="002426EE">
        <w:rPr>
          <w:color w:val="131413"/>
          <w:lang w:val="en-US"/>
        </w:rPr>
        <w:t>Yusoff</w:t>
      </w:r>
      <w:proofErr w:type="spellEnd"/>
      <w:r w:rsidRPr="002426EE">
        <w:rPr>
          <w:color w:val="131413"/>
          <w:lang w:val="en-US"/>
        </w:rPr>
        <w:t>, M. B. (2007b). The monetary model of exchange rate: evidence from the Philippines. Applied Economic Letters, 14(13), 993</w:t>
      </w:r>
      <w:r w:rsidRPr="002426EE">
        <w:rPr>
          <w:rFonts w:eastAsia="AdvTT3713a231+20"/>
          <w:color w:val="131413"/>
          <w:lang w:val="en-US"/>
        </w:rPr>
        <w:t>–</w:t>
      </w:r>
      <w:r>
        <w:rPr>
          <w:color w:val="131413"/>
          <w:lang w:val="en-US"/>
        </w:rPr>
        <w:t>997.</w:t>
      </w:r>
    </w:p>
    <w:p w:rsidR="001401E6" w:rsidRPr="00EE02CF" w:rsidRDefault="001401E6" w:rsidP="002426EE">
      <w:pPr>
        <w:autoSpaceDE w:val="0"/>
        <w:autoSpaceDN w:val="0"/>
        <w:adjustRightInd w:val="0"/>
        <w:spacing w:before="120" w:after="120" w:line="360" w:lineRule="auto"/>
        <w:jc w:val="both"/>
        <w:rPr>
          <w:color w:val="131413"/>
          <w:lang w:val="en-US"/>
        </w:rPr>
      </w:pPr>
      <w:proofErr w:type="spellStart"/>
      <w:proofErr w:type="gramStart"/>
      <w:r w:rsidRPr="00EE02CF">
        <w:rPr>
          <w:color w:val="131413"/>
          <w:lang w:val="en-US"/>
        </w:rPr>
        <w:t>Chionis</w:t>
      </w:r>
      <w:proofErr w:type="spellEnd"/>
      <w:r w:rsidRPr="00EE02CF">
        <w:rPr>
          <w:color w:val="131413"/>
          <w:lang w:val="en-US"/>
        </w:rPr>
        <w:t xml:space="preserve">, D., &amp; </w:t>
      </w:r>
      <w:proofErr w:type="spellStart"/>
      <w:r w:rsidRPr="00EE02CF">
        <w:rPr>
          <w:color w:val="131413"/>
          <w:lang w:val="en-US"/>
        </w:rPr>
        <w:t>Liargovas</w:t>
      </w:r>
      <w:proofErr w:type="spellEnd"/>
      <w:r w:rsidRPr="00EE02CF">
        <w:rPr>
          <w:color w:val="131413"/>
          <w:lang w:val="en-US"/>
        </w:rPr>
        <w:t>, P. (2003).</w:t>
      </w:r>
      <w:proofErr w:type="gramEnd"/>
      <w:r w:rsidRPr="00EE02CF">
        <w:rPr>
          <w:color w:val="131413"/>
          <w:lang w:val="en-US"/>
        </w:rPr>
        <w:t xml:space="preserve"> </w:t>
      </w:r>
      <w:proofErr w:type="gramStart"/>
      <w:r w:rsidRPr="00EE02CF">
        <w:rPr>
          <w:color w:val="131413"/>
          <w:lang w:val="en-US"/>
        </w:rPr>
        <w:t xml:space="preserve">Currency crises in transition </w:t>
      </w:r>
      <w:proofErr w:type="spellStart"/>
      <w:r w:rsidRPr="00EE02CF">
        <w:rPr>
          <w:color w:val="131413"/>
          <w:lang w:val="en-US"/>
        </w:rPr>
        <w:t>economies.</w:t>
      </w:r>
      <w:r w:rsidRPr="00EE02CF">
        <w:rPr>
          <w:i/>
          <w:iCs/>
          <w:color w:val="131413"/>
          <w:lang w:val="en-US"/>
        </w:rPr>
        <w:t>Acta</w:t>
      </w:r>
      <w:proofErr w:type="spellEnd"/>
      <w:r w:rsidRPr="00EE02CF">
        <w:rPr>
          <w:i/>
          <w:iCs/>
          <w:color w:val="131413"/>
          <w:lang w:val="en-US"/>
        </w:rPr>
        <w:t xml:space="preserve"> </w:t>
      </w:r>
      <w:proofErr w:type="spellStart"/>
      <w:r w:rsidRPr="00EE02CF">
        <w:rPr>
          <w:i/>
          <w:iCs/>
          <w:color w:val="131413"/>
          <w:lang w:val="en-US"/>
        </w:rPr>
        <w:t>Oeconomica</w:t>
      </w:r>
      <w:proofErr w:type="spellEnd"/>
      <w:r w:rsidRPr="00EE02CF">
        <w:rPr>
          <w:color w:val="131413"/>
          <w:lang w:val="en-US"/>
        </w:rPr>
        <w:t>, </w:t>
      </w:r>
      <w:r w:rsidRPr="00EE02CF">
        <w:rPr>
          <w:i/>
          <w:iCs/>
          <w:color w:val="131413"/>
          <w:lang w:val="en-US"/>
        </w:rPr>
        <w:t>53</w:t>
      </w:r>
      <w:r w:rsidRPr="00EE02CF">
        <w:rPr>
          <w:color w:val="131413"/>
          <w:lang w:val="en-US"/>
        </w:rPr>
        <w:t>(2), 175-194.</w:t>
      </w:r>
      <w:proofErr w:type="gramEnd"/>
    </w:p>
    <w:p w:rsidR="001401E6" w:rsidRPr="00746D11" w:rsidRDefault="001401E6" w:rsidP="00746D11">
      <w:pPr>
        <w:pStyle w:val="ae"/>
        <w:spacing w:after="200" w:line="360" w:lineRule="auto"/>
        <w:ind w:left="0"/>
        <w:contextualSpacing/>
        <w:jc w:val="both"/>
        <w:rPr>
          <w:lang w:val="en-US"/>
        </w:rPr>
      </w:pPr>
      <w:proofErr w:type="spellStart"/>
      <w:r>
        <w:rPr>
          <w:lang w:val="en-US"/>
        </w:rPr>
        <w:t>Coakley</w:t>
      </w:r>
      <w:proofErr w:type="spellEnd"/>
      <w:r>
        <w:rPr>
          <w:lang w:val="en-US"/>
        </w:rPr>
        <w:t xml:space="preserve"> J., &amp; </w:t>
      </w:r>
      <w:proofErr w:type="spellStart"/>
      <w:r>
        <w:rPr>
          <w:lang w:val="en-US"/>
        </w:rPr>
        <w:t>Snaith</w:t>
      </w:r>
      <w:proofErr w:type="spellEnd"/>
      <w:r>
        <w:rPr>
          <w:lang w:val="en-US"/>
        </w:rPr>
        <w:t xml:space="preserve"> S., </w:t>
      </w:r>
      <w:r w:rsidRPr="00A321D9">
        <w:rPr>
          <w:i/>
          <w:lang w:val="en-US"/>
        </w:rPr>
        <w:t xml:space="preserve">Testing </w:t>
      </w:r>
      <w:proofErr w:type="gramStart"/>
      <w:r w:rsidRPr="00A321D9">
        <w:rPr>
          <w:i/>
          <w:lang w:val="en-US"/>
        </w:rPr>
        <w:t>For Long Run Relative Purchasing Power Parity In</w:t>
      </w:r>
      <w:proofErr w:type="gramEnd"/>
      <w:r w:rsidRPr="00A321D9">
        <w:rPr>
          <w:i/>
          <w:lang w:val="en-US"/>
        </w:rPr>
        <w:t xml:space="preserve"> Europe</w:t>
      </w:r>
      <w:r>
        <w:rPr>
          <w:lang w:val="en-US"/>
        </w:rPr>
        <w:t>, Department Of Accounting, Finance and Management And Essex Finance Centre, (2004), pages 23</w:t>
      </w:r>
    </w:p>
    <w:p w:rsidR="001401E6" w:rsidRPr="002426EE" w:rsidRDefault="001401E6" w:rsidP="002426EE">
      <w:pPr>
        <w:autoSpaceDE w:val="0"/>
        <w:autoSpaceDN w:val="0"/>
        <w:adjustRightInd w:val="0"/>
        <w:spacing w:before="120" w:after="120" w:line="360" w:lineRule="auto"/>
        <w:jc w:val="both"/>
        <w:rPr>
          <w:color w:val="131413"/>
          <w:lang w:val="en-US"/>
        </w:rPr>
      </w:pPr>
      <w:r w:rsidRPr="002426EE">
        <w:rPr>
          <w:color w:val="131413"/>
          <w:lang w:val="en-US"/>
        </w:rPr>
        <w:t>Cushman, D. (2007). A portfolio balance approach to the Canadian</w:t>
      </w:r>
      <w:r w:rsidRPr="002426EE">
        <w:rPr>
          <w:rFonts w:eastAsia="AdvTT3713a231+20"/>
          <w:color w:val="131413"/>
          <w:lang w:val="en-US"/>
        </w:rPr>
        <w:t>–</w:t>
      </w:r>
      <w:r w:rsidRPr="002426EE">
        <w:rPr>
          <w:color w:val="131413"/>
          <w:lang w:val="en-US"/>
        </w:rPr>
        <w:t>U.S. exchange rate. Review of Financial Economics, 16(3), 305</w:t>
      </w:r>
      <w:r w:rsidRPr="002426EE">
        <w:rPr>
          <w:rFonts w:eastAsia="AdvTT3713a231+20"/>
          <w:color w:val="131413"/>
          <w:lang w:val="en-US"/>
        </w:rPr>
        <w:t>–</w:t>
      </w:r>
      <w:r w:rsidRPr="002426EE">
        <w:rPr>
          <w:color w:val="131413"/>
          <w:lang w:val="en-US"/>
        </w:rPr>
        <w:t>320.</w:t>
      </w:r>
    </w:p>
    <w:p w:rsidR="001401E6" w:rsidRPr="002426EE" w:rsidRDefault="001401E6" w:rsidP="002426EE">
      <w:pPr>
        <w:autoSpaceDE w:val="0"/>
        <w:autoSpaceDN w:val="0"/>
        <w:adjustRightInd w:val="0"/>
        <w:spacing w:before="120" w:after="120" w:line="360" w:lineRule="auto"/>
        <w:jc w:val="both"/>
        <w:rPr>
          <w:lang w:val="en-US"/>
        </w:rPr>
      </w:pPr>
      <w:proofErr w:type="gramStart"/>
      <w:r w:rsidRPr="002426EE">
        <w:rPr>
          <w:lang w:val="en-US"/>
        </w:rPr>
        <w:t xml:space="preserve">Cuthbertson, K., &amp; </w:t>
      </w:r>
      <w:proofErr w:type="spellStart"/>
      <w:r w:rsidRPr="002426EE">
        <w:rPr>
          <w:lang w:val="en-US"/>
        </w:rPr>
        <w:t>Nitzsche</w:t>
      </w:r>
      <w:proofErr w:type="spellEnd"/>
      <w:r w:rsidRPr="002426EE">
        <w:rPr>
          <w:lang w:val="en-US"/>
        </w:rPr>
        <w:t>, D. (1996).</w:t>
      </w:r>
      <w:proofErr w:type="gramEnd"/>
      <w:r w:rsidRPr="002426EE">
        <w:rPr>
          <w:lang w:val="en-US"/>
        </w:rPr>
        <w:t xml:space="preserve"> Quantitative Financial Economics: Stocks. </w:t>
      </w:r>
      <w:proofErr w:type="gramStart"/>
      <w:r w:rsidRPr="002426EE">
        <w:rPr>
          <w:i/>
          <w:iCs/>
          <w:lang w:val="en-US"/>
        </w:rPr>
        <w:t xml:space="preserve">Bonds and Foreign Exchange, </w:t>
      </w:r>
      <w:r w:rsidRPr="002426EE">
        <w:rPr>
          <w:iCs/>
          <w:lang w:val="en-US"/>
        </w:rPr>
        <w:t xml:space="preserve">John </w:t>
      </w:r>
      <w:proofErr w:type="spellStart"/>
      <w:r w:rsidRPr="002426EE">
        <w:rPr>
          <w:iCs/>
          <w:lang w:val="en-US"/>
        </w:rPr>
        <w:t>Woley</w:t>
      </w:r>
      <w:proofErr w:type="spellEnd"/>
      <w:r w:rsidRPr="002426EE">
        <w:rPr>
          <w:iCs/>
          <w:lang w:val="en-US"/>
        </w:rPr>
        <w:t xml:space="preserve"> &amp; Sons, New York</w:t>
      </w:r>
      <w:r w:rsidRPr="002426EE">
        <w:rPr>
          <w:lang w:val="en-US"/>
        </w:rPr>
        <w:t>.</w:t>
      </w:r>
      <w:proofErr w:type="gramEnd"/>
    </w:p>
    <w:p w:rsidR="001401E6" w:rsidRPr="002426EE" w:rsidRDefault="001401E6" w:rsidP="002426EE">
      <w:pPr>
        <w:spacing w:before="120" w:after="120" w:line="360" w:lineRule="auto"/>
        <w:jc w:val="both"/>
        <w:rPr>
          <w:lang w:val="en-US"/>
        </w:rPr>
      </w:pPr>
      <w:r w:rsidRPr="002426EE">
        <w:rPr>
          <w:lang w:val="en-US"/>
        </w:rPr>
        <w:t xml:space="preserve">De </w:t>
      </w:r>
      <w:proofErr w:type="spellStart"/>
      <w:r w:rsidRPr="002426EE">
        <w:rPr>
          <w:lang w:val="en-US"/>
        </w:rPr>
        <w:t>Grauwe</w:t>
      </w:r>
      <w:proofErr w:type="spellEnd"/>
      <w:r w:rsidRPr="002426EE">
        <w:rPr>
          <w:lang w:val="en-US"/>
        </w:rPr>
        <w:t>, P. (2014). </w:t>
      </w:r>
      <w:proofErr w:type="gramStart"/>
      <w:r w:rsidRPr="002426EE">
        <w:rPr>
          <w:i/>
          <w:iCs/>
          <w:lang w:val="en-US"/>
        </w:rPr>
        <w:t>Economics of monetary union</w:t>
      </w:r>
      <w:r w:rsidRPr="002426EE">
        <w:rPr>
          <w:lang w:val="en-US"/>
        </w:rPr>
        <w:t>.</w:t>
      </w:r>
      <w:proofErr w:type="gramEnd"/>
      <w:r w:rsidRPr="002426EE">
        <w:rPr>
          <w:lang w:val="en-US"/>
        </w:rPr>
        <w:t xml:space="preserve"> </w:t>
      </w:r>
      <w:proofErr w:type="gramStart"/>
      <w:r w:rsidRPr="002426EE">
        <w:rPr>
          <w:lang w:val="en-US"/>
        </w:rPr>
        <w:t>Oxford University Press.</w:t>
      </w:r>
      <w:proofErr w:type="gramEnd"/>
    </w:p>
    <w:p w:rsidR="001401E6" w:rsidRPr="002426EE" w:rsidRDefault="001401E6" w:rsidP="002426EE">
      <w:pPr>
        <w:spacing w:before="120" w:after="120" w:line="360" w:lineRule="auto"/>
        <w:jc w:val="both"/>
        <w:rPr>
          <w:lang w:val="en-US"/>
        </w:rPr>
      </w:pPr>
      <w:proofErr w:type="spellStart"/>
      <w:r w:rsidRPr="002426EE">
        <w:rPr>
          <w:lang w:val="en-US"/>
        </w:rPr>
        <w:t>Dornbusch</w:t>
      </w:r>
      <w:proofErr w:type="spellEnd"/>
      <w:r w:rsidRPr="002426EE">
        <w:rPr>
          <w:lang w:val="en-US"/>
        </w:rPr>
        <w:t xml:space="preserve">, R. (1976). </w:t>
      </w:r>
      <w:proofErr w:type="gramStart"/>
      <w:r w:rsidRPr="002426EE">
        <w:rPr>
          <w:lang w:val="en-US"/>
        </w:rPr>
        <w:t>Expectations and exchange rate dynamics.</w:t>
      </w:r>
      <w:proofErr w:type="gramEnd"/>
      <w:r w:rsidRPr="002426EE">
        <w:rPr>
          <w:lang w:val="en-US"/>
        </w:rPr>
        <w:t> </w:t>
      </w:r>
      <w:r w:rsidRPr="002426EE">
        <w:rPr>
          <w:i/>
          <w:iCs/>
          <w:lang w:val="en-US"/>
        </w:rPr>
        <w:t>The Journal of Political Economy</w:t>
      </w:r>
      <w:r w:rsidRPr="002426EE">
        <w:rPr>
          <w:lang w:val="en-US"/>
        </w:rPr>
        <w:t>, 1161-1176.</w:t>
      </w:r>
    </w:p>
    <w:p w:rsidR="001401E6" w:rsidRPr="002426EE" w:rsidRDefault="001401E6" w:rsidP="002426EE">
      <w:pPr>
        <w:spacing w:before="120" w:after="120" w:line="360" w:lineRule="auto"/>
        <w:jc w:val="both"/>
        <w:rPr>
          <w:lang w:val="en-US"/>
        </w:rPr>
      </w:pPr>
      <w:proofErr w:type="spellStart"/>
      <w:r w:rsidRPr="002426EE">
        <w:rPr>
          <w:lang w:val="en-US"/>
        </w:rPr>
        <w:t>Dornbusch</w:t>
      </w:r>
      <w:proofErr w:type="spellEnd"/>
      <w:r w:rsidRPr="002426EE">
        <w:rPr>
          <w:lang w:val="en-US"/>
        </w:rPr>
        <w:t xml:space="preserve">, R., &amp; Fischer, S. (1980). </w:t>
      </w:r>
      <w:proofErr w:type="gramStart"/>
      <w:r w:rsidRPr="002426EE">
        <w:rPr>
          <w:lang w:val="en-US"/>
        </w:rPr>
        <w:t xml:space="preserve">Exchange rates and the current </w:t>
      </w:r>
      <w:proofErr w:type="spellStart"/>
      <w:r w:rsidRPr="002426EE">
        <w:rPr>
          <w:lang w:val="en-US"/>
        </w:rPr>
        <w:t>account.</w:t>
      </w:r>
      <w:r w:rsidRPr="002426EE">
        <w:rPr>
          <w:i/>
          <w:iCs/>
          <w:lang w:val="en-US"/>
        </w:rPr>
        <w:t>The</w:t>
      </w:r>
      <w:proofErr w:type="spellEnd"/>
      <w:r w:rsidRPr="002426EE">
        <w:rPr>
          <w:i/>
          <w:iCs/>
          <w:lang w:val="en-US"/>
        </w:rPr>
        <w:t xml:space="preserve"> American Economic Review</w:t>
      </w:r>
      <w:r w:rsidRPr="002426EE">
        <w:rPr>
          <w:lang w:val="en-US"/>
        </w:rPr>
        <w:t>, 960-971.</w:t>
      </w:r>
      <w:proofErr w:type="gramEnd"/>
    </w:p>
    <w:p w:rsidR="00F32A9D" w:rsidRDefault="00F32A9D" w:rsidP="002426EE">
      <w:pPr>
        <w:spacing w:before="120" w:after="120" w:line="360" w:lineRule="auto"/>
        <w:jc w:val="both"/>
        <w:rPr>
          <w:lang w:val="en-US"/>
        </w:rPr>
      </w:pPr>
      <w:proofErr w:type="spellStart"/>
      <w:r w:rsidRPr="00F32A9D">
        <w:rPr>
          <w:lang w:val="en-US"/>
        </w:rPr>
        <w:t>Dritsakis</w:t>
      </w:r>
      <w:proofErr w:type="spellEnd"/>
      <w:r w:rsidRPr="00F32A9D">
        <w:rPr>
          <w:lang w:val="en-US"/>
        </w:rPr>
        <w:t>, N. (2006). Exports and Economic growth: An empirical investigation of EU, USA and Japan using causality tests. </w:t>
      </w:r>
      <w:r w:rsidRPr="00F32A9D">
        <w:rPr>
          <w:i/>
          <w:iCs/>
          <w:lang w:val="en-US"/>
        </w:rPr>
        <w:t>International Review of Applied Economic Research</w:t>
      </w:r>
      <w:r w:rsidRPr="00F32A9D">
        <w:rPr>
          <w:lang w:val="en-US"/>
        </w:rPr>
        <w:t>, </w:t>
      </w:r>
      <w:r w:rsidRPr="00F32A9D">
        <w:rPr>
          <w:i/>
          <w:iCs/>
          <w:lang w:val="en-US"/>
        </w:rPr>
        <w:t>1</w:t>
      </w:r>
      <w:r w:rsidRPr="00F32A9D">
        <w:rPr>
          <w:lang w:val="en-US"/>
        </w:rPr>
        <w:t>(2), 79-92.</w:t>
      </w:r>
    </w:p>
    <w:p w:rsidR="001401E6" w:rsidRPr="00F95936" w:rsidRDefault="001401E6" w:rsidP="002426EE">
      <w:pPr>
        <w:spacing w:before="120" w:after="120" w:line="360" w:lineRule="auto"/>
        <w:jc w:val="both"/>
        <w:rPr>
          <w:lang w:val="en-US"/>
        </w:rPr>
      </w:pPr>
      <w:proofErr w:type="gramStart"/>
      <w:r w:rsidRPr="002426EE">
        <w:rPr>
          <w:lang w:val="en-US"/>
        </w:rPr>
        <w:t>Flood, R. P., &amp; Rose, A. K. (1999).</w:t>
      </w:r>
      <w:proofErr w:type="gramEnd"/>
      <w:r w:rsidRPr="002426EE">
        <w:rPr>
          <w:lang w:val="en-US"/>
        </w:rPr>
        <w:t xml:space="preserve"> </w:t>
      </w:r>
      <w:proofErr w:type="gramStart"/>
      <w:r w:rsidRPr="002426EE">
        <w:rPr>
          <w:lang w:val="en-US"/>
        </w:rPr>
        <w:t>Understanding exchange rate volatility without the contrivance of macroeconomics.</w:t>
      </w:r>
      <w:proofErr w:type="gramEnd"/>
      <w:r w:rsidRPr="002426EE">
        <w:rPr>
          <w:lang w:val="en-US"/>
        </w:rPr>
        <w:t> </w:t>
      </w:r>
      <w:r w:rsidRPr="00F95936">
        <w:rPr>
          <w:i/>
          <w:iCs/>
          <w:lang w:val="en-US"/>
        </w:rPr>
        <w:t>The Economic Journal</w:t>
      </w:r>
      <w:r w:rsidRPr="00F95936">
        <w:rPr>
          <w:lang w:val="en-US"/>
        </w:rPr>
        <w:t>, </w:t>
      </w:r>
      <w:r w:rsidRPr="00F95936">
        <w:rPr>
          <w:i/>
          <w:iCs/>
          <w:lang w:val="en-US"/>
        </w:rPr>
        <w:t>109</w:t>
      </w:r>
      <w:r w:rsidRPr="00F95936">
        <w:rPr>
          <w:lang w:val="en-US"/>
        </w:rPr>
        <w:t>(459), 660-672.</w:t>
      </w:r>
    </w:p>
    <w:p w:rsidR="001401E6" w:rsidRPr="002426EE" w:rsidRDefault="001401E6" w:rsidP="002426EE">
      <w:pPr>
        <w:spacing w:before="120" w:after="120" w:line="360" w:lineRule="auto"/>
        <w:jc w:val="both"/>
        <w:rPr>
          <w:lang w:val="en-US"/>
        </w:rPr>
      </w:pPr>
      <w:r w:rsidRPr="002426EE">
        <w:rPr>
          <w:lang w:val="en-US"/>
        </w:rPr>
        <w:t xml:space="preserve">Frankel, J. A. (1979). </w:t>
      </w:r>
      <w:proofErr w:type="gramStart"/>
      <w:r w:rsidRPr="002426EE">
        <w:rPr>
          <w:lang w:val="en-US"/>
        </w:rPr>
        <w:t xml:space="preserve">The </w:t>
      </w:r>
      <w:proofErr w:type="spellStart"/>
      <w:r w:rsidRPr="002426EE">
        <w:rPr>
          <w:lang w:val="en-US"/>
        </w:rPr>
        <w:t>diversifiability</w:t>
      </w:r>
      <w:proofErr w:type="spellEnd"/>
      <w:r w:rsidRPr="002426EE">
        <w:rPr>
          <w:lang w:val="en-US"/>
        </w:rPr>
        <w:t xml:space="preserve"> of exchange risk.</w:t>
      </w:r>
      <w:proofErr w:type="gramEnd"/>
      <w:r w:rsidRPr="002426EE">
        <w:rPr>
          <w:lang w:val="en-US"/>
        </w:rPr>
        <w:t> </w:t>
      </w:r>
      <w:r w:rsidRPr="002426EE">
        <w:rPr>
          <w:i/>
          <w:iCs/>
          <w:lang w:val="en-US"/>
        </w:rPr>
        <w:t>Journal of International Economics</w:t>
      </w:r>
      <w:r w:rsidRPr="002426EE">
        <w:rPr>
          <w:lang w:val="en-US"/>
        </w:rPr>
        <w:t>, </w:t>
      </w:r>
      <w:r w:rsidRPr="002426EE">
        <w:rPr>
          <w:i/>
          <w:iCs/>
          <w:lang w:val="en-US"/>
        </w:rPr>
        <w:t>9</w:t>
      </w:r>
      <w:r w:rsidRPr="002426EE">
        <w:rPr>
          <w:lang w:val="en-US"/>
        </w:rPr>
        <w:t>(3), 379-393.</w:t>
      </w:r>
    </w:p>
    <w:p w:rsidR="001401E6" w:rsidRPr="002426EE" w:rsidRDefault="001401E6" w:rsidP="002426EE">
      <w:pPr>
        <w:spacing w:before="120" w:after="120" w:line="360" w:lineRule="auto"/>
        <w:jc w:val="both"/>
        <w:rPr>
          <w:lang w:val="en-US"/>
        </w:rPr>
      </w:pPr>
      <w:proofErr w:type="gramStart"/>
      <w:r w:rsidRPr="002426EE">
        <w:rPr>
          <w:lang w:val="en-US"/>
        </w:rPr>
        <w:t>Frankel, J. A., &amp; Rose, A. K. (1996).</w:t>
      </w:r>
      <w:proofErr w:type="gramEnd"/>
      <w:r w:rsidRPr="002426EE">
        <w:rPr>
          <w:lang w:val="en-US"/>
        </w:rPr>
        <w:t xml:space="preserve"> A panel project on purchasing power parity: mean reversion within and between countries. </w:t>
      </w:r>
      <w:r w:rsidRPr="002426EE">
        <w:rPr>
          <w:i/>
          <w:iCs/>
          <w:lang w:val="en-US"/>
        </w:rPr>
        <w:t>Journal of International Economics</w:t>
      </w:r>
      <w:r w:rsidRPr="002426EE">
        <w:rPr>
          <w:lang w:val="en-US"/>
        </w:rPr>
        <w:t>, </w:t>
      </w:r>
      <w:r w:rsidRPr="002426EE">
        <w:rPr>
          <w:i/>
          <w:iCs/>
          <w:lang w:val="en-US"/>
        </w:rPr>
        <w:t>40</w:t>
      </w:r>
      <w:r w:rsidRPr="002426EE">
        <w:rPr>
          <w:lang w:val="en-US"/>
        </w:rPr>
        <w:t>(1), 209-224.</w:t>
      </w:r>
    </w:p>
    <w:p w:rsidR="001401E6" w:rsidRPr="00DF6807" w:rsidRDefault="001401E6" w:rsidP="00F5195A">
      <w:pPr>
        <w:spacing w:before="120" w:after="120" w:line="360" w:lineRule="auto"/>
        <w:jc w:val="both"/>
        <w:rPr>
          <w:lang w:val="en-US"/>
        </w:rPr>
      </w:pPr>
      <w:proofErr w:type="spellStart"/>
      <w:r w:rsidRPr="002426EE">
        <w:rPr>
          <w:lang w:val="en-US"/>
        </w:rPr>
        <w:t>Frenkel</w:t>
      </w:r>
      <w:proofErr w:type="spellEnd"/>
      <w:r w:rsidRPr="002426EE">
        <w:rPr>
          <w:lang w:val="en-US"/>
        </w:rPr>
        <w:t>, J. A. (1981). Flexible exchange rates, prices, and the role of" news": lessons from the 1970s. </w:t>
      </w:r>
      <w:r w:rsidRPr="002426EE">
        <w:rPr>
          <w:i/>
          <w:iCs/>
          <w:lang w:val="en-US"/>
        </w:rPr>
        <w:t>The Journal of Political Economy</w:t>
      </w:r>
      <w:r>
        <w:rPr>
          <w:lang w:val="en-US"/>
        </w:rPr>
        <w:t>, 665-705.</w:t>
      </w:r>
    </w:p>
    <w:p w:rsidR="001401E6" w:rsidRDefault="001401E6" w:rsidP="00746D11">
      <w:pPr>
        <w:pStyle w:val="ae"/>
        <w:spacing w:after="200" w:line="360" w:lineRule="auto"/>
        <w:ind w:left="0"/>
        <w:contextualSpacing/>
        <w:jc w:val="both"/>
        <w:rPr>
          <w:lang w:val="en-US"/>
        </w:rPr>
      </w:pPr>
      <w:r w:rsidRPr="009D1039">
        <w:rPr>
          <w:lang w:val="en-US"/>
        </w:rPr>
        <w:lastRenderedPageBreak/>
        <w:t xml:space="preserve">Ivanov S. &amp; </w:t>
      </w:r>
      <w:proofErr w:type="spellStart"/>
      <w:r w:rsidRPr="009D1039">
        <w:rPr>
          <w:lang w:val="en-US"/>
        </w:rPr>
        <w:t>Moechtar</w:t>
      </w:r>
      <w:proofErr w:type="spellEnd"/>
      <w:r w:rsidRPr="009D1039">
        <w:rPr>
          <w:lang w:val="en-US"/>
        </w:rPr>
        <w:t xml:space="preserve"> M., </w:t>
      </w:r>
      <w:r w:rsidRPr="009D1039">
        <w:rPr>
          <w:i/>
          <w:lang w:val="en-US"/>
        </w:rPr>
        <w:t>Weak and Strong Forms of Purchasing Power Parity in the Long – Run</w:t>
      </w:r>
      <w:r w:rsidRPr="009D1039">
        <w:rPr>
          <w:lang w:val="en-US"/>
        </w:rPr>
        <w:t xml:space="preserve">, </w:t>
      </w:r>
      <w:hyperlink r:id="rId172" w:history="1">
        <w:r w:rsidRPr="00746D11">
          <w:rPr>
            <w:rStyle w:val="-"/>
            <w:color w:val="auto"/>
            <w:u w:val="none"/>
            <w:lang w:val="en-US"/>
          </w:rPr>
          <w:t>academic.reed.edu/economics/parker/s12/312/</w:t>
        </w:r>
        <w:proofErr w:type="spellStart"/>
        <w:r w:rsidRPr="00746D11">
          <w:rPr>
            <w:rStyle w:val="-"/>
            <w:color w:val="auto"/>
            <w:u w:val="none"/>
            <w:lang w:val="en-US"/>
          </w:rPr>
          <w:t>finalproj</w:t>
        </w:r>
        <w:proofErr w:type="spellEnd"/>
        <w:r w:rsidRPr="00746D11">
          <w:rPr>
            <w:rStyle w:val="-"/>
            <w:color w:val="auto"/>
            <w:u w:val="none"/>
            <w:lang w:val="en-US"/>
          </w:rPr>
          <w:t>/ PPP.pdf</w:t>
        </w:r>
      </w:hyperlink>
      <w:r w:rsidRPr="00746D11">
        <w:rPr>
          <w:lang w:val="en-US"/>
        </w:rPr>
        <w:t>, (</w:t>
      </w:r>
      <w:r w:rsidRPr="00055876">
        <w:rPr>
          <w:lang w:val="en-US"/>
        </w:rPr>
        <w:t>2012), pages 20</w:t>
      </w:r>
      <w:r>
        <w:rPr>
          <w:lang w:val="en-US"/>
        </w:rPr>
        <w:t>.</w:t>
      </w:r>
    </w:p>
    <w:p w:rsidR="001401E6" w:rsidRPr="00746D11" w:rsidRDefault="001401E6" w:rsidP="00746D11">
      <w:pPr>
        <w:pStyle w:val="ae"/>
        <w:spacing w:after="200" w:line="360" w:lineRule="auto"/>
        <w:ind w:left="0"/>
        <w:contextualSpacing/>
        <w:jc w:val="both"/>
        <w:rPr>
          <w:lang w:val="en-US"/>
        </w:rPr>
      </w:pPr>
      <w:proofErr w:type="gramStart"/>
      <w:r w:rsidRPr="0005729D">
        <w:rPr>
          <w:lang w:val="en-US"/>
        </w:rPr>
        <w:t>Kosteletou, N., &amp; Liargovas, P. (2000).</w:t>
      </w:r>
      <w:proofErr w:type="gramEnd"/>
      <w:r w:rsidRPr="0005729D">
        <w:rPr>
          <w:lang w:val="en-US"/>
        </w:rPr>
        <w:t xml:space="preserve"> Foreign direct investment and real exchange rate interlinkages. </w:t>
      </w:r>
      <w:proofErr w:type="spellStart"/>
      <w:r w:rsidRPr="0005729D">
        <w:rPr>
          <w:i/>
          <w:iCs/>
        </w:rPr>
        <w:t>Open</w:t>
      </w:r>
      <w:proofErr w:type="spellEnd"/>
      <w:r w:rsidRPr="0005729D">
        <w:rPr>
          <w:i/>
          <w:iCs/>
        </w:rPr>
        <w:t xml:space="preserve"> </w:t>
      </w:r>
      <w:proofErr w:type="spellStart"/>
      <w:r w:rsidRPr="0005729D">
        <w:rPr>
          <w:i/>
          <w:iCs/>
        </w:rPr>
        <w:t>Economies</w:t>
      </w:r>
      <w:proofErr w:type="spellEnd"/>
      <w:r w:rsidRPr="0005729D">
        <w:rPr>
          <w:i/>
          <w:iCs/>
        </w:rPr>
        <w:t xml:space="preserve"> </w:t>
      </w:r>
      <w:proofErr w:type="spellStart"/>
      <w:r w:rsidRPr="0005729D">
        <w:rPr>
          <w:i/>
          <w:iCs/>
        </w:rPr>
        <w:t>Review</w:t>
      </w:r>
      <w:proofErr w:type="spellEnd"/>
      <w:r w:rsidRPr="0005729D">
        <w:t>, </w:t>
      </w:r>
      <w:r w:rsidRPr="0005729D">
        <w:rPr>
          <w:i/>
          <w:iCs/>
        </w:rPr>
        <w:t>11</w:t>
      </w:r>
      <w:r w:rsidRPr="0005729D">
        <w:t>(2), 135-148.</w:t>
      </w:r>
    </w:p>
    <w:p w:rsidR="001401E6" w:rsidRPr="002426EE" w:rsidRDefault="001401E6" w:rsidP="002426EE">
      <w:pPr>
        <w:autoSpaceDE w:val="0"/>
        <w:autoSpaceDN w:val="0"/>
        <w:adjustRightInd w:val="0"/>
        <w:spacing w:before="120" w:after="120" w:line="360" w:lineRule="auto"/>
        <w:jc w:val="both"/>
        <w:rPr>
          <w:lang w:val="en-US"/>
        </w:rPr>
      </w:pPr>
      <w:r w:rsidRPr="002426EE">
        <w:rPr>
          <w:color w:val="131413"/>
          <w:lang w:val="en-US"/>
        </w:rPr>
        <w:t xml:space="preserve">Kouretas, G. P. (1997). </w:t>
      </w:r>
      <w:proofErr w:type="gramStart"/>
      <w:r w:rsidRPr="002426EE">
        <w:rPr>
          <w:color w:val="131413"/>
          <w:lang w:val="en-US"/>
        </w:rPr>
        <w:t xml:space="preserve">Identifying linear restrictions on the monetary exchange rate model and the uncovered interest parity: </w:t>
      </w:r>
      <w:proofErr w:type="spellStart"/>
      <w:r w:rsidRPr="002426EE">
        <w:rPr>
          <w:color w:val="131413"/>
          <w:lang w:val="en-US"/>
        </w:rPr>
        <w:t>cointegration</w:t>
      </w:r>
      <w:proofErr w:type="spellEnd"/>
      <w:r w:rsidRPr="002426EE">
        <w:rPr>
          <w:color w:val="131413"/>
          <w:lang w:val="en-US"/>
        </w:rPr>
        <w:t xml:space="preserve"> evidence from the Canadian U.S. dollar.</w:t>
      </w:r>
      <w:proofErr w:type="gramEnd"/>
      <w:r w:rsidRPr="002426EE">
        <w:rPr>
          <w:color w:val="131413"/>
          <w:lang w:val="en-US"/>
        </w:rPr>
        <w:t xml:space="preserve"> Canadian Journal of Economics, 30(4a), 875</w:t>
      </w:r>
      <w:r w:rsidRPr="002426EE">
        <w:rPr>
          <w:rFonts w:eastAsia="AdvTT3713a231+20"/>
          <w:color w:val="131413"/>
          <w:lang w:val="en-US"/>
        </w:rPr>
        <w:t>–</w:t>
      </w:r>
      <w:r w:rsidRPr="002426EE">
        <w:rPr>
          <w:color w:val="131413"/>
          <w:lang w:val="en-US"/>
        </w:rPr>
        <w:t>890.</w:t>
      </w:r>
    </w:p>
    <w:p w:rsidR="001401E6" w:rsidRDefault="001401E6" w:rsidP="002426EE">
      <w:pPr>
        <w:spacing w:before="120" w:after="120" w:line="360" w:lineRule="auto"/>
        <w:jc w:val="both"/>
        <w:rPr>
          <w:lang w:val="en-US"/>
        </w:rPr>
      </w:pPr>
      <w:proofErr w:type="spellStart"/>
      <w:r w:rsidRPr="002426EE">
        <w:rPr>
          <w:lang w:val="en-US"/>
        </w:rPr>
        <w:t>Kouri</w:t>
      </w:r>
      <w:proofErr w:type="spellEnd"/>
      <w:r w:rsidRPr="002426EE">
        <w:rPr>
          <w:lang w:val="en-US"/>
        </w:rPr>
        <w:t>, P. J. (1976). The exchange rate and the balance of payments in the short run and in the long run: A monetary approach. </w:t>
      </w:r>
      <w:r w:rsidRPr="002426EE">
        <w:rPr>
          <w:i/>
          <w:iCs/>
          <w:lang w:val="en-US"/>
        </w:rPr>
        <w:t>The Scandinavian Journal of Economics</w:t>
      </w:r>
      <w:r w:rsidRPr="002426EE">
        <w:rPr>
          <w:lang w:val="en-US"/>
        </w:rPr>
        <w:t>, 280-304.</w:t>
      </w:r>
    </w:p>
    <w:p w:rsidR="001401E6" w:rsidRPr="0005141D" w:rsidRDefault="001401E6" w:rsidP="002426EE">
      <w:pPr>
        <w:spacing w:before="120" w:after="120" w:line="360" w:lineRule="auto"/>
        <w:jc w:val="both"/>
        <w:rPr>
          <w:lang w:val="en-US"/>
        </w:rPr>
      </w:pPr>
      <w:proofErr w:type="spellStart"/>
      <w:r w:rsidRPr="0005141D">
        <w:rPr>
          <w:lang w:val="en-US"/>
        </w:rPr>
        <w:t>Liargovas</w:t>
      </w:r>
      <w:proofErr w:type="spellEnd"/>
      <w:r w:rsidRPr="0005141D">
        <w:rPr>
          <w:lang w:val="en-US"/>
        </w:rPr>
        <w:t xml:space="preserve">, P., &amp; </w:t>
      </w:r>
      <w:proofErr w:type="spellStart"/>
      <w:r w:rsidRPr="0005141D">
        <w:rPr>
          <w:lang w:val="en-US"/>
        </w:rPr>
        <w:t>Repousis</w:t>
      </w:r>
      <w:proofErr w:type="spellEnd"/>
      <w:r w:rsidRPr="0005141D">
        <w:rPr>
          <w:lang w:val="en-US"/>
        </w:rPr>
        <w:t xml:space="preserve">, S. (2012). </w:t>
      </w:r>
      <w:proofErr w:type="gramStart"/>
      <w:r w:rsidRPr="0005141D">
        <w:rPr>
          <w:lang w:val="en-US"/>
        </w:rPr>
        <w:t>The impact of adoption and circulation of euro on the performance of Greek Banking Sector.</w:t>
      </w:r>
      <w:proofErr w:type="gramEnd"/>
      <w:r w:rsidRPr="0005141D">
        <w:rPr>
          <w:lang w:val="en-US"/>
        </w:rPr>
        <w:t> </w:t>
      </w:r>
      <w:proofErr w:type="gramStart"/>
      <w:r w:rsidRPr="001401E6">
        <w:rPr>
          <w:i/>
          <w:iCs/>
          <w:lang w:val="en-US"/>
        </w:rPr>
        <w:t>International Research Journal of Finance and Economics</w:t>
      </w:r>
      <w:r w:rsidRPr="001401E6">
        <w:rPr>
          <w:lang w:val="en-US"/>
        </w:rPr>
        <w:t>, (84).</w:t>
      </w:r>
      <w:proofErr w:type="gramEnd"/>
    </w:p>
    <w:p w:rsidR="001401E6" w:rsidRDefault="001401E6" w:rsidP="002426EE">
      <w:pPr>
        <w:spacing w:before="120" w:after="120" w:line="360" w:lineRule="auto"/>
        <w:jc w:val="both"/>
        <w:rPr>
          <w:lang w:val="en-US"/>
        </w:rPr>
      </w:pPr>
      <w:proofErr w:type="spellStart"/>
      <w:r w:rsidRPr="00004782">
        <w:rPr>
          <w:lang w:val="en-US"/>
        </w:rPr>
        <w:t>Liargovas</w:t>
      </w:r>
      <w:proofErr w:type="spellEnd"/>
      <w:r w:rsidRPr="00004782">
        <w:rPr>
          <w:lang w:val="en-US"/>
        </w:rPr>
        <w:t xml:space="preserve">, P., &amp; </w:t>
      </w:r>
      <w:proofErr w:type="spellStart"/>
      <w:r w:rsidRPr="00004782">
        <w:rPr>
          <w:lang w:val="en-US"/>
        </w:rPr>
        <w:t>Repousis</w:t>
      </w:r>
      <w:proofErr w:type="spellEnd"/>
      <w:r w:rsidRPr="00004782">
        <w:rPr>
          <w:lang w:val="en-US"/>
        </w:rPr>
        <w:t xml:space="preserve">, S. (2013). Greece’s way out of the crisis: A call for massive structural reforms. </w:t>
      </w:r>
      <w:proofErr w:type="spellStart"/>
      <w:r w:rsidRPr="00004782">
        <w:t>In</w:t>
      </w:r>
      <w:proofErr w:type="spellEnd"/>
      <w:r w:rsidRPr="00004782">
        <w:t> </w:t>
      </w:r>
      <w:proofErr w:type="spellStart"/>
      <w:r w:rsidRPr="00004782">
        <w:rPr>
          <w:i/>
          <w:iCs/>
        </w:rPr>
        <w:t>Greece's</w:t>
      </w:r>
      <w:proofErr w:type="spellEnd"/>
      <w:r w:rsidRPr="00004782">
        <w:rPr>
          <w:i/>
          <w:iCs/>
        </w:rPr>
        <w:t xml:space="preserve"> </w:t>
      </w:r>
      <w:proofErr w:type="spellStart"/>
      <w:r w:rsidRPr="00004782">
        <w:rPr>
          <w:i/>
          <w:iCs/>
        </w:rPr>
        <w:t>Horizons</w:t>
      </w:r>
      <w:proofErr w:type="spellEnd"/>
      <w:r w:rsidRPr="00004782">
        <w:t> (</w:t>
      </w:r>
      <w:proofErr w:type="spellStart"/>
      <w:r w:rsidRPr="00004782">
        <w:t>pp</w:t>
      </w:r>
      <w:proofErr w:type="spellEnd"/>
      <w:r w:rsidRPr="00004782">
        <w:t xml:space="preserve">. 81-90). </w:t>
      </w:r>
      <w:proofErr w:type="spellStart"/>
      <w:r w:rsidRPr="00004782">
        <w:t>Springer</w:t>
      </w:r>
      <w:proofErr w:type="spellEnd"/>
      <w:r w:rsidRPr="00004782">
        <w:t xml:space="preserve"> </w:t>
      </w:r>
      <w:proofErr w:type="spellStart"/>
      <w:r w:rsidRPr="00004782">
        <w:t>Berlin</w:t>
      </w:r>
      <w:proofErr w:type="spellEnd"/>
      <w:r w:rsidRPr="00004782">
        <w:t xml:space="preserve"> </w:t>
      </w:r>
      <w:proofErr w:type="spellStart"/>
      <w:r w:rsidRPr="00004782">
        <w:t>Heidelberg</w:t>
      </w:r>
      <w:proofErr w:type="spellEnd"/>
      <w:r w:rsidRPr="00004782">
        <w:t>.</w:t>
      </w:r>
    </w:p>
    <w:p w:rsidR="001401E6" w:rsidRPr="000C4432" w:rsidRDefault="001401E6" w:rsidP="00754AF6">
      <w:pPr>
        <w:spacing w:before="120" w:after="120" w:line="360" w:lineRule="auto"/>
        <w:jc w:val="both"/>
        <w:rPr>
          <w:color w:val="000000" w:themeColor="text1"/>
          <w:lang w:val="en-US"/>
        </w:rPr>
      </w:pPr>
      <w:proofErr w:type="spellStart"/>
      <w:r w:rsidRPr="000C4432">
        <w:rPr>
          <w:color w:val="000000" w:themeColor="text1"/>
          <w:lang w:val="en-US"/>
        </w:rPr>
        <w:t>Loukopoulos</w:t>
      </w:r>
      <w:proofErr w:type="spellEnd"/>
      <w:r w:rsidRPr="000C4432">
        <w:rPr>
          <w:color w:val="000000" w:themeColor="text1"/>
          <w:lang w:val="en-US"/>
        </w:rPr>
        <w:t xml:space="preserve">, G. (2013). </w:t>
      </w:r>
      <w:proofErr w:type="gramStart"/>
      <w:r w:rsidRPr="000C4432">
        <w:rPr>
          <w:rStyle w:val="null"/>
          <w:i/>
          <w:color w:val="000000" w:themeColor="text1"/>
          <w:lang w:val="en-US"/>
        </w:rPr>
        <w:t>Exchange Rate Theories – Empirical Test of Absolute and Relative PPP Hypothesis</w:t>
      </w:r>
      <w:r w:rsidRPr="000C4432">
        <w:rPr>
          <w:rStyle w:val="null"/>
          <w:color w:val="000000" w:themeColor="text1"/>
          <w:lang w:val="en-US"/>
        </w:rPr>
        <w:t>.</w:t>
      </w:r>
      <w:proofErr w:type="gramEnd"/>
      <w:r w:rsidRPr="000C4432">
        <w:rPr>
          <w:color w:val="000000" w:themeColor="text1"/>
          <w:lang w:val="en-US"/>
        </w:rPr>
        <w:t xml:space="preserve"> </w:t>
      </w:r>
      <w:r>
        <w:rPr>
          <w:color w:val="000000" w:themeColor="text1"/>
          <w:lang w:val="en-US"/>
        </w:rPr>
        <w:t>Unpublished p</w:t>
      </w:r>
      <w:r w:rsidRPr="000C4432">
        <w:rPr>
          <w:color w:val="000000" w:themeColor="text1"/>
          <w:lang w:val="en-US"/>
        </w:rPr>
        <w:t>aper presented at the 1</w:t>
      </w:r>
      <w:r w:rsidRPr="000C4432">
        <w:rPr>
          <w:rStyle w:val="null"/>
          <w:color w:val="000000" w:themeColor="text1"/>
          <w:lang w:val="en-US"/>
        </w:rPr>
        <w:t>2th Annual Conference of the Hellenic Finance and Accounting Association</w:t>
      </w:r>
      <w:r w:rsidRPr="000C4432">
        <w:rPr>
          <w:color w:val="000000" w:themeColor="text1"/>
          <w:lang w:val="en-US"/>
        </w:rPr>
        <w:t xml:space="preserve"> (HFAA), Thessaloniki, Greece</w:t>
      </w:r>
      <w:r>
        <w:rPr>
          <w:color w:val="000000" w:themeColor="text1"/>
          <w:lang w:val="en-US"/>
        </w:rPr>
        <w:t xml:space="preserve">, </w:t>
      </w:r>
      <w:r w:rsidRPr="000C4432">
        <w:rPr>
          <w:rStyle w:val="null"/>
          <w:lang w:val="en-US"/>
        </w:rPr>
        <w:t>13-14 December, 2013</w:t>
      </w:r>
      <w:r>
        <w:rPr>
          <w:rStyle w:val="null"/>
          <w:lang w:val="en-US"/>
        </w:rPr>
        <w:t>.</w:t>
      </w:r>
    </w:p>
    <w:p w:rsidR="001401E6" w:rsidRPr="002426EE" w:rsidRDefault="001401E6" w:rsidP="002426EE">
      <w:pPr>
        <w:spacing w:before="120" w:after="120" w:line="360" w:lineRule="auto"/>
        <w:jc w:val="both"/>
        <w:rPr>
          <w:lang w:val="en-US"/>
        </w:rPr>
      </w:pPr>
      <w:r w:rsidRPr="002426EE">
        <w:rPr>
          <w:lang w:val="en-US"/>
        </w:rPr>
        <w:t xml:space="preserve">Meese, R. (1990). </w:t>
      </w:r>
      <w:proofErr w:type="gramStart"/>
      <w:r w:rsidRPr="002426EE">
        <w:rPr>
          <w:lang w:val="en-US"/>
        </w:rPr>
        <w:t>Currency fluctuations in the post-Bretton Woods era.</w:t>
      </w:r>
      <w:proofErr w:type="gramEnd"/>
      <w:r w:rsidRPr="002426EE">
        <w:rPr>
          <w:lang w:val="en-US"/>
        </w:rPr>
        <w:t> </w:t>
      </w:r>
      <w:r w:rsidRPr="002426EE">
        <w:rPr>
          <w:i/>
          <w:iCs/>
          <w:lang w:val="en-US"/>
        </w:rPr>
        <w:t>The Journal of Economic Perspectives</w:t>
      </w:r>
      <w:r w:rsidRPr="002426EE">
        <w:rPr>
          <w:lang w:val="en-US"/>
        </w:rPr>
        <w:t>, 117-134.</w:t>
      </w:r>
    </w:p>
    <w:p w:rsidR="001401E6" w:rsidRPr="002426EE" w:rsidRDefault="001401E6" w:rsidP="002426EE">
      <w:pPr>
        <w:spacing w:before="120" w:after="120" w:line="360" w:lineRule="auto"/>
        <w:jc w:val="both"/>
        <w:rPr>
          <w:lang w:val="en-US"/>
        </w:rPr>
      </w:pPr>
      <w:proofErr w:type="gramStart"/>
      <w:r w:rsidRPr="002426EE">
        <w:rPr>
          <w:lang w:val="en-US"/>
        </w:rPr>
        <w:t xml:space="preserve">Meese, R. A., &amp; </w:t>
      </w:r>
      <w:proofErr w:type="spellStart"/>
      <w:r w:rsidRPr="002426EE">
        <w:rPr>
          <w:lang w:val="en-US"/>
        </w:rPr>
        <w:t>Rogoff</w:t>
      </w:r>
      <w:proofErr w:type="spellEnd"/>
      <w:r w:rsidRPr="002426EE">
        <w:rPr>
          <w:lang w:val="en-US"/>
        </w:rPr>
        <w:t>, K. (1983).</w:t>
      </w:r>
      <w:proofErr w:type="gramEnd"/>
      <w:r w:rsidRPr="002426EE">
        <w:rPr>
          <w:lang w:val="en-US"/>
        </w:rPr>
        <w:t xml:space="preserve"> Empirical exchange rate models of the seventies: Do they fit out of sample</w:t>
      </w:r>
      <w:proofErr w:type="gramStart"/>
      <w:r w:rsidRPr="002426EE">
        <w:rPr>
          <w:lang w:val="en-US"/>
        </w:rPr>
        <w:t>?.</w:t>
      </w:r>
      <w:proofErr w:type="gramEnd"/>
      <w:r w:rsidRPr="002426EE">
        <w:rPr>
          <w:lang w:val="en-US"/>
        </w:rPr>
        <w:t> </w:t>
      </w:r>
      <w:r w:rsidRPr="002426EE">
        <w:rPr>
          <w:i/>
          <w:iCs/>
          <w:lang w:val="en-US"/>
        </w:rPr>
        <w:t>Journal of international economics</w:t>
      </w:r>
      <w:r w:rsidRPr="002426EE">
        <w:rPr>
          <w:lang w:val="en-US"/>
        </w:rPr>
        <w:t>, </w:t>
      </w:r>
      <w:r w:rsidRPr="002426EE">
        <w:rPr>
          <w:i/>
          <w:iCs/>
          <w:lang w:val="en-US"/>
        </w:rPr>
        <w:t>14</w:t>
      </w:r>
      <w:r w:rsidRPr="002426EE">
        <w:rPr>
          <w:lang w:val="en-US"/>
        </w:rPr>
        <w:t>(1), 3-24.</w:t>
      </w:r>
    </w:p>
    <w:p w:rsidR="001401E6" w:rsidRPr="002426EE" w:rsidRDefault="001401E6" w:rsidP="002426EE">
      <w:pPr>
        <w:spacing w:before="120" w:after="120" w:line="360" w:lineRule="auto"/>
        <w:jc w:val="both"/>
        <w:rPr>
          <w:lang w:val="en-US"/>
        </w:rPr>
      </w:pPr>
      <w:proofErr w:type="spellStart"/>
      <w:proofErr w:type="gramStart"/>
      <w:r w:rsidRPr="002426EE">
        <w:rPr>
          <w:lang w:val="en-US"/>
        </w:rPr>
        <w:t>Mussa</w:t>
      </w:r>
      <w:proofErr w:type="spellEnd"/>
      <w:r w:rsidRPr="002426EE">
        <w:rPr>
          <w:lang w:val="en-US"/>
        </w:rPr>
        <w:t>, M. (1976).</w:t>
      </w:r>
      <w:proofErr w:type="gramEnd"/>
      <w:r w:rsidRPr="002426EE">
        <w:rPr>
          <w:lang w:val="en-US"/>
        </w:rPr>
        <w:t xml:space="preserve"> The exchange rate, the balance of payments and monetary and fiscal policy under a regime of controlled floating. </w:t>
      </w:r>
      <w:r w:rsidRPr="002426EE">
        <w:rPr>
          <w:i/>
          <w:iCs/>
          <w:lang w:val="en-US"/>
        </w:rPr>
        <w:t>The Scandinavian Journal of Economics</w:t>
      </w:r>
      <w:r w:rsidRPr="002426EE">
        <w:rPr>
          <w:lang w:val="en-US"/>
        </w:rPr>
        <w:t>, 229-248.</w:t>
      </w:r>
    </w:p>
    <w:p w:rsidR="001401E6" w:rsidRDefault="001401E6" w:rsidP="002426EE">
      <w:pPr>
        <w:spacing w:before="120" w:after="120" w:line="360" w:lineRule="auto"/>
        <w:jc w:val="both"/>
        <w:rPr>
          <w:lang w:val="en-US"/>
        </w:rPr>
      </w:pPr>
      <w:proofErr w:type="spellStart"/>
      <w:proofErr w:type="gramStart"/>
      <w:r w:rsidRPr="002426EE">
        <w:rPr>
          <w:lang w:val="en-US"/>
        </w:rPr>
        <w:lastRenderedPageBreak/>
        <w:t>Mussa</w:t>
      </w:r>
      <w:proofErr w:type="spellEnd"/>
      <w:r w:rsidRPr="002426EE">
        <w:rPr>
          <w:lang w:val="en-US"/>
        </w:rPr>
        <w:t>, M. (1979).</w:t>
      </w:r>
      <w:proofErr w:type="gramEnd"/>
      <w:r w:rsidRPr="002426EE">
        <w:rPr>
          <w:lang w:val="en-US"/>
        </w:rPr>
        <w:t xml:space="preserve"> </w:t>
      </w:r>
      <w:proofErr w:type="gramStart"/>
      <w:r w:rsidRPr="002426EE">
        <w:rPr>
          <w:lang w:val="en-US"/>
        </w:rPr>
        <w:t>Empirical regularities in the behavior of exchange rates and theories of the foreign exchange market.</w:t>
      </w:r>
      <w:proofErr w:type="gramEnd"/>
      <w:r w:rsidRPr="002426EE">
        <w:rPr>
          <w:lang w:val="en-US"/>
        </w:rPr>
        <w:t xml:space="preserve"> </w:t>
      </w:r>
      <w:proofErr w:type="gramStart"/>
      <w:r w:rsidRPr="002426EE">
        <w:rPr>
          <w:lang w:val="en-US"/>
        </w:rPr>
        <w:t>In </w:t>
      </w:r>
      <w:r w:rsidRPr="002426EE">
        <w:rPr>
          <w:i/>
          <w:iCs/>
          <w:lang w:val="en-US"/>
        </w:rPr>
        <w:t>Carnegie-Rochester Conference Series on Public Policy</w:t>
      </w:r>
      <w:r w:rsidRPr="002426EE">
        <w:rPr>
          <w:lang w:val="en-US"/>
        </w:rPr>
        <w:t> 11, 9-57.</w:t>
      </w:r>
      <w:proofErr w:type="gramEnd"/>
    </w:p>
    <w:p w:rsidR="001401E6" w:rsidRDefault="001401E6" w:rsidP="00FF755B">
      <w:pPr>
        <w:spacing w:before="120" w:after="120" w:line="360" w:lineRule="auto"/>
        <w:jc w:val="both"/>
        <w:rPr>
          <w:lang w:val="en-US"/>
        </w:rPr>
      </w:pPr>
      <w:proofErr w:type="spellStart"/>
      <w:r w:rsidRPr="00C7249B">
        <w:rPr>
          <w:lang w:val="en-US"/>
        </w:rPr>
        <w:t>Mylonidis</w:t>
      </w:r>
      <w:proofErr w:type="spellEnd"/>
      <w:r w:rsidRPr="00C7249B">
        <w:rPr>
          <w:lang w:val="en-US"/>
        </w:rPr>
        <w:t xml:space="preserve">, N. (2008). </w:t>
      </w:r>
      <w:proofErr w:type="gramStart"/>
      <w:r w:rsidRPr="00C7249B">
        <w:rPr>
          <w:lang w:val="en-US"/>
        </w:rPr>
        <w:t xml:space="preserve">Home bias and deviations from purchasing power </w:t>
      </w:r>
      <w:proofErr w:type="spellStart"/>
      <w:r w:rsidRPr="00C7249B">
        <w:rPr>
          <w:lang w:val="en-US"/>
        </w:rPr>
        <w:t>parity.</w:t>
      </w:r>
      <w:r w:rsidRPr="00C7249B">
        <w:rPr>
          <w:i/>
          <w:iCs/>
          <w:lang w:val="en-US"/>
        </w:rPr>
        <w:t>Economics</w:t>
      </w:r>
      <w:proofErr w:type="spellEnd"/>
      <w:r w:rsidRPr="00C7249B">
        <w:rPr>
          <w:i/>
          <w:iCs/>
          <w:lang w:val="en-US"/>
        </w:rPr>
        <w:t xml:space="preserve"> Letters</w:t>
      </w:r>
      <w:r w:rsidRPr="00C7249B">
        <w:rPr>
          <w:lang w:val="en-US"/>
        </w:rPr>
        <w:t>, </w:t>
      </w:r>
      <w:r w:rsidRPr="00C7249B">
        <w:rPr>
          <w:i/>
          <w:iCs/>
          <w:lang w:val="en-US"/>
        </w:rPr>
        <w:t>101</w:t>
      </w:r>
      <w:r w:rsidRPr="00C7249B">
        <w:rPr>
          <w:lang w:val="en-US"/>
        </w:rPr>
        <w:t>(1), 38-40.</w:t>
      </w:r>
      <w:proofErr w:type="gramEnd"/>
    </w:p>
    <w:p w:rsidR="001401E6" w:rsidRPr="00C7249B" w:rsidRDefault="001401E6" w:rsidP="00FF755B">
      <w:pPr>
        <w:spacing w:before="120" w:after="120" w:line="360" w:lineRule="auto"/>
        <w:jc w:val="both"/>
        <w:rPr>
          <w:lang w:val="en-US"/>
        </w:rPr>
      </w:pPr>
      <w:proofErr w:type="spellStart"/>
      <w:proofErr w:type="gramStart"/>
      <w:r w:rsidRPr="00C7249B">
        <w:rPr>
          <w:lang w:val="en-US"/>
        </w:rPr>
        <w:t>Mylonidis</w:t>
      </w:r>
      <w:proofErr w:type="spellEnd"/>
      <w:r w:rsidRPr="00C7249B">
        <w:rPr>
          <w:lang w:val="en-US"/>
        </w:rPr>
        <w:t xml:space="preserve">, N., &amp; </w:t>
      </w:r>
      <w:proofErr w:type="spellStart"/>
      <w:r w:rsidRPr="00C7249B">
        <w:rPr>
          <w:lang w:val="en-US"/>
        </w:rPr>
        <w:t>Paleologou</w:t>
      </w:r>
      <w:proofErr w:type="spellEnd"/>
      <w:r w:rsidRPr="00C7249B">
        <w:rPr>
          <w:lang w:val="en-US"/>
        </w:rPr>
        <w:t>, S. M. (2011).</w:t>
      </w:r>
      <w:proofErr w:type="gramEnd"/>
      <w:r w:rsidRPr="00C7249B">
        <w:rPr>
          <w:lang w:val="en-US"/>
        </w:rPr>
        <w:t xml:space="preserve"> The real uncovered interest parity: The case of Canada and the USA. </w:t>
      </w:r>
      <w:r w:rsidRPr="00FF755B">
        <w:rPr>
          <w:i/>
          <w:iCs/>
          <w:lang w:val="en-US"/>
        </w:rPr>
        <w:t>Journal of Policy Modeling</w:t>
      </w:r>
      <w:r w:rsidRPr="00FF755B">
        <w:rPr>
          <w:lang w:val="en-US"/>
        </w:rPr>
        <w:t>, </w:t>
      </w:r>
      <w:r w:rsidRPr="00FF755B">
        <w:rPr>
          <w:i/>
          <w:iCs/>
          <w:lang w:val="en-US"/>
        </w:rPr>
        <w:t>33</w:t>
      </w:r>
      <w:r w:rsidRPr="00FF755B">
        <w:rPr>
          <w:lang w:val="en-US"/>
        </w:rPr>
        <w:t>(2), 255-267.</w:t>
      </w:r>
    </w:p>
    <w:p w:rsidR="001401E6" w:rsidRDefault="001401E6" w:rsidP="00FF755B">
      <w:pPr>
        <w:spacing w:before="120" w:after="120" w:line="360" w:lineRule="auto"/>
        <w:jc w:val="both"/>
        <w:rPr>
          <w:lang w:val="en-US"/>
        </w:rPr>
      </w:pPr>
      <w:proofErr w:type="spellStart"/>
      <w:proofErr w:type="gramStart"/>
      <w:r w:rsidRPr="00C7249B">
        <w:rPr>
          <w:lang w:val="en-US"/>
        </w:rPr>
        <w:t>Mylonidis</w:t>
      </w:r>
      <w:proofErr w:type="spellEnd"/>
      <w:r w:rsidRPr="00C7249B">
        <w:rPr>
          <w:lang w:val="en-US"/>
        </w:rPr>
        <w:t xml:space="preserve">, N., &amp; </w:t>
      </w:r>
      <w:proofErr w:type="spellStart"/>
      <w:r w:rsidRPr="00C7249B">
        <w:rPr>
          <w:lang w:val="en-US"/>
        </w:rPr>
        <w:t>Semertzidou</w:t>
      </w:r>
      <w:proofErr w:type="spellEnd"/>
      <w:r w:rsidRPr="00C7249B">
        <w:rPr>
          <w:lang w:val="en-US"/>
        </w:rPr>
        <w:t>, M. (2010).</w:t>
      </w:r>
      <w:proofErr w:type="gramEnd"/>
      <w:r w:rsidRPr="00C7249B">
        <w:rPr>
          <w:lang w:val="en-US"/>
        </w:rPr>
        <w:t xml:space="preserve"> Uncovered interest parity puzzle: does it really exist</w:t>
      </w:r>
      <w:proofErr w:type="gramStart"/>
      <w:r w:rsidRPr="00C7249B">
        <w:rPr>
          <w:lang w:val="en-US"/>
        </w:rPr>
        <w:t>?.</w:t>
      </w:r>
      <w:proofErr w:type="gramEnd"/>
      <w:r w:rsidRPr="00C7249B">
        <w:rPr>
          <w:lang w:val="en-US"/>
        </w:rPr>
        <w:t> </w:t>
      </w:r>
      <w:proofErr w:type="spellStart"/>
      <w:r w:rsidRPr="00C7249B">
        <w:rPr>
          <w:i/>
          <w:iCs/>
        </w:rPr>
        <w:t>Applied</w:t>
      </w:r>
      <w:proofErr w:type="spellEnd"/>
      <w:r w:rsidRPr="00C7249B">
        <w:rPr>
          <w:i/>
          <w:iCs/>
        </w:rPr>
        <w:t xml:space="preserve"> </w:t>
      </w:r>
      <w:proofErr w:type="spellStart"/>
      <w:r w:rsidRPr="00C7249B">
        <w:rPr>
          <w:i/>
          <w:iCs/>
        </w:rPr>
        <w:t>Economics</w:t>
      </w:r>
      <w:proofErr w:type="spellEnd"/>
      <w:r w:rsidRPr="00C7249B">
        <w:rPr>
          <w:i/>
          <w:iCs/>
        </w:rPr>
        <w:t xml:space="preserve"> </w:t>
      </w:r>
      <w:proofErr w:type="spellStart"/>
      <w:r w:rsidRPr="00C7249B">
        <w:rPr>
          <w:i/>
          <w:iCs/>
        </w:rPr>
        <w:t>Letters</w:t>
      </w:r>
      <w:proofErr w:type="spellEnd"/>
      <w:r w:rsidRPr="00C7249B">
        <w:t>, </w:t>
      </w:r>
      <w:r w:rsidRPr="00C7249B">
        <w:rPr>
          <w:i/>
          <w:iCs/>
        </w:rPr>
        <w:t>17</w:t>
      </w:r>
      <w:r w:rsidRPr="00C7249B">
        <w:t>(10), 1023-1026.</w:t>
      </w:r>
    </w:p>
    <w:p w:rsidR="001401E6" w:rsidRDefault="001401E6" w:rsidP="00FF755B">
      <w:pPr>
        <w:spacing w:before="120" w:after="120" w:line="360" w:lineRule="auto"/>
        <w:jc w:val="both"/>
        <w:rPr>
          <w:lang w:val="en-US"/>
        </w:rPr>
      </w:pPr>
      <w:proofErr w:type="spellStart"/>
      <w:proofErr w:type="gramStart"/>
      <w:r w:rsidRPr="00C7249B">
        <w:rPr>
          <w:lang w:val="en-US"/>
        </w:rPr>
        <w:t>Mylonidis</w:t>
      </w:r>
      <w:proofErr w:type="spellEnd"/>
      <w:r w:rsidRPr="00C7249B">
        <w:rPr>
          <w:lang w:val="en-US"/>
        </w:rPr>
        <w:t xml:space="preserve">, N., &amp; </w:t>
      </w:r>
      <w:proofErr w:type="spellStart"/>
      <w:r w:rsidRPr="00C7249B">
        <w:rPr>
          <w:lang w:val="en-US"/>
        </w:rPr>
        <w:t>Sideris</w:t>
      </w:r>
      <w:proofErr w:type="spellEnd"/>
      <w:r w:rsidRPr="00C7249B">
        <w:rPr>
          <w:lang w:val="en-US"/>
        </w:rPr>
        <w:t>, D. (2008).</w:t>
      </w:r>
      <w:proofErr w:type="gramEnd"/>
      <w:r w:rsidRPr="00C7249B">
        <w:rPr>
          <w:lang w:val="en-US"/>
        </w:rPr>
        <w:t xml:space="preserve"> Home bias and purchasing power parity: evidence from the G</w:t>
      </w:r>
      <w:r w:rsidRPr="00C7249B">
        <w:rPr>
          <w:rFonts w:ascii="Cambria Math" w:hAnsi="Cambria Math" w:cs="Cambria Math"/>
          <w:lang w:val="en-US"/>
        </w:rPr>
        <w:t>‐</w:t>
      </w:r>
      <w:r w:rsidRPr="00C7249B">
        <w:rPr>
          <w:lang w:val="en-US"/>
        </w:rPr>
        <w:t>7 countries. </w:t>
      </w:r>
      <w:proofErr w:type="spellStart"/>
      <w:r w:rsidRPr="00C7249B">
        <w:rPr>
          <w:i/>
          <w:iCs/>
        </w:rPr>
        <w:t>International</w:t>
      </w:r>
      <w:proofErr w:type="spellEnd"/>
      <w:r w:rsidRPr="00C7249B">
        <w:rPr>
          <w:i/>
          <w:iCs/>
        </w:rPr>
        <w:t xml:space="preserve"> </w:t>
      </w:r>
      <w:proofErr w:type="spellStart"/>
      <w:r w:rsidRPr="00C7249B">
        <w:rPr>
          <w:i/>
          <w:iCs/>
        </w:rPr>
        <w:t>Journal</w:t>
      </w:r>
      <w:proofErr w:type="spellEnd"/>
      <w:r w:rsidRPr="00C7249B">
        <w:rPr>
          <w:i/>
          <w:iCs/>
        </w:rPr>
        <w:t xml:space="preserve"> </w:t>
      </w:r>
      <w:proofErr w:type="spellStart"/>
      <w:r w:rsidRPr="00C7249B">
        <w:rPr>
          <w:i/>
          <w:iCs/>
        </w:rPr>
        <w:t>of</w:t>
      </w:r>
      <w:proofErr w:type="spellEnd"/>
      <w:r w:rsidRPr="00C7249B">
        <w:rPr>
          <w:i/>
          <w:iCs/>
        </w:rPr>
        <w:t xml:space="preserve"> </w:t>
      </w:r>
      <w:proofErr w:type="spellStart"/>
      <w:r w:rsidRPr="00C7249B">
        <w:rPr>
          <w:i/>
          <w:iCs/>
        </w:rPr>
        <w:t>Finance</w:t>
      </w:r>
      <w:proofErr w:type="spellEnd"/>
      <w:r w:rsidRPr="00C7249B">
        <w:rPr>
          <w:i/>
          <w:iCs/>
        </w:rPr>
        <w:t xml:space="preserve"> &amp; Economics</w:t>
      </w:r>
      <w:r w:rsidRPr="00C7249B">
        <w:t>,</w:t>
      </w:r>
      <w:r w:rsidRPr="00C7249B">
        <w:rPr>
          <w:i/>
          <w:iCs/>
        </w:rPr>
        <w:t>13</w:t>
      </w:r>
      <w:r w:rsidRPr="00C7249B">
        <w:t>(2), 199-204.</w:t>
      </w:r>
    </w:p>
    <w:p w:rsidR="001401E6" w:rsidRPr="00A4275F" w:rsidRDefault="001401E6" w:rsidP="002426EE">
      <w:pPr>
        <w:spacing w:before="120" w:after="120" w:line="360" w:lineRule="auto"/>
        <w:jc w:val="both"/>
        <w:rPr>
          <w:lang w:val="en-US"/>
        </w:rPr>
      </w:pPr>
      <w:proofErr w:type="spellStart"/>
      <w:proofErr w:type="gramStart"/>
      <w:r w:rsidRPr="00055855">
        <w:rPr>
          <w:lang w:val="en-US"/>
        </w:rPr>
        <w:t>Olmo</w:t>
      </w:r>
      <w:proofErr w:type="spellEnd"/>
      <w:r w:rsidRPr="00055855">
        <w:rPr>
          <w:lang w:val="en-US"/>
        </w:rPr>
        <w:t xml:space="preserve">, J., &amp; </w:t>
      </w:r>
      <w:proofErr w:type="spellStart"/>
      <w:r w:rsidRPr="00055855">
        <w:rPr>
          <w:lang w:val="en-US"/>
        </w:rPr>
        <w:t>Pilbeam</w:t>
      </w:r>
      <w:proofErr w:type="spellEnd"/>
      <w:r w:rsidRPr="00055855">
        <w:rPr>
          <w:lang w:val="en-US"/>
        </w:rPr>
        <w:t>, K. (2011).</w:t>
      </w:r>
      <w:proofErr w:type="gramEnd"/>
      <w:r w:rsidRPr="00055855">
        <w:rPr>
          <w:lang w:val="en-US"/>
        </w:rPr>
        <w:t xml:space="preserve"> Uncovered interest parity and the efficiency of the foreign exchange market: a re</w:t>
      </w:r>
      <w:r w:rsidRPr="00055855">
        <w:rPr>
          <w:rFonts w:ascii="Cambria Math" w:hAnsi="Cambria Math" w:cs="Cambria Math"/>
          <w:lang w:val="en-US"/>
        </w:rPr>
        <w:t>‐</w:t>
      </w:r>
      <w:r w:rsidRPr="00055855">
        <w:rPr>
          <w:lang w:val="en-US"/>
        </w:rPr>
        <w:t>examination of the evidence. </w:t>
      </w:r>
      <w:r w:rsidRPr="00C310DD">
        <w:rPr>
          <w:i/>
          <w:iCs/>
          <w:lang w:val="en-US"/>
        </w:rPr>
        <w:t>International Journal of Finance &amp; Economics</w:t>
      </w:r>
      <w:r w:rsidRPr="00C310DD">
        <w:rPr>
          <w:lang w:val="en-US"/>
        </w:rPr>
        <w:t>, </w:t>
      </w:r>
      <w:r w:rsidRPr="00C310DD">
        <w:rPr>
          <w:i/>
          <w:iCs/>
          <w:lang w:val="en-US"/>
        </w:rPr>
        <w:t>16</w:t>
      </w:r>
      <w:r w:rsidRPr="00C310DD">
        <w:rPr>
          <w:lang w:val="en-US"/>
        </w:rPr>
        <w:t>(2), 189-204.</w:t>
      </w:r>
    </w:p>
    <w:p w:rsidR="001401E6" w:rsidRDefault="001401E6" w:rsidP="002426EE">
      <w:pPr>
        <w:spacing w:before="120" w:after="120" w:line="360" w:lineRule="auto"/>
        <w:jc w:val="both"/>
        <w:rPr>
          <w:lang w:val="en-US"/>
        </w:rPr>
      </w:pPr>
      <w:proofErr w:type="spellStart"/>
      <w:r w:rsidRPr="002426EE">
        <w:rPr>
          <w:lang w:val="en-US"/>
        </w:rPr>
        <w:t>Pilbeam</w:t>
      </w:r>
      <w:proofErr w:type="spellEnd"/>
      <w:r w:rsidRPr="002426EE">
        <w:rPr>
          <w:lang w:val="en-US"/>
        </w:rPr>
        <w:t>, K. (1991). </w:t>
      </w:r>
      <w:r w:rsidRPr="002426EE">
        <w:rPr>
          <w:i/>
          <w:iCs/>
          <w:lang w:val="en-US"/>
        </w:rPr>
        <w:t>Exchange Rate Management: Theory and Evidence: the UK Experience</w:t>
      </w:r>
      <w:r w:rsidRPr="002426EE">
        <w:rPr>
          <w:lang w:val="en-US"/>
        </w:rPr>
        <w:t>. Macmillan.</w:t>
      </w:r>
    </w:p>
    <w:p w:rsidR="001401E6" w:rsidRPr="002426EE" w:rsidRDefault="001401E6" w:rsidP="002426EE">
      <w:pPr>
        <w:spacing w:before="120" w:after="120" w:line="360" w:lineRule="auto"/>
        <w:jc w:val="both"/>
        <w:rPr>
          <w:lang w:val="en-US"/>
        </w:rPr>
      </w:pPr>
      <w:proofErr w:type="spellStart"/>
      <w:r w:rsidRPr="00055855">
        <w:rPr>
          <w:lang w:val="en-US"/>
        </w:rPr>
        <w:t>Pilbeam</w:t>
      </w:r>
      <w:proofErr w:type="spellEnd"/>
      <w:r w:rsidRPr="00055855">
        <w:rPr>
          <w:lang w:val="en-US"/>
        </w:rPr>
        <w:t>, K. (1995). Exchange rate models and exchange rate expectations: an empirical investigation. </w:t>
      </w:r>
      <w:r w:rsidRPr="00D24503">
        <w:rPr>
          <w:i/>
          <w:iCs/>
          <w:lang w:val="en-US"/>
        </w:rPr>
        <w:t>Journal of the History of Economic Thought</w:t>
      </w:r>
      <w:r w:rsidRPr="00D24503">
        <w:rPr>
          <w:lang w:val="en-US"/>
        </w:rPr>
        <w:t>, </w:t>
      </w:r>
      <w:r w:rsidRPr="00D24503">
        <w:rPr>
          <w:i/>
          <w:iCs/>
          <w:lang w:val="en-US"/>
        </w:rPr>
        <w:t>27</w:t>
      </w:r>
      <w:r w:rsidRPr="00D24503">
        <w:rPr>
          <w:lang w:val="en-US"/>
        </w:rPr>
        <w:t>(11), 1009-1015.</w:t>
      </w:r>
    </w:p>
    <w:p w:rsidR="001401E6" w:rsidRPr="002426EE" w:rsidRDefault="001401E6" w:rsidP="002426EE">
      <w:pPr>
        <w:spacing w:before="120" w:after="120" w:line="360" w:lineRule="auto"/>
        <w:jc w:val="both"/>
        <w:rPr>
          <w:lang w:val="en-US"/>
        </w:rPr>
      </w:pPr>
      <w:r w:rsidRPr="002426EE">
        <w:rPr>
          <w:lang w:val="en-US"/>
        </w:rPr>
        <w:t>Siebert, H. (2006). </w:t>
      </w:r>
      <w:r w:rsidRPr="002426EE">
        <w:rPr>
          <w:i/>
          <w:iCs/>
          <w:lang w:val="en-US"/>
        </w:rPr>
        <w:t>International Exchange Rate Systems-Where do we Stand</w:t>
      </w:r>
      <w:proofErr w:type="gramStart"/>
      <w:r w:rsidRPr="002426EE">
        <w:rPr>
          <w:i/>
          <w:iCs/>
          <w:lang w:val="en-US"/>
        </w:rPr>
        <w:t>?</w:t>
      </w:r>
      <w:r w:rsidRPr="002426EE">
        <w:rPr>
          <w:lang w:val="en-US"/>
        </w:rPr>
        <w:t>.</w:t>
      </w:r>
      <w:proofErr w:type="gramEnd"/>
      <w:r w:rsidRPr="002426EE">
        <w:rPr>
          <w:lang w:val="en-US"/>
        </w:rPr>
        <w:t xml:space="preserve"> </w:t>
      </w:r>
      <w:proofErr w:type="gramStart"/>
      <w:r w:rsidRPr="00F95936">
        <w:rPr>
          <w:lang w:val="en-US"/>
        </w:rPr>
        <w:t>Kiel Institute for the World Economy.</w:t>
      </w:r>
      <w:proofErr w:type="gramEnd"/>
    </w:p>
    <w:p w:rsidR="001401E6" w:rsidRPr="00746D11" w:rsidRDefault="001401E6" w:rsidP="00F5195A">
      <w:pPr>
        <w:spacing w:before="120" w:after="120" w:line="360" w:lineRule="auto"/>
        <w:jc w:val="both"/>
        <w:rPr>
          <w:lang w:val="en-US"/>
        </w:rPr>
      </w:pPr>
      <w:r>
        <w:rPr>
          <w:color w:val="131413"/>
          <w:lang w:val="en-US"/>
        </w:rPr>
        <w:t>Stein, H</w:t>
      </w:r>
      <w:r w:rsidRPr="00F5195A">
        <w:rPr>
          <w:color w:val="131413"/>
          <w:lang w:val="en-US"/>
        </w:rPr>
        <w:t>. (2008)</w:t>
      </w:r>
      <w:r>
        <w:rPr>
          <w:color w:val="131413"/>
          <w:lang w:val="en-US"/>
        </w:rPr>
        <w:t xml:space="preserve">. </w:t>
      </w:r>
      <w:proofErr w:type="gramStart"/>
      <w:r>
        <w:rPr>
          <w:color w:val="131413"/>
          <w:lang w:val="en-US"/>
        </w:rPr>
        <w:t>Balance of Payments.</w:t>
      </w:r>
      <w:proofErr w:type="gramEnd"/>
      <w:r w:rsidRPr="00F5195A">
        <w:rPr>
          <w:color w:val="131413"/>
          <w:lang w:val="en-US"/>
        </w:rPr>
        <w:t xml:space="preserve"> </w:t>
      </w:r>
      <w:proofErr w:type="gramStart"/>
      <w:r w:rsidRPr="00F5195A">
        <w:rPr>
          <w:color w:val="131413"/>
          <w:lang w:val="en-US"/>
        </w:rPr>
        <w:t>The Concise</w:t>
      </w:r>
      <w:r>
        <w:rPr>
          <w:color w:val="131413"/>
          <w:lang w:val="en-US"/>
        </w:rPr>
        <w:t xml:space="preserve"> Encyclopedia of Economics.</w:t>
      </w:r>
      <w:proofErr w:type="gramEnd"/>
      <w:r w:rsidRPr="00F5195A">
        <w:rPr>
          <w:color w:val="131413"/>
          <w:lang w:val="en-US"/>
        </w:rPr>
        <w:t xml:space="preserve"> </w:t>
      </w:r>
      <w:proofErr w:type="gramStart"/>
      <w:r w:rsidRPr="00F5195A">
        <w:rPr>
          <w:color w:val="131413"/>
          <w:lang w:val="en-US"/>
        </w:rPr>
        <w:t>Li</w:t>
      </w:r>
      <w:r>
        <w:rPr>
          <w:color w:val="131413"/>
          <w:lang w:val="en-US"/>
        </w:rPr>
        <w:t>brary of Economics and Liberty.</w:t>
      </w:r>
      <w:proofErr w:type="gramEnd"/>
      <w:r w:rsidRPr="00F5195A">
        <w:rPr>
          <w:color w:val="131413"/>
          <w:lang w:val="en-US"/>
        </w:rPr>
        <w:t xml:space="preserve"> </w:t>
      </w:r>
      <w:hyperlink r:id="rId173" w:history="1">
        <w:r w:rsidRPr="00746D11">
          <w:rPr>
            <w:rStyle w:val="-"/>
            <w:color w:val="auto"/>
            <w:sz w:val="20"/>
            <w:szCs w:val="20"/>
            <w:u w:val="none"/>
            <w:lang w:val="en-US"/>
          </w:rPr>
          <w:t>http://www.econlib.org/library/Enc/BalanceofPayments.html</w:t>
        </w:r>
      </w:hyperlink>
    </w:p>
    <w:p w:rsidR="001401E6" w:rsidRPr="00DF6807" w:rsidRDefault="001401E6" w:rsidP="002426EE">
      <w:pPr>
        <w:spacing w:before="120" w:after="120" w:line="360" w:lineRule="auto"/>
        <w:jc w:val="both"/>
        <w:rPr>
          <w:lang w:val="en-US"/>
        </w:rPr>
      </w:pPr>
      <w:proofErr w:type="gramStart"/>
      <w:r w:rsidRPr="002426EE">
        <w:rPr>
          <w:lang w:val="en-US"/>
        </w:rPr>
        <w:t>Stockman, A. C. (1999).</w:t>
      </w:r>
      <w:proofErr w:type="gramEnd"/>
      <w:r w:rsidRPr="002426EE">
        <w:rPr>
          <w:lang w:val="en-US"/>
        </w:rPr>
        <w:t xml:space="preserve"> </w:t>
      </w:r>
      <w:proofErr w:type="gramStart"/>
      <w:r w:rsidRPr="002426EE">
        <w:rPr>
          <w:lang w:val="en-US"/>
        </w:rPr>
        <w:t>Choosing an exchange-rate system.</w:t>
      </w:r>
      <w:proofErr w:type="gramEnd"/>
      <w:r w:rsidRPr="002426EE">
        <w:rPr>
          <w:lang w:val="en-US"/>
        </w:rPr>
        <w:t> </w:t>
      </w:r>
      <w:r w:rsidRPr="002426EE">
        <w:rPr>
          <w:i/>
          <w:iCs/>
          <w:lang w:val="en-US"/>
        </w:rPr>
        <w:t>Journal of Banking &amp; Finance</w:t>
      </w:r>
      <w:r w:rsidRPr="002426EE">
        <w:rPr>
          <w:lang w:val="en-US"/>
        </w:rPr>
        <w:t>, </w:t>
      </w:r>
      <w:r w:rsidRPr="002426EE">
        <w:rPr>
          <w:i/>
          <w:iCs/>
          <w:lang w:val="en-US"/>
        </w:rPr>
        <w:t>23</w:t>
      </w:r>
      <w:r w:rsidRPr="002426EE">
        <w:rPr>
          <w:lang w:val="en-US"/>
        </w:rPr>
        <w:t>(10), 1483-1498.</w:t>
      </w:r>
    </w:p>
    <w:p w:rsidR="001401E6" w:rsidRPr="001401E6" w:rsidRDefault="001401E6" w:rsidP="00746D11">
      <w:pPr>
        <w:pStyle w:val="ae"/>
        <w:spacing w:after="200" w:line="276" w:lineRule="auto"/>
        <w:ind w:left="0"/>
        <w:contextualSpacing/>
        <w:jc w:val="both"/>
        <w:rPr>
          <w:lang w:val="en-US"/>
        </w:rPr>
      </w:pPr>
      <w:proofErr w:type="spellStart"/>
      <w:r>
        <w:rPr>
          <w:lang w:val="en-US"/>
        </w:rPr>
        <w:t>Waither</w:t>
      </w:r>
      <w:proofErr w:type="spellEnd"/>
      <w:r w:rsidRPr="001401E6">
        <w:rPr>
          <w:lang w:val="en-US"/>
        </w:rPr>
        <w:t>,</w:t>
      </w:r>
      <w:r>
        <w:rPr>
          <w:lang w:val="en-US"/>
        </w:rPr>
        <w:t xml:space="preserve"> A. </w:t>
      </w:r>
      <w:r w:rsidRPr="00D22A80">
        <w:rPr>
          <w:lang w:val="en-US"/>
        </w:rPr>
        <w:t xml:space="preserve">(2010). </w:t>
      </w:r>
      <w:r w:rsidRPr="004B3A40">
        <w:rPr>
          <w:i/>
          <w:lang w:val="en-US"/>
        </w:rPr>
        <w:t xml:space="preserve">Testing Purchasing Power Parity: A US – China Case Study </w:t>
      </w:r>
      <w:proofErr w:type="gramStart"/>
      <w:r w:rsidRPr="004B3A40">
        <w:rPr>
          <w:i/>
          <w:lang w:val="en-US"/>
        </w:rPr>
        <w:t>And</w:t>
      </w:r>
      <w:proofErr w:type="gramEnd"/>
      <w:r w:rsidRPr="004B3A40">
        <w:rPr>
          <w:i/>
          <w:lang w:val="en-US"/>
        </w:rPr>
        <w:t xml:space="preserve"> A Cross – Country Analysis</w:t>
      </w:r>
      <w:r>
        <w:rPr>
          <w:lang w:val="en-US"/>
        </w:rPr>
        <w:t>, Economics Brooklyn College, City University of New York, 34, 1-19</w:t>
      </w:r>
      <w:r w:rsidRPr="00746D11">
        <w:rPr>
          <w:lang w:val="en-US"/>
        </w:rPr>
        <w:t>.</w:t>
      </w:r>
      <w:r>
        <w:rPr>
          <w:lang w:val="en-US"/>
        </w:rPr>
        <w:t xml:space="preserve"> </w:t>
      </w:r>
    </w:p>
    <w:p w:rsidR="00FF755B" w:rsidRPr="00746D11" w:rsidRDefault="00FF755B" w:rsidP="00746D11">
      <w:pPr>
        <w:pStyle w:val="ae"/>
        <w:spacing w:after="200" w:line="276" w:lineRule="auto"/>
        <w:ind w:left="0"/>
        <w:contextualSpacing/>
        <w:jc w:val="both"/>
        <w:rPr>
          <w:lang w:val="en-US"/>
        </w:rPr>
      </w:pPr>
    </w:p>
    <w:p w:rsidR="00F70DAD" w:rsidRPr="00746D11" w:rsidRDefault="00746D11" w:rsidP="00746D11">
      <w:pPr>
        <w:pStyle w:val="ae"/>
        <w:spacing w:after="200" w:line="276" w:lineRule="auto"/>
        <w:ind w:left="0"/>
        <w:contextualSpacing/>
        <w:jc w:val="both"/>
        <w:rPr>
          <w:lang w:val="en-US"/>
        </w:rPr>
      </w:pPr>
      <w:proofErr w:type="spellStart"/>
      <w:r w:rsidRPr="00746D11">
        <w:rPr>
          <w:b/>
          <w:bCs/>
          <w:kern w:val="32"/>
          <w:szCs w:val="32"/>
        </w:rPr>
        <w:lastRenderedPageBreak/>
        <w:t>Ιστότοποι</w:t>
      </w:r>
      <w:proofErr w:type="spellEnd"/>
    </w:p>
    <w:p w:rsidR="00746D11" w:rsidRPr="00746D11" w:rsidRDefault="00EA318F" w:rsidP="00746D11">
      <w:pPr>
        <w:pStyle w:val="ae"/>
        <w:spacing w:after="200" w:line="360" w:lineRule="auto"/>
        <w:ind w:left="0"/>
        <w:contextualSpacing/>
        <w:rPr>
          <w:b/>
          <w:sz w:val="28"/>
          <w:lang w:val="en-US"/>
        </w:rPr>
      </w:pPr>
      <w:hyperlink r:id="rId174" w:history="1">
        <w:r w:rsidR="00746D11" w:rsidRPr="00746D11">
          <w:rPr>
            <w:rStyle w:val="-"/>
            <w:i/>
            <w:color w:val="auto"/>
            <w:u w:val="none"/>
            <w:lang w:val="en-US"/>
          </w:rPr>
          <w:t>www.oecd.org</w:t>
        </w:r>
      </w:hyperlink>
    </w:p>
    <w:p w:rsidR="00746D11" w:rsidRPr="00746D11" w:rsidRDefault="00746D11" w:rsidP="00746D11">
      <w:pPr>
        <w:pStyle w:val="ae"/>
        <w:spacing w:after="200" w:line="360" w:lineRule="auto"/>
        <w:ind w:left="0"/>
        <w:contextualSpacing/>
        <w:rPr>
          <w:b/>
          <w:sz w:val="28"/>
          <w:lang w:val="en-US"/>
        </w:rPr>
      </w:pPr>
      <w:proofErr w:type="spellStart"/>
      <w:r w:rsidRPr="00746D11">
        <w:rPr>
          <w:i/>
          <w:lang w:val="en-US"/>
        </w:rPr>
        <w:t>Fx.saunder.ubc</w:t>
      </w:r>
      <w:proofErr w:type="spellEnd"/>
      <w:r w:rsidRPr="00746D11">
        <w:rPr>
          <w:i/>
          <w:lang w:val="en-US"/>
        </w:rPr>
        <w:t>-ca (pacific)</w:t>
      </w:r>
    </w:p>
    <w:p w:rsidR="00746D11" w:rsidRPr="00746D11" w:rsidRDefault="00746D11">
      <w:pPr>
        <w:rPr>
          <w:b/>
          <w:bCs/>
          <w:kern w:val="32"/>
          <w:szCs w:val="32"/>
          <w:lang w:val="en-US"/>
        </w:rPr>
      </w:pPr>
    </w:p>
    <w:sectPr w:rsidR="00746D11" w:rsidRPr="00746D11" w:rsidSect="00B82960">
      <w:footerReference w:type="default" r:id="rId175"/>
      <w:pgSz w:w="11906" w:h="16838" w:code="9"/>
      <w:pgMar w:top="1440" w:right="1797" w:bottom="1440" w:left="179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9C" w:rsidRDefault="005F789C">
      <w:r>
        <w:separator/>
      </w:r>
    </w:p>
  </w:endnote>
  <w:endnote w:type="continuationSeparator" w:id="0">
    <w:p w:rsidR="005F789C" w:rsidRDefault="005F7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imesNewRomanPSMT">
    <w:altName w:val="Times New Roman"/>
    <w:charset w:val="00"/>
    <w:family w:val="roman"/>
    <w:pitch w:val="default"/>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1">
    <w:charset w:val="00"/>
    <w:family w:val="auto"/>
    <w:pitch w:val="variable"/>
    <w:sig w:usb0="00000000" w:usb1="00000000" w:usb2="00000000" w:usb3="00000000" w:csb0="00000000" w:csb1="00000000"/>
  </w:font>
  <w:font w:name="MS Reference Sans Serif">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Math">
    <w:panose1 w:val="02040503050406030204"/>
    <w:charset w:val="A1"/>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dvTT3713a231+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E6" w:rsidRDefault="001401E6">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sidR="00EA318F" w:rsidRPr="00EA318F">
      <w:rPr>
        <w:rFonts w:asciiTheme="minorHAnsi" w:eastAsiaTheme="minorEastAsia" w:hAnsiTheme="minorHAnsi" w:cstheme="minorBidi"/>
      </w:rPr>
      <w:fldChar w:fldCharType="begin"/>
    </w:r>
    <w:r>
      <w:instrText>PAGE   \* MERGEFORMAT</w:instrText>
    </w:r>
    <w:r w:rsidR="00EA318F" w:rsidRPr="00EA318F">
      <w:rPr>
        <w:rFonts w:asciiTheme="minorHAnsi" w:eastAsiaTheme="minorEastAsia" w:hAnsiTheme="minorHAnsi" w:cstheme="minorBidi"/>
      </w:rPr>
      <w:fldChar w:fldCharType="separate"/>
    </w:r>
    <w:r w:rsidR="00B720FF" w:rsidRPr="00B720FF">
      <w:rPr>
        <w:rFonts w:asciiTheme="majorHAnsi" w:eastAsiaTheme="majorEastAsia" w:hAnsiTheme="majorHAnsi" w:cstheme="majorBidi"/>
        <w:noProof/>
      </w:rPr>
      <w:t>23</w:t>
    </w:r>
    <w:r w:rsidR="00EA318F">
      <w:rPr>
        <w:rFonts w:asciiTheme="majorHAnsi" w:eastAsiaTheme="majorEastAsia" w:hAnsiTheme="majorHAnsi" w:cstheme="majorBidi"/>
      </w:rPr>
      <w:fldChar w:fldCharType="end"/>
    </w:r>
  </w:p>
  <w:p w:rsidR="001401E6" w:rsidRPr="00394D9C" w:rsidRDefault="001401E6">
    <w:pPr>
      <w:pStyle w:val="a4"/>
    </w:pPr>
  </w:p>
  <w:p w:rsidR="001401E6" w:rsidRDefault="001401E6"/>
  <w:p w:rsidR="001401E6" w:rsidRDefault="001401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9C" w:rsidRDefault="005F789C">
      <w:r>
        <w:separator/>
      </w:r>
    </w:p>
  </w:footnote>
  <w:footnote w:type="continuationSeparator" w:id="0">
    <w:p w:rsidR="005F789C" w:rsidRDefault="005F789C">
      <w:r>
        <w:continuationSeparator/>
      </w:r>
    </w:p>
  </w:footnote>
  <w:footnote w:id="1">
    <w:p w:rsidR="001401E6" w:rsidRPr="00DD279C" w:rsidRDefault="001401E6" w:rsidP="00D24503">
      <w:pPr>
        <w:pStyle w:val="ab"/>
        <w:jc w:val="both"/>
      </w:pPr>
      <w:r w:rsidRPr="00DD279C">
        <w:rPr>
          <w:rStyle w:val="ac"/>
        </w:rPr>
        <w:footnoteRef/>
      </w:r>
      <w:r w:rsidRPr="00DD279C">
        <w:t xml:space="preserve"> Για να επαληθευτεί ο ισχυρισμός της παραγράφου αυτής προς την αντίθετη κατεύθυνση δηλαδή για την μετατροπή του ξένου νομίσματος σε εγχώριο έχουμε </w:t>
      </w:r>
      <m:oMath>
        <m:r>
          <w:rPr>
            <w:rFonts w:ascii="Cambria Math" w:hAnsi="Cambria Math"/>
          </w:rPr>
          <m:t>$ 375/</m:t>
        </m:r>
      </m:oMath>
      <w:r w:rsidRPr="00DD279C">
        <w:rPr>
          <w:rFonts w:eastAsiaTheme="minorEastAsia"/>
        </w:rPr>
        <w:t xml:space="preserve"> </w:t>
      </w:r>
      <m:oMath>
        <m:d>
          <m:dPr>
            <m:ctrlPr>
              <w:rPr>
                <w:rFonts w:ascii="Cambria Math" w:eastAsiaTheme="minorEastAsia" w:hAnsi="Cambria Math"/>
              </w:rPr>
            </m:ctrlPr>
          </m:dPr>
          <m:e>
            <m:r>
              <m:rPr>
                <m:sty m:val="p"/>
              </m:rPr>
              <w:rPr>
                <w:rFonts w:ascii="Cambria Math" w:eastAsiaTheme="minorEastAsia" w:hAnsi="Cambria Math"/>
              </w:rPr>
              <m:t>1,25 $/€</m:t>
            </m:r>
          </m:e>
        </m:d>
        <m:r>
          <w:rPr>
            <w:rFonts w:ascii="Cambria Math" w:eastAsiaTheme="minorEastAsia" w:hAnsi="Cambria Math"/>
          </w:rPr>
          <m:t>=€ 300.</m:t>
        </m:r>
      </m:oMath>
      <w:r w:rsidRPr="00DD279C">
        <w:rPr>
          <w:rFonts w:eastAsiaTheme="minorEastAsia"/>
        </w:rPr>
        <w:t xml:space="preserve"> </w:t>
      </w:r>
    </w:p>
  </w:footnote>
  <w:footnote w:id="2">
    <w:p w:rsidR="001401E6" w:rsidRPr="00166BC7" w:rsidRDefault="001401E6" w:rsidP="00D24503">
      <w:pPr>
        <w:pStyle w:val="ab"/>
        <w:jc w:val="both"/>
      </w:pPr>
      <w:r w:rsidRPr="00166BC7">
        <w:rPr>
          <w:rStyle w:val="ac"/>
        </w:rPr>
        <w:footnoteRef/>
      </w:r>
      <w:r w:rsidRPr="00166BC7">
        <w:t xml:space="preserve"> </w:t>
      </w:r>
      <w:r w:rsidRPr="00E55EBF">
        <w:rPr>
          <w:sz w:val="18"/>
          <w:szCs w:val="18"/>
        </w:rPr>
        <w:t xml:space="preserve">Για να επαληθευτεί ο ισχυρισμός της παραγράφου αυτής προς την αντίθετη κατεύθυνση δηλαδή για την μετατροπή του εγχώριου νομίσματος σε ξένο παίρνουμε </w:t>
      </w:r>
      <m:oMath>
        <m:r>
          <w:rPr>
            <w:rFonts w:ascii="Cambria Math" w:hAnsi="Cambria Math"/>
            <w:sz w:val="18"/>
            <w:szCs w:val="18"/>
          </w:rPr>
          <m:t>€</m:t>
        </m:r>
        <m:r>
          <w:rPr>
            <w:rFonts w:ascii="Cambria Math"/>
            <w:sz w:val="18"/>
            <w:szCs w:val="18"/>
          </w:rPr>
          <m:t xml:space="preserve"> 240 /</m:t>
        </m:r>
        <m:d>
          <m:dPr>
            <m:ctrlPr>
              <w:rPr>
                <w:rFonts w:ascii="Cambria Math" w:hAnsi="Cambria Math"/>
                <w:i/>
                <w:sz w:val="18"/>
                <w:szCs w:val="18"/>
              </w:rPr>
            </m:ctrlPr>
          </m:dPr>
          <m:e>
            <m:r>
              <m:rPr>
                <m:sty m:val="p"/>
              </m:rPr>
              <w:rPr>
                <w:rFonts w:ascii="Cambria Math" w:eastAsiaTheme="minorEastAsia"/>
                <w:sz w:val="18"/>
                <w:szCs w:val="18"/>
              </w:rPr>
              <m:t xml:space="preserve">0,8 </m:t>
            </m:r>
            <m:r>
              <m:rPr>
                <m:sty m:val="p"/>
              </m:rPr>
              <w:rPr>
                <w:rFonts w:eastAsiaTheme="minorEastAsia"/>
                <w:sz w:val="18"/>
                <w:szCs w:val="18"/>
              </w:rPr>
              <m:t>€</m:t>
            </m:r>
            <m:r>
              <m:rPr>
                <m:sty m:val="p"/>
              </m:rPr>
              <w:rPr>
                <w:rFonts w:ascii="Cambria Math" w:eastAsiaTheme="minorEastAsia"/>
                <w:sz w:val="18"/>
                <w:szCs w:val="18"/>
              </w:rPr>
              <m:t>/$</m:t>
            </m:r>
          </m:e>
        </m:d>
        <m:r>
          <w:rPr>
            <w:rFonts w:ascii="Cambria Math"/>
            <w:sz w:val="18"/>
            <w:szCs w:val="18"/>
          </w:rPr>
          <m:t>=$ 300.</m:t>
        </m:r>
        <m:r>
          <w:rPr>
            <w:rFonts w:ascii="Cambria Math"/>
          </w:rPr>
          <m:t xml:space="preserve">  </m:t>
        </m:r>
      </m:oMath>
    </w:p>
  </w:footnote>
  <w:footnote w:id="3">
    <w:p w:rsidR="001401E6" w:rsidRPr="0097087B" w:rsidRDefault="001401E6" w:rsidP="00DF6807">
      <w:pPr>
        <w:pStyle w:val="ab"/>
      </w:pPr>
      <w:r>
        <w:rPr>
          <w:rStyle w:val="ac"/>
        </w:rPr>
        <w:footnoteRef/>
      </w:r>
      <w:r w:rsidRPr="0097087B">
        <w:t xml:space="preserve"> </w:t>
      </w:r>
      <w:r w:rsidRPr="00167DBD">
        <w:rPr>
          <w:sz w:val="16"/>
          <w:szCs w:val="16"/>
          <w:lang w:val="en-US"/>
        </w:rPr>
        <w:t>www</w:t>
      </w:r>
      <w:r w:rsidRPr="0097087B">
        <w:rPr>
          <w:sz w:val="16"/>
          <w:szCs w:val="16"/>
        </w:rPr>
        <w:t>.</w:t>
      </w:r>
      <w:proofErr w:type="spellStart"/>
      <w:r w:rsidRPr="00167DBD">
        <w:rPr>
          <w:sz w:val="16"/>
          <w:szCs w:val="16"/>
          <w:lang w:val="en-US"/>
        </w:rPr>
        <w:t>oecd</w:t>
      </w:r>
      <w:proofErr w:type="spellEnd"/>
      <w:r w:rsidRPr="0097087B">
        <w:rPr>
          <w:sz w:val="16"/>
          <w:szCs w:val="16"/>
        </w:rPr>
        <w:t>.</w:t>
      </w:r>
      <w:r w:rsidRPr="00167DBD">
        <w:rPr>
          <w:sz w:val="16"/>
          <w:szCs w:val="16"/>
          <w:lang w:val="en-US"/>
        </w:rPr>
        <w:t>org</w:t>
      </w:r>
    </w:p>
  </w:footnote>
  <w:footnote w:id="4">
    <w:p w:rsidR="001401E6" w:rsidRPr="0097087B" w:rsidRDefault="001401E6" w:rsidP="00DF6807">
      <w:pPr>
        <w:pStyle w:val="ab"/>
      </w:pPr>
      <w:r>
        <w:rPr>
          <w:rStyle w:val="ac"/>
        </w:rPr>
        <w:footnoteRef/>
      </w:r>
      <w:r w:rsidRPr="0097087B">
        <w:t xml:space="preserve"> </w:t>
      </w:r>
      <w:r w:rsidRPr="00167DBD">
        <w:rPr>
          <w:sz w:val="16"/>
          <w:szCs w:val="16"/>
          <w:lang w:val="en-US"/>
        </w:rPr>
        <w:t>www</w:t>
      </w:r>
      <w:r w:rsidRPr="0097087B">
        <w:rPr>
          <w:sz w:val="16"/>
          <w:szCs w:val="16"/>
        </w:rPr>
        <w:t>.</w:t>
      </w:r>
      <w:r w:rsidRPr="00167DBD">
        <w:rPr>
          <w:sz w:val="16"/>
          <w:szCs w:val="16"/>
          <w:lang w:val="en-US"/>
        </w:rPr>
        <w:t>economist</w:t>
      </w:r>
      <w:r w:rsidRPr="0097087B">
        <w:rPr>
          <w:sz w:val="16"/>
          <w:szCs w:val="16"/>
        </w:rPr>
        <w:t>.</w:t>
      </w:r>
      <w:r w:rsidRPr="00167DBD">
        <w:rPr>
          <w:sz w:val="16"/>
          <w:szCs w:val="16"/>
          <w:lang w:val="en-US"/>
        </w:rPr>
        <w:t>com</w:t>
      </w:r>
    </w:p>
  </w:footnote>
  <w:footnote w:id="5">
    <w:p w:rsidR="001401E6" w:rsidRPr="008F1526" w:rsidRDefault="001401E6" w:rsidP="0005318A">
      <w:pPr>
        <w:pStyle w:val="ab"/>
        <w:jc w:val="both"/>
        <w:rPr>
          <w:sz w:val="16"/>
          <w:szCs w:val="16"/>
        </w:rPr>
      </w:pPr>
      <w:r>
        <w:rPr>
          <w:rStyle w:val="ac"/>
        </w:rPr>
        <w:footnoteRef/>
      </w:r>
      <w:r>
        <w:t xml:space="preserve"> </w:t>
      </w:r>
      <w:r w:rsidRPr="008F1526">
        <w:rPr>
          <w:sz w:val="16"/>
          <w:szCs w:val="16"/>
        </w:rPr>
        <w:t xml:space="preserve">Ο πληθωρισμός υπολογίζεται ως ο μέσος ρυθμός πληθωρισμού  της </w:t>
      </w:r>
      <w:r>
        <w:rPr>
          <w:sz w:val="16"/>
          <w:szCs w:val="16"/>
        </w:rPr>
        <w:t xml:space="preserve">εκάστοτε </w:t>
      </w:r>
      <w:r w:rsidRPr="008F1526">
        <w:rPr>
          <w:sz w:val="16"/>
          <w:szCs w:val="16"/>
        </w:rPr>
        <w:t xml:space="preserve">χώρας μείον το μέσο ρυθμό πληθωρισμού </w:t>
      </w:r>
      <w:r>
        <w:rPr>
          <w:sz w:val="16"/>
          <w:szCs w:val="16"/>
        </w:rPr>
        <w:t>των</w:t>
      </w:r>
      <w:r w:rsidRPr="008F1526">
        <w:rPr>
          <w:sz w:val="16"/>
          <w:szCs w:val="16"/>
        </w:rPr>
        <w:t xml:space="preserve"> Η</w:t>
      </w:r>
      <w:r>
        <w:rPr>
          <w:sz w:val="16"/>
          <w:szCs w:val="16"/>
        </w:rPr>
        <w:t>.</w:t>
      </w:r>
      <w:r w:rsidRPr="008F1526">
        <w:rPr>
          <w:sz w:val="16"/>
          <w:szCs w:val="16"/>
        </w:rPr>
        <w:t>Π</w:t>
      </w:r>
      <w:r>
        <w:rPr>
          <w:sz w:val="16"/>
          <w:szCs w:val="16"/>
        </w:rPr>
        <w:t>.</w:t>
      </w:r>
      <w:r w:rsidRPr="008F1526">
        <w:rPr>
          <w:sz w:val="16"/>
          <w:szCs w:val="16"/>
        </w:rPr>
        <w:t>Α</w:t>
      </w:r>
      <w:r>
        <w:rPr>
          <w:sz w:val="16"/>
          <w:szCs w:val="16"/>
        </w:rPr>
        <w:t xml:space="preserve">. </w:t>
      </w:r>
      <w:r w:rsidRPr="008F1526">
        <w:rPr>
          <w:sz w:val="16"/>
          <w:szCs w:val="16"/>
        </w:rPr>
        <w:t xml:space="preserve">στη διάρκεια της περιόδου 1991-2013. </w:t>
      </w:r>
      <w:r>
        <w:rPr>
          <w:sz w:val="16"/>
          <w:szCs w:val="16"/>
        </w:rPr>
        <w:t xml:space="preserve">Η μεταβλητή που αναφέρεται στο </w:t>
      </w:r>
      <w:proofErr w:type="spellStart"/>
      <w:r>
        <w:rPr>
          <w:sz w:val="16"/>
          <w:szCs w:val="16"/>
        </w:rPr>
        <w:t>στο</w:t>
      </w:r>
      <w:proofErr w:type="spellEnd"/>
      <w:r>
        <w:rPr>
          <w:sz w:val="16"/>
          <w:szCs w:val="16"/>
        </w:rPr>
        <w:t xml:space="preserve"> συνάλλαγμα ως η </w:t>
      </w:r>
      <w:r w:rsidRPr="008F1526">
        <w:rPr>
          <w:sz w:val="16"/>
          <w:szCs w:val="16"/>
        </w:rPr>
        <w:t>μέση ποσοστιαία μεταβολή της</w:t>
      </w:r>
      <w:r>
        <w:rPr>
          <w:sz w:val="16"/>
          <w:szCs w:val="16"/>
        </w:rPr>
        <w:t xml:space="preserve"> τιμής συναλλάγματος της χώρας για κάθε έτος.</w:t>
      </w:r>
    </w:p>
  </w:footnote>
  <w:footnote w:id="6">
    <w:p w:rsidR="001401E6" w:rsidRPr="00D8205F" w:rsidRDefault="001401E6">
      <w:pPr>
        <w:pStyle w:val="ab"/>
      </w:pPr>
      <w:r>
        <w:rPr>
          <w:rStyle w:val="ac"/>
        </w:rPr>
        <w:footnoteRef/>
      </w:r>
      <w:r>
        <w:t xml:space="preserve"> Για μια αναλυτική παρουσίαση του υποδείγματος δείτε σχετικά </w:t>
      </w:r>
      <w:proofErr w:type="spellStart"/>
      <w:r>
        <w:t>Λεβεντάκης</w:t>
      </w:r>
      <w:proofErr w:type="spellEnd"/>
      <w:r>
        <w:t xml:space="preserve"> (2003).</w:t>
      </w:r>
    </w:p>
  </w:footnote>
  <w:footnote w:id="7">
    <w:p w:rsidR="001401E6" w:rsidRDefault="001401E6">
      <w:pPr>
        <w:pStyle w:val="ab"/>
      </w:pPr>
      <w:r>
        <w:rPr>
          <w:rStyle w:val="ac"/>
        </w:rPr>
        <w:footnoteRef/>
      </w:r>
      <w:r>
        <w:t xml:space="preserve"> Για τα αίτια των νομισματικών κρίσεων σε χώρες σε μετάβαση αξίζει κανείς να </w:t>
      </w:r>
      <w:proofErr w:type="spellStart"/>
      <w:r>
        <w:t>δεί</w:t>
      </w:r>
      <w:proofErr w:type="spellEnd"/>
      <w:r>
        <w:t xml:space="preserve"> την μελέτη των </w:t>
      </w:r>
      <w:proofErr w:type="spellStart"/>
      <w:r>
        <w:t>Chionis</w:t>
      </w:r>
      <w:proofErr w:type="spellEnd"/>
      <w:r>
        <w:t xml:space="preserve"> &amp; </w:t>
      </w:r>
      <w:proofErr w:type="spellStart"/>
      <w:r>
        <w:t>Liargovas</w:t>
      </w:r>
      <w:proofErr w:type="spellEnd"/>
      <w:r w:rsidRPr="00EE02CF">
        <w:t xml:space="preserve"> (2003). </w:t>
      </w:r>
    </w:p>
  </w:footnote>
  <w:footnote w:id="8">
    <w:p w:rsidR="001401E6" w:rsidRPr="00004782" w:rsidRDefault="001401E6">
      <w:pPr>
        <w:pStyle w:val="ab"/>
      </w:pPr>
      <w:r>
        <w:rPr>
          <w:rStyle w:val="ac"/>
        </w:rPr>
        <w:footnoteRef/>
      </w:r>
      <w:r w:rsidRPr="00004782">
        <w:rPr>
          <w:lang w:val="en-US"/>
        </w:rPr>
        <w:t xml:space="preserve"> </w:t>
      </w:r>
      <w:proofErr w:type="spellStart"/>
      <w:proofErr w:type="gramStart"/>
      <w:r>
        <w:rPr>
          <w:lang w:val="en-US"/>
        </w:rPr>
        <w:t>Liargovas</w:t>
      </w:r>
      <w:proofErr w:type="spellEnd"/>
      <w:r w:rsidRPr="00004782">
        <w:rPr>
          <w:lang w:val="en-US"/>
        </w:rPr>
        <w:t xml:space="preserve"> &amp; </w:t>
      </w:r>
      <w:proofErr w:type="spellStart"/>
      <w:r w:rsidRPr="00004782">
        <w:rPr>
          <w:lang w:val="en-US"/>
        </w:rPr>
        <w:t>Repousis</w:t>
      </w:r>
      <w:proofErr w:type="spellEnd"/>
      <w:r w:rsidRPr="00004782">
        <w:rPr>
          <w:lang w:val="en-US"/>
        </w:rPr>
        <w:t xml:space="preserve"> (2013).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35"/>
        </w:tabs>
      </w:p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5"/>
    <w:multiLevelType w:val="singleLevel"/>
    <w:tmpl w:val="00000005"/>
    <w:name w:val="WW8Num5"/>
    <w:lvl w:ilvl="0">
      <w:start w:val="1"/>
      <w:numFmt w:val="decimal"/>
      <w:lvlText w:val="(%1)"/>
      <w:lvlJc w:val="left"/>
      <w:pPr>
        <w:tabs>
          <w:tab w:val="num" w:pos="750"/>
        </w:tabs>
      </w:pPr>
    </w:lvl>
  </w:abstractNum>
  <w:abstractNum w:abstractNumId="3">
    <w:nsid w:val="07197562"/>
    <w:multiLevelType w:val="singleLevel"/>
    <w:tmpl w:val="0408000F"/>
    <w:lvl w:ilvl="0">
      <w:start w:val="1"/>
      <w:numFmt w:val="decimal"/>
      <w:lvlText w:val="%1."/>
      <w:lvlJc w:val="left"/>
      <w:pPr>
        <w:tabs>
          <w:tab w:val="num" w:pos="360"/>
        </w:tabs>
        <w:ind w:left="360" w:hanging="360"/>
      </w:pPr>
    </w:lvl>
  </w:abstractNum>
  <w:abstractNum w:abstractNumId="4">
    <w:nsid w:val="1950380E"/>
    <w:multiLevelType w:val="hybridMultilevel"/>
    <w:tmpl w:val="A96661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13D305A"/>
    <w:multiLevelType w:val="hybridMultilevel"/>
    <w:tmpl w:val="2D9C0E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0D91863"/>
    <w:multiLevelType w:val="multilevel"/>
    <w:tmpl w:val="A1B2936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DF25829"/>
    <w:multiLevelType w:val="hybridMultilevel"/>
    <w:tmpl w:val="E1AAF74E"/>
    <w:lvl w:ilvl="0" w:tplc="DC52D4E4">
      <w:start w:val="1"/>
      <w:numFmt w:val="decimal"/>
      <w:lvlText w:val="%1."/>
      <w:lvlJc w:val="left"/>
      <w:pPr>
        <w:ind w:left="1320" w:hanging="60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0473F"/>
    <w:rsid w:val="0000044C"/>
    <w:rsid w:val="00000FC8"/>
    <w:rsid w:val="000010D8"/>
    <w:rsid w:val="00001734"/>
    <w:rsid w:val="0000237C"/>
    <w:rsid w:val="00002761"/>
    <w:rsid w:val="0000419F"/>
    <w:rsid w:val="000044E7"/>
    <w:rsid w:val="00004741"/>
    <w:rsid w:val="00004782"/>
    <w:rsid w:val="000068DD"/>
    <w:rsid w:val="0000705C"/>
    <w:rsid w:val="00007D2D"/>
    <w:rsid w:val="000119DF"/>
    <w:rsid w:val="00012662"/>
    <w:rsid w:val="00013175"/>
    <w:rsid w:val="0001458A"/>
    <w:rsid w:val="000151C8"/>
    <w:rsid w:val="00015701"/>
    <w:rsid w:val="00015994"/>
    <w:rsid w:val="00016CFA"/>
    <w:rsid w:val="000176D4"/>
    <w:rsid w:val="00017702"/>
    <w:rsid w:val="00017A48"/>
    <w:rsid w:val="00020023"/>
    <w:rsid w:val="000204AB"/>
    <w:rsid w:val="00022B4A"/>
    <w:rsid w:val="00022D00"/>
    <w:rsid w:val="000236B7"/>
    <w:rsid w:val="00024F37"/>
    <w:rsid w:val="00031F38"/>
    <w:rsid w:val="00031FFC"/>
    <w:rsid w:val="000320D5"/>
    <w:rsid w:val="00032837"/>
    <w:rsid w:val="00034FAD"/>
    <w:rsid w:val="00035C56"/>
    <w:rsid w:val="00036B60"/>
    <w:rsid w:val="00037046"/>
    <w:rsid w:val="00037D39"/>
    <w:rsid w:val="00040C39"/>
    <w:rsid w:val="000414F6"/>
    <w:rsid w:val="00041F5E"/>
    <w:rsid w:val="00042B8B"/>
    <w:rsid w:val="00044E48"/>
    <w:rsid w:val="00044E6A"/>
    <w:rsid w:val="00044F80"/>
    <w:rsid w:val="00045DCB"/>
    <w:rsid w:val="00047D68"/>
    <w:rsid w:val="0005019E"/>
    <w:rsid w:val="0005141D"/>
    <w:rsid w:val="0005216C"/>
    <w:rsid w:val="00052D35"/>
    <w:rsid w:val="0005318A"/>
    <w:rsid w:val="00054D50"/>
    <w:rsid w:val="00055855"/>
    <w:rsid w:val="0005729D"/>
    <w:rsid w:val="000647CB"/>
    <w:rsid w:val="00065BB8"/>
    <w:rsid w:val="00070827"/>
    <w:rsid w:val="00071A29"/>
    <w:rsid w:val="00074D13"/>
    <w:rsid w:val="00075201"/>
    <w:rsid w:val="00080E16"/>
    <w:rsid w:val="00081BF4"/>
    <w:rsid w:val="00081C58"/>
    <w:rsid w:val="00082198"/>
    <w:rsid w:val="00084082"/>
    <w:rsid w:val="00085889"/>
    <w:rsid w:val="000875EA"/>
    <w:rsid w:val="00090C01"/>
    <w:rsid w:val="00090C6B"/>
    <w:rsid w:val="00091575"/>
    <w:rsid w:val="0009184C"/>
    <w:rsid w:val="000935AC"/>
    <w:rsid w:val="0009386C"/>
    <w:rsid w:val="000938E5"/>
    <w:rsid w:val="00094967"/>
    <w:rsid w:val="0009730F"/>
    <w:rsid w:val="000A050B"/>
    <w:rsid w:val="000A076C"/>
    <w:rsid w:val="000A09DE"/>
    <w:rsid w:val="000A0E74"/>
    <w:rsid w:val="000A75EB"/>
    <w:rsid w:val="000A7A4F"/>
    <w:rsid w:val="000B0C97"/>
    <w:rsid w:val="000B15E3"/>
    <w:rsid w:val="000B242A"/>
    <w:rsid w:val="000B246B"/>
    <w:rsid w:val="000B2E08"/>
    <w:rsid w:val="000B2FBF"/>
    <w:rsid w:val="000B3097"/>
    <w:rsid w:val="000B30C2"/>
    <w:rsid w:val="000B344E"/>
    <w:rsid w:val="000B38CE"/>
    <w:rsid w:val="000B5ADB"/>
    <w:rsid w:val="000C2027"/>
    <w:rsid w:val="000C4288"/>
    <w:rsid w:val="000C4432"/>
    <w:rsid w:val="000C637D"/>
    <w:rsid w:val="000D166E"/>
    <w:rsid w:val="000D2250"/>
    <w:rsid w:val="000D2B7A"/>
    <w:rsid w:val="000D450C"/>
    <w:rsid w:val="000D56AD"/>
    <w:rsid w:val="000D59EA"/>
    <w:rsid w:val="000D5D44"/>
    <w:rsid w:val="000D7586"/>
    <w:rsid w:val="000D79D8"/>
    <w:rsid w:val="000D7C31"/>
    <w:rsid w:val="000E17AF"/>
    <w:rsid w:val="000E19B8"/>
    <w:rsid w:val="000E1DD4"/>
    <w:rsid w:val="000E264D"/>
    <w:rsid w:val="000E2BB6"/>
    <w:rsid w:val="000E4D0E"/>
    <w:rsid w:val="000E5499"/>
    <w:rsid w:val="000E5541"/>
    <w:rsid w:val="000E7EE0"/>
    <w:rsid w:val="000F0CE4"/>
    <w:rsid w:val="000F1361"/>
    <w:rsid w:val="000F319A"/>
    <w:rsid w:val="000F4A37"/>
    <w:rsid w:val="000F59CE"/>
    <w:rsid w:val="000F5BD9"/>
    <w:rsid w:val="000F6FE6"/>
    <w:rsid w:val="00101C16"/>
    <w:rsid w:val="00103DDE"/>
    <w:rsid w:val="00104FFC"/>
    <w:rsid w:val="001055DE"/>
    <w:rsid w:val="0010588C"/>
    <w:rsid w:val="0010615B"/>
    <w:rsid w:val="00106E30"/>
    <w:rsid w:val="00110C43"/>
    <w:rsid w:val="00111AF0"/>
    <w:rsid w:val="00114F71"/>
    <w:rsid w:val="001150B8"/>
    <w:rsid w:val="001163F2"/>
    <w:rsid w:val="00116CCA"/>
    <w:rsid w:val="00117FAD"/>
    <w:rsid w:val="00120698"/>
    <w:rsid w:val="00120D41"/>
    <w:rsid w:val="00121BC7"/>
    <w:rsid w:val="00122054"/>
    <w:rsid w:val="00125197"/>
    <w:rsid w:val="001267A3"/>
    <w:rsid w:val="00126B8E"/>
    <w:rsid w:val="00131999"/>
    <w:rsid w:val="00132050"/>
    <w:rsid w:val="00132EC0"/>
    <w:rsid w:val="00133915"/>
    <w:rsid w:val="001349D0"/>
    <w:rsid w:val="00134D65"/>
    <w:rsid w:val="00134FCD"/>
    <w:rsid w:val="0013562F"/>
    <w:rsid w:val="00135638"/>
    <w:rsid w:val="00137346"/>
    <w:rsid w:val="00137875"/>
    <w:rsid w:val="001401E6"/>
    <w:rsid w:val="00142261"/>
    <w:rsid w:val="00142F45"/>
    <w:rsid w:val="0014313C"/>
    <w:rsid w:val="00144546"/>
    <w:rsid w:val="00146153"/>
    <w:rsid w:val="00146554"/>
    <w:rsid w:val="00152BF8"/>
    <w:rsid w:val="00152F4E"/>
    <w:rsid w:val="00153438"/>
    <w:rsid w:val="00154214"/>
    <w:rsid w:val="00154433"/>
    <w:rsid w:val="00154635"/>
    <w:rsid w:val="00154D17"/>
    <w:rsid w:val="001565A1"/>
    <w:rsid w:val="00160EDA"/>
    <w:rsid w:val="00161C04"/>
    <w:rsid w:val="00163CE0"/>
    <w:rsid w:val="00164438"/>
    <w:rsid w:val="001658F7"/>
    <w:rsid w:val="00166032"/>
    <w:rsid w:val="001667D1"/>
    <w:rsid w:val="001672EE"/>
    <w:rsid w:val="001678F3"/>
    <w:rsid w:val="001704C4"/>
    <w:rsid w:val="00170EA2"/>
    <w:rsid w:val="00171D1E"/>
    <w:rsid w:val="00172802"/>
    <w:rsid w:val="00173215"/>
    <w:rsid w:val="00173F1A"/>
    <w:rsid w:val="00176677"/>
    <w:rsid w:val="001767E5"/>
    <w:rsid w:val="001800FD"/>
    <w:rsid w:val="00180A0C"/>
    <w:rsid w:val="00181328"/>
    <w:rsid w:val="00181D3E"/>
    <w:rsid w:val="0018373C"/>
    <w:rsid w:val="0018589B"/>
    <w:rsid w:val="0018594E"/>
    <w:rsid w:val="00185FDA"/>
    <w:rsid w:val="001876C1"/>
    <w:rsid w:val="00190D9D"/>
    <w:rsid w:val="00191465"/>
    <w:rsid w:val="00191B14"/>
    <w:rsid w:val="00194C78"/>
    <w:rsid w:val="00194E8E"/>
    <w:rsid w:val="001959FC"/>
    <w:rsid w:val="00195B2E"/>
    <w:rsid w:val="00196917"/>
    <w:rsid w:val="00197BFD"/>
    <w:rsid w:val="001A0311"/>
    <w:rsid w:val="001A1197"/>
    <w:rsid w:val="001A14B3"/>
    <w:rsid w:val="001A14CE"/>
    <w:rsid w:val="001A1589"/>
    <w:rsid w:val="001A3164"/>
    <w:rsid w:val="001A489A"/>
    <w:rsid w:val="001A593A"/>
    <w:rsid w:val="001B0FF5"/>
    <w:rsid w:val="001B1DA6"/>
    <w:rsid w:val="001B201E"/>
    <w:rsid w:val="001B2314"/>
    <w:rsid w:val="001B3B06"/>
    <w:rsid w:val="001B62A3"/>
    <w:rsid w:val="001B6B15"/>
    <w:rsid w:val="001C0F96"/>
    <w:rsid w:val="001C0FE6"/>
    <w:rsid w:val="001C1754"/>
    <w:rsid w:val="001C284E"/>
    <w:rsid w:val="001C391A"/>
    <w:rsid w:val="001C4519"/>
    <w:rsid w:val="001C4B01"/>
    <w:rsid w:val="001C608D"/>
    <w:rsid w:val="001C7397"/>
    <w:rsid w:val="001C7F85"/>
    <w:rsid w:val="001D01F9"/>
    <w:rsid w:val="001D179E"/>
    <w:rsid w:val="001D5700"/>
    <w:rsid w:val="001D5768"/>
    <w:rsid w:val="001D69BD"/>
    <w:rsid w:val="001E1CA7"/>
    <w:rsid w:val="001E2C46"/>
    <w:rsid w:val="001E320A"/>
    <w:rsid w:val="001E4882"/>
    <w:rsid w:val="001E4FF4"/>
    <w:rsid w:val="001E6079"/>
    <w:rsid w:val="001E7AFE"/>
    <w:rsid w:val="001F09F0"/>
    <w:rsid w:val="001F0CA9"/>
    <w:rsid w:val="001F4145"/>
    <w:rsid w:val="001F4631"/>
    <w:rsid w:val="001F5501"/>
    <w:rsid w:val="001F5BBF"/>
    <w:rsid w:val="001F6286"/>
    <w:rsid w:val="002000A3"/>
    <w:rsid w:val="0020033D"/>
    <w:rsid w:val="00200E3D"/>
    <w:rsid w:val="00201EBA"/>
    <w:rsid w:val="002021A4"/>
    <w:rsid w:val="0020372F"/>
    <w:rsid w:val="0020610B"/>
    <w:rsid w:val="00206FF7"/>
    <w:rsid w:val="00210ABB"/>
    <w:rsid w:val="00211AE6"/>
    <w:rsid w:val="00212F9B"/>
    <w:rsid w:val="002150A2"/>
    <w:rsid w:val="0021512F"/>
    <w:rsid w:val="0021531E"/>
    <w:rsid w:val="002171A7"/>
    <w:rsid w:val="00220632"/>
    <w:rsid w:val="0022065A"/>
    <w:rsid w:val="0022169B"/>
    <w:rsid w:val="00221FC0"/>
    <w:rsid w:val="00222088"/>
    <w:rsid w:val="00224F48"/>
    <w:rsid w:val="00225535"/>
    <w:rsid w:val="0022618C"/>
    <w:rsid w:val="00226855"/>
    <w:rsid w:val="00227300"/>
    <w:rsid w:val="002274D7"/>
    <w:rsid w:val="0023003B"/>
    <w:rsid w:val="00230531"/>
    <w:rsid w:val="002305C9"/>
    <w:rsid w:val="00230A0B"/>
    <w:rsid w:val="002322C4"/>
    <w:rsid w:val="0023258F"/>
    <w:rsid w:val="00232DDC"/>
    <w:rsid w:val="0023353F"/>
    <w:rsid w:val="002340F3"/>
    <w:rsid w:val="00234881"/>
    <w:rsid w:val="0023719B"/>
    <w:rsid w:val="00237B2F"/>
    <w:rsid w:val="00237CBA"/>
    <w:rsid w:val="00241856"/>
    <w:rsid w:val="002426EE"/>
    <w:rsid w:val="00242F7C"/>
    <w:rsid w:val="00242FFD"/>
    <w:rsid w:val="002433D8"/>
    <w:rsid w:val="00243B2C"/>
    <w:rsid w:val="00245F44"/>
    <w:rsid w:val="002465F6"/>
    <w:rsid w:val="00246BC9"/>
    <w:rsid w:val="002502E2"/>
    <w:rsid w:val="00250B0D"/>
    <w:rsid w:val="00250FB1"/>
    <w:rsid w:val="00251882"/>
    <w:rsid w:val="002520FD"/>
    <w:rsid w:val="00252B10"/>
    <w:rsid w:val="00252D5E"/>
    <w:rsid w:val="00254DE0"/>
    <w:rsid w:val="00255518"/>
    <w:rsid w:val="0025680A"/>
    <w:rsid w:val="0025731B"/>
    <w:rsid w:val="00260CAB"/>
    <w:rsid w:val="00260D59"/>
    <w:rsid w:val="00260D71"/>
    <w:rsid w:val="00263894"/>
    <w:rsid w:val="0026433A"/>
    <w:rsid w:val="002650E9"/>
    <w:rsid w:val="00267B3D"/>
    <w:rsid w:val="002727F7"/>
    <w:rsid w:val="0027341A"/>
    <w:rsid w:val="00273D95"/>
    <w:rsid w:val="00274267"/>
    <w:rsid w:val="00274528"/>
    <w:rsid w:val="002765A1"/>
    <w:rsid w:val="00276716"/>
    <w:rsid w:val="00276FEC"/>
    <w:rsid w:val="00282184"/>
    <w:rsid w:val="002832BC"/>
    <w:rsid w:val="00284674"/>
    <w:rsid w:val="002864D1"/>
    <w:rsid w:val="00287D4E"/>
    <w:rsid w:val="00290278"/>
    <w:rsid w:val="00291372"/>
    <w:rsid w:val="00292B1F"/>
    <w:rsid w:val="00292B6E"/>
    <w:rsid w:val="002949C9"/>
    <w:rsid w:val="00294F02"/>
    <w:rsid w:val="00296DCE"/>
    <w:rsid w:val="002A0F38"/>
    <w:rsid w:val="002A168F"/>
    <w:rsid w:val="002A2199"/>
    <w:rsid w:val="002A2AEF"/>
    <w:rsid w:val="002A2D12"/>
    <w:rsid w:val="002A386F"/>
    <w:rsid w:val="002A3E98"/>
    <w:rsid w:val="002A443A"/>
    <w:rsid w:val="002A44DB"/>
    <w:rsid w:val="002A518C"/>
    <w:rsid w:val="002A5619"/>
    <w:rsid w:val="002A671E"/>
    <w:rsid w:val="002B0106"/>
    <w:rsid w:val="002B1B46"/>
    <w:rsid w:val="002B1F5D"/>
    <w:rsid w:val="002B3507"/>
    <w:rsid w:val="002B44C8"/>
    <w:rsid w:val="002B4539"/>
    <w:rsid w:val="002B4582"/>
    <w:rsid w:val="002B4CA1"/>
    <w:rsid w:val="002B4E00"/>
    <w:rsid w:val="002B66F0"/>
    <w:rsid w:val="002B6E73"/>
    <w:rsid w:val="002B745A"/>
    <w:rsid w:val="002C1C2F"/>
    <w:rsid w:val="002C2629"/>
    <w:rsid w:val="002C38AA"/>
    <w:rsid w:val="002C59A1"/>
    <w:rsid w:val="002C7008"/>
    <w:rsid w:val="002D0752"/>
    <w:rsid w:val="002D2CB0"/>
    <w:rsid w:val="002D5459"/>
    <w:rsid w:val="002D5C1A"/>
    <w:rsid w:val="002D6769"/>
    <w:rsid w:val="002E041E"/>
    <w:rsid w:val="002E0E7B"/>
    <w:rsid w:val="002E1643"/>
    <w:rsid w:val="002E1B95"/>
    <w:rsid w:val="002E2775"/>
    <w:rsid w:val="002E4513"/>
    <w:rsid w:val="002E6C8F"/>
    <w:rsid w:val="002F0D1B"/>
    <w:rsid w:val="002F18C3"/>
    <w:rsid w:val="002F56AA"/>
    <w:rsid w:val="002F695B"/>
    <w:rsid w:val="002F69CB"/>
    <w:rsid w:val="002F7261"/>
    <w:rsid w:val="003005B9"/>
    <w:rsid w:val="00300D52"/>
    <w:rsid w:val="003018E3"/>
    <w:rsid w:val="003021EB"/>
    <w:rsid w:val="003033F2"/>
    <w:rsid w:val="00304412"/>
    <w:rsid w:val="0030455D"/>
    <w:rsid w:val="00305440"/>
    <w:rsid w:val="003062DA"/>
    <w:rsid w:val="00306A7C"/>
    <w:rsid w:val="00307524"/>
    <w:rsid w:val="00310D31"/>
    <w:rsid w:val="003145D1"/>
    <w:rsid w:val="003150CE"/>
    <w:rsid w:val="0031604F"/>
    <w:rsid w:val="00316783"/>
    <w:rsid w:val="00317233"/>
    <w:rsid w:val="00320D74"/>
    <w:rsid w:val="003214B8"/>
    <w:rsid w:val="00322057"/>
    <w:rsid w:val="003232F4"/>
    <w:rsid w:val="003265CF"/>
    <w:rsid w:val="00326778"/>
    <w:rsid w:val="003308DD"/>
    <w:rsid w:val="00330FC6"/>
    <w:rsid w:val="0033118C"/>
    <w:rsid w:val="00331190"/>
    <w:rsid w:val="003357FC"/>
    <w:rsid w:val="00337537"/>
    <w:rsid w:val="003377E5"/>
    <w:rsid w:val="00337C2F"/>
    <w:rsid w:val="003413E8"/>
    <w:rsid w:val="003424DD"/>
    <w:rsid w:val="00342FD7"/>
    <w:rsid w:val="00345F03"/>
    <w:rsid w:val="00346669"/>
    <w:rsid w:val="00350248"/>
    <w:rsid w:val="00354340"/>
    <w:rsid w:val="00354760"/>
    <w:rsid w:val="00354C66"/>
    <w:rsid w:val="00356638"/>
    <w:rsid w:val="00356C09"/>
    <w:rsid w:val="003572BE"/>
    <w:rsid w:val="00360119"/>
    <w:rsid w:val="0036150B"/>
    <w:rsid w:val="00361785"/>
    <w:rsid w:val="00361FA0"/>
    <w:rsid w:val="003629A7"/>
    <w:rsid w:val="00362D56"/>
    <w:rsid w:val="003631D5"/>
    <w:rsid w:val="0036385C"/>
    <w:rsid w:val="00364CA7"/>
    <w:rsid w:val="003664BA"/>
    <w:rsid w:val="00366F87"/>
    <w:rsid w:val="00367386"/>
    <w:rsid w:val="0037207E"/>
    <w:rsid w:val="00372C03"/>
    <w:rsid w:val="00372D1B"/>
    <w:rsid w:val="003742F0"/>
    <w:rsid w:val="00374778"/>
    <w:rsid w:val="00376577"/>
    <w:rsid w:val="003770E5"/>
    <w:rsid w:val="00377ECB"/>
    <w:rsid w:val="0038262B"/>
    <w:rsid w:val="003829C3"/>
    <w:rsid w:val="00384A38"/>
    <w:rsid w:val="003857DD"/>
    <w:rsid w:val="00385A8D"/>
    <w:rsid w:val="00386BFE"/>
    <w:rsid w:val="00386E2E"/>
    <w:rsid w:val="003875E3"/>
    <w:rsid w:val="00387EBC"/>
    <w:rsid w:val="00390868"/>
    <w:rsid w:val="00390C38"/>
    <w:rsid w:val="003927D3"/>
    <w:rsid w:val="00393FBE"/>
    <w:rsid w:val="00394B04"/>
    <w:rsid w:val="003971F4"/>
    <w:rsid w:val="00397746"/>
    <w:rsid w:val="0039778C"/>
    <w:rsid w:val="003A031F"/>
    <w:rsid w:val="003A2490"/>
    <w:rsid w:val="003A274A"/>
    <w:rsid w:val="003A3043"/>
    <w:rsid w:val="003A3838"/>
    <w:rsid w:val="003A466A"/>
    <w:rsid w:val="003A5BAE"/>
    <w:rsid w:val="003B0962"/>
    <w:rsid w:val="003B0BEF"/>
    <w:rsid w:val="003B0D92"/>
    <w:rsid w:val="003B1955"/>
    <w:rsid w:val="003B1CAE"/>
    <w:rsid w:val="003B2A05"/>
    <w:rsid w:val="003B35E9"/>
    <w:rsid w:val="003B4711"/>
    <w:rsid w:val="003B58F7"/>
    <w:rsid w:val="003C1734"/>
    <w:rsid w:val="003C278A"/>
    <w:rsid w:val="003C327E"/>
    <w:rsid w:val="003C3E8F"/>
    <w:rsid w:val="003C4052"/>
    <w:rsid w:val="003C40B1"/>
    <w:rsid w:val="003C5697"/>
    <w:rsid w:val="003C5B9D"/>
    <w:rsid w:val="003C5BEB"/>
    <w:rsid w:val="003C6C91"/>
    <w:rsid w:val="003D005C"/>
    <w:rsid w:val="003D0F57"/>
    <w:rsid w:val="003D1587"/>
    <w:rsid w:val="003D16D5"/>
    <w:rsid w:val="003D1DE0"/>
    <w:rsid w:val="003D2BE4"/>
    <w:rsid w:val="003D44FC"/>
    <w:rsid w:val="003D5601"/>
    <w:rsid w:val="003D5BD2"/>
    <w:rsid w:val="003D6963"/>
    <w:rsid w:val="003D7D78"/>
    <w:rsid w:val="003E1558"/>
    <w:rsid w:val="003E1E96"/>
    <w:rsid w:val="003E21A5"/>
    <w:rsid w:val="003E4BCB"/>
    <w:rsid w:val="003E4EE5"/>
    <w:rsid w:val="003F171B"/>
    <w:rsid w:val="003F2876"/>
    <w:rsid w:val="003F2B8B"/>
    <w:rsid w:val="003F2C6B"/>
    <w:rsid w:val="003F2CB6"/>
    <w:rsid w:val="003F39C6"/>
    <w:rsid w:val="003F591D"/>
    <w:rsid w:val="003F5A4B"/>
    <w:rsid w:val="004020C7"/>
    <w:rsid w:val="00402423"/>
    <w:rsid w:val="004024C2"/>
    <w:rsid w:val="00402C02"/>
    <w:rsid w:val="00403398"/>
    <w:rsid w:val="00403560"/>
    <w:rsid w:val="004046B4"/>
    <w:rsid w:val="00404F76"/>
    <w:rsid w:val="00405F47"/>
    <w:rsid w:val="0040797E"/>
    <w:rsid w:val="00416F9C"/>
    <w:rsid w:val="004178C9"/>
    <w:rsid w:val="00420E6E"/>
    <w:rsid w:val="0042124D"/>
    <w:rsid w:val="00424569"/>
    <w:rsid w:val="004266F7"/>
    <w:rsid w:val="00426A2D"/>
    <w:rsid w:val="0042790D"/>
    <w:rsid w:val="00430CD9"/>
    <w:rsid w:val="00434A29"/>
    <w:rsid w:val="00435493"/>
    <w:rsid w:val="00437A2A"/>
    <w:rsid w:val="004403D1"/>
    <w:rsid w:val="00441B65"/>
    <w:rsid w:val="004424F8"/>
    <w:rsid w:val="00442A01"/>
    <w:rsid w:val="00444BC7"/>
    <w:rsid w:val="004457D2"/>
    <w:rsid w:val="00445E49"/>
    <w:rsid w:val="004463AA"/>
    <w:rsid w:val="00446FAB"/>
    <w:rsid w:val="00446FB3"/>
    <w:rsid w:val="00447374"/>
    <w:rsid w:val="004500B0"/>
    <w:rsid w:val="0045057D"/>
    <w:rsid w:val="00450F5A"/>
    <w:rsid w:val="004515D6"/>
    <w:rsid w:val="004516CF"/>
    <w:rsid w:val="004526E6"/>
    <w:rsid w:val="004539E8"/>
    <w:rsid w:val="00453F39"/>
    <w:rsid w:val="0045526C"/>
    <w:rsid w:val="0045609A"/>
    <w:rsid w:val="004568EE"/>
    <w:rsid w:val="00460D2E"/>
    <w:rsid w:val="00460FE5"/>
    <w:rsid w:val="00462014"/>
    <w:rsid w:val="00462341"/>
    <w:rsid w:val="00462771"/>
    <w:rsid w:val="00462A0A"/>
    <w:rsid w:val="00466C22"/>
    <w:rsid w:val="00470072"/>
    <w:rsid w:val="004703D1"/>
    <w:rsid w:val="00472479"/>
    <w:rsid w:val="00472501"/>
    <w:rsid w:val="00476F05"/>
    <w:rsid w:val="00477461"/>
    <w:rsid w:val="00477EB1"/>
    <w:rsid w:val="00480781"/>
    <w:rsid w:val="00481852"/>
    <w:rsid w:val="00481A85"/>
    <w:rsid w:val="00481E3E"/>
    <w:rsid w:val="0048253B"/>
    <w:rsid w:val="00482B4C"/>
    <w:rsid w:val="004833ED"/>
    <w:rsid w:val="004837BA"/>
    <w:rsid w:val="00484690"/>
    <w:rsid w:val="00485028"/>
    <w:rsid w:val="0048512F"/>
    <w:rsid w:val="00487067"/>
    <w:rsid w:val="0048738A"/>
    <w:rsid w:val="00490FDB"/>
    <w:rsid w:val="004914F0"/>
    <w:rsid w:val="00493B87"/>
    <w:rsid w:val="00494385"/>
    <w:rsid w:val="004968D8"/>
    <w:rsid w:val="00496EA6"/>
    <w:rsid w:val="00497573"/>
    <w:rsid w:val="004977A3"/>
    <w:rsid w:val="004A2582"/>
    <w:rsid w:val="004A37D0"/>
    <w:rsid w:val="004A5B88"/>
    <w:rsid w:val="004A5C78"/>
    <w:rsid w:val="004A6779"/>
    <w:rsid w:val="004A6A2A"/>
    <w:rsid w:val="004A7851"/>
    <w:rsid w:val="004B2CF3"/>
    <w:rsid w:val="004B4793"/>
    <w:rsid w:val="004B57D7"/>
    <w:rsid w:val="004B5AEE"/>
    <w:rsid w:val="004B76EA"/>
    <w:rsid w:val="004B773C"/>
    <w:rsid w:val="004B7861"/>
    <w:rsid w:val="004B7B15"/>
    <w:rsid w:val="004B7BB6"/>
    <w:rsid w:val="004C1887"/>
    <w:rsid w:val="004C2994"/>
    <w:rsid w:val="004C2E0D"/>
    <w:rsid w:val="004C4483"/>
    <w:rsid w:val="004C5C14"/>
    <w:rsid w:val="004C66A0"/>
    <w:rsid w:val="004C6CD5"/>
    <w:rsid w:val="004C7370"/>
    <w:rsid w:val="004D02B0"/>
    <w:rsid w:val="004D04A9"/>
    <w:rsid w:val="004D05E4"/>
    <w:rsid w:val="004D204C"/>
    <w:rsid w:val="004D2185"/>
    <w:rsid w:val="004D37F6"/>
    <w:rsid w:val="004D4901"/>
    <w:rsid w:val="004D4910"/>
    <w:rsid w:val="004D507F"/>
    <w:rsid w:val="004D6887"/>
    <w:rsid w:val="004D697E"/>
    <w:rsid w:val="004E08F0"/>
    <w:rsid w:val="004E0B69"/>
    <w:rsid w:val="004E14E1"/>
    <w:rsid w:val="004E2855"/>
    <w:rsid w:val="004E2D57"/>
    <w:rsid w:val="004E35F5"/>
    <w:rsid w:val="004E4BCD"/>
    <w:rsid w:val="004E4E83"/>
    <w:rsid w:val="004E519F"/>
    <w:rsid w:val="004E52E5"/>
    <w:rsid w:val="004E5DA9"/>
    <w:rsid w:val="004E6322"/>
    <w:rsid w:val="004E6989"/>
    <w:rsid w:val="004E7600"/>
    <w:rsid w:val="004F00DD"/>
    <w:rsid w:val="004F12E8"/>
    <w:rsid w:val="004F13E1"/>
    <w:rsid w:val="004F2675"/>
    <w:rsid w:val="004F2806"/>
    <w:rsid w:val="004F4169"/>
    <w:rsid w:val="004F41E1"/>
    <w:rsid w:val="004F4D7B"/>
    <w:rsid w:val="004F5822"/>
    <w:rsid w:val="004F5C98"/>
    <w:rsid w:val="004F5D51"/>
    <w:rsid w:val="004F70BC"/>
    <w:rsid w:val="004F739C"/>
    <w:rsid w:val="004F7E1C"/>
    <w:rsid w:val="00500100"/>
    <w:rsid w:val="005005B3"/>
    <w:rsid w:val="0050095F"/>
    <w:rsid w:val="005024D0"/>
    <w:rsid w:val="00502BE7"/>
    <w:rsid w:val="0050346D"/>
    <w:rsid w:val="005044C7"/>
    <w:rsid w:val="005045C8"/>
    <w:rsid w:val="00504977"/>
    <w:rsid w:val="00505093"/>
    <w:rsid w:val="005075B2"/>
    <w:rsid w:val="005076F2"/>
    <w:rsid w:val="00510059"/>
    <w:rsid w:val="00510A61"/>
    <w:rsid w:val="00511904"/>
    <w:rsid w:val="00512724"/>
    <w:rsid w:val="00514038"/>
    <w:rsid w:val="005144A3"/>
    <w:rsid w:val="00514854"/>
    <w:rsid w:val="005163ED"/>
    <w:rsid w:val="00516D2A"/>
    <w:rsid w:val="00521EF7"/>
    <w:rsid w:val="00522DF6"/>
    <w:rsid w:val="00523151"/>
    <w:rsid w:val="00525533"/>
    <w:rsid w:val="005279B4"/>
    <w:rsid w:val="00527BAA"/>
    <w:rsid w:val="00532E93"/>
    <w:rsid w:val="0053325C"/>
    <w:rsid w:val="0053486E"/>
    <w:rsid w:val="0053507D"/>
    <w:rsid w:val="00535B72"/>
    <w:rsid w:val="00535CC8"/>
    <w:rsid w:val="00536522"/>
    <w:rsid w:val="0054083D"/>
    <w:rsid w:val="00542A94"/>
    <w:rsid w:val="00543960"/>
    <w:rsid w:val="00544400"/>
    <w:rsid w:val="00545A0A"/>
    <w:rsid w:val="00550635"/>
    <w:rsid w:val="00554982"/>
    <w:rsid w:val="00555623"/>
    <w:rsid w:val="005602CF"/>
    <w:rsid w:val="005607C1"/>
    <w:rsid w:val="00561558"/>
    <w:rsid w:val="00561A6E"/>
    <w:rsid w:val="00561CB4"/>
    <w:rsid w:val="00561FEF"/>
    <w:rsid w:val="00562554"/>
    <w:rsid w:val="00563216"/>
    <w:rsid w:val="005636AA"/>
    <w:rsid w:val="005645BA"/>
    <w:rsid w:val="00564AFF"/>
    <w:rsid w:val="00564CAA"/>
    <w:rsid w:val="00565522"/>
    <w:rsid w:val="005655B1"/>
    <w:rsid w:val="0056656D"/>
    <w:rsid w:val="00566A32"/>
    <w:rsid w:val="00566C3B"/>
    <w:rsid w:val="005671B0"/>
    <w:rsid w:val="005673E3"/>
    <w:rsid w:val="005675E6"/>
    <w:rsid w:val="00567FAF"/>
    <w:rsid w:val="00572DCA"/>
    <w:rsid w:val="005737E6"/>
    <w:rsid w:val="00573E36"/>
    <w:rsid w:val="0057493E"/>
    <w:rsid w:val="00575380"/>
    <w:rsid w:val="005757C3"/>
    <w:rsid w:val="0057795A"/>
    <w:rsid w:val="005800E6"/>
    <w:rsid w:val="0058071D"/>
    <w:rsid w:val="00580915"/>
    <w:rsid w:val="00581645"/>
    <w:rsid w:val="00581D42"/>
    <w:rsid w:val="00582A5A"/>
    <w:rsid w:val="00584DDD"/>
    <w:rsid w:val="00586CC2"/>
    <w:rsid w:val="00586DE4"/>
    <w:rsid w:val="005874C1"/>
    <w:rsid w:val="00587DA8"/>
    <w:rsid w:val="00590865"/>
    <w:rsid w:val="00590905"/>
    <w:rsid w:val="0059287A"/>
    <w:rsid w:val="005933B9"/>
    <w:rsid w:val="00593FDA"/>
    <w:rsid w:val="00594196"/>
    <w:rsid w:val="00596277"/>
    <w:rsid w:val="00597721"/>
    <w:rsid w:val="00597796"/>
    <w:rsid w:val="005A0C7F"/>
    <w:rsid w:val="005A207C"/>
    <w:rsid w:val="005A2C5B"/>
    <w:rsid w:val="005A318D"/>
    <w:rsid w:val="005A4B2F"/>
    <w:rsid w:val="005A6611"/>
    <w:rsid w:val="005A7441"/>
    <w:rsid w:val="005A75AA"/>
    <w:rsid w:val="005A77B5"/>
    <w:rsid w:val="005B0509"/>
    <w:rsid w:val="005B0768"/>
    <w:rsid w:val="005B082B"/>
    <w:rsid w:val="005B089D"/>
    <w:rsid w:val="005B0F45"/>
    <w:rsid w:val="005B1618"/>
    <w:rsid w:val="005B21F1"/>
    <w:rsid w:val="005B3C13"/>
    <w:rsid w:val="005B6B87"/>
    <w:rsid w:val="005B7111"/>
    <w:rsid w:val="005C1A27"/>
    <w:rsid w:val="005C2A8D"/>
    <w:rsid w:val="005C2E9D"/>
    <w:rsid w:val="005C3E29"/>
    <w:rsid w:val="005C4C6A"/>
    <w:rsid w:val="005C733F"/>
    <w:rsid w:val="005D2C3C"/>
    <w:rsid w:val="005D4C0B"/>
    <w:rsid w:val="005D5CC5"/>
    <w:rsid w:val="005E07BF"/>
    <w:rsid w:val="005E317C"/>
    <w:rsid w:val="005E3D31"/>
    <w:rsid w:val="005E59CD"/>
    <w:rsid w:val="005E64D7"/>
    <w:rsid w:val="005E6DC3"/>
    <w:rsid w:val="005E78E3"/>
    <w:rsid w:val="005F2ED3"/>
    <w:rsid w:val="005F41CF"/>
    <w:rsid w:val="005F789C"/>
    <w:rsid w:val="006012F8"/>
    <w:rsid w:val="006017BA"/>
    <w:rsid w:val="00602717"/>
    <w:rsid w:val="00603F03"/>
    <w:rsid w:val="00604C24"/>
    <w:rsid w:val="006056AF"/>
    <w:rsid w:val="00606459"/>
    <w:rsid w:val="00607196"/>
    <w:rsid w:val="0061043C"/>
    <w:rsid w:val="00610E30"/>
    <w:rsid w:val="006121C1"/>
    <w:rsid w:val="00613E20"/>
    <w:rsid w:val="006152FF"/>
    <w:rsid w:val="00616AD5"/>
    <w:rsid w:val="00617E89"/>
    <w:rsid w:val="00617F7C"/>
    <w:rsid w:val="00621741"/>
    <w:rsid w:val="00623323"/>
    <w:rsid w:val="00625CF7"/>
    <w:rsid w:val="00626FDA"/>
    <w:rsid w:val="00627979"/>
    <w:rsid w:val="00627DC1"/>
    <w:rsid w:val="00630B42"/>
    <w:rsid w:val="00630D0A"/>
    <w:rsid w:val="006321E6"/>
    <w:rsid w:val="006327C2"/>
    <w:rsid w:val="00632EE4"/>
    <w:rsid w:val="00634945"/>
    <w:rsid w:val="00634CA3"/>
    <w:rsid w:val="00635769"/>
    <w:rsid w:val="00640249"/>
    <w:rsid w:val="006411E7"/>
    <w:rsid w:val="006414E3"/>
    <w:rsid w:val="00641AD6"/>
    <w:rsid w:val="00641D64"/>
    <w:rsid w:val="0064204B"/>
    <w:rsid w:val="0064233F"/>
    <w:rsid w:val="00643549"/>
    <w:rsid w:val="006436E9"/>
    <w:rsid w:val="00644796"/>
    <w:rsid w:val="00644BA1"/>
    <w:rsid w:val="006450D5"/>
    <w:rsid w:val="00651106"/>
    <w:rsid w:val="00652224"/>
    <w:rsid w:val="00654409"/>
    <w:rsid w:val="00654BFB"/>
    <w:rsid w:val="006555C2"/>
    <w:rsid w:val="00655A55"/>
    <w:rsid w:val="00655A9C"/>
    <w:rsid w:val="00655CB7"/>
    <w:rsid w:val="0065605D"/>
    <w:rsid w:val="00656207"/>
    <w:rsid w:val="006572C3"/>
    <w:rsid w:val="00660178"/>
    <w:rsid w:val="006602C9"/>
    <w:rsid w:val="00661612"/>
    <w:rsid w:val="00661AF4"/>
    <w:rsid w:val="00661B12"/>
    <w:rsid w:val="006646E3"/>
    <w:rsid w:val="00664AB2"/>
    <w:rsid w:val="006655DD"/>
    <w:rsid w:val="00666632"/>
    <w:rsid w:val="00667451"/>
    <w:rsid w:val="006702D7"/>
    <w:rsid w:val="00670768"/>
    <w:rsid w:val="00672486"/>
    <w:rsid w:val="00674678"/>
    <w:rsid w:val="0067614A"/>
    <w:rsid w:val="00676864"/>
    <w:rsid w:val="00680A7D"/>
    <w:rsid w:val="00680FEE"/>
    <w:rsid w:val="006819AE"/>
    <w:rsid w:val="0068316D"/>
    <w:rsid w:val="00686383"/>
    <w:rsid w:val="00686983"/>
    <w:rsid w:val="00687027"/>
    <w:rsid w:val="0068732F"/>
    <w:rsid w:val="00691930"/>
    <w:rsid w:val="006946EB"/>
    <w:rsid w:val="0069521D"/>
    <w:rsid w:val="00695B3F"/>
    <w:rsid w:val="0069699C"/>
    <w:rsid w:val="00697DE9"/>
    <w:rsid w:val="006A22BD"/>
    <w:rsid w:val="006A2BD1"/>
    <w:rsid w:val="006A2BF0"/>
    <w:rsid w:val="006A2E27"/>
    <w:rsid w:val="006A395D"/>
    <w:rsid w:val="006A6F05"/>
    <w:rsid w:val="006B072B"/>
    <w:rsid w:val="006B4C82"/>
    <w:rsid w:val="006B61E9"/>
    <w:rsid w:val="006B6241"/>
    <w:rsid w:val="006B67F3"/>
    <w:rsid w:val="006C040B"/>
    <w:rsid w:val="006C056E"/>
    <w:rsid w:val="006C2053"/>
    <w:rsid w:val="006C21B5"/>
    <w:rsid w:val="006C25B7"/>
    <w:rsid w:val="006C2EE5"/>
    <w:rsid w:val="006C3FCF"/>
    <w:rsid w:val="006C549E"/>
    <w:rsid w:val="006C57FD"/>
    <w:rsid w:val="006C59FB"/>
    <w:rsid w:val="006D1658"/>
    <w:rsid w:val="006D2141"/>
    <w:rsid w:val="006D21C6"/>
    <w:rsid w:val="006D4580"/>
    <w:rsid w:val="006D49E5"/>
    <w:rsid w:val="006D5C6D"/>
    <w:rsid w:val="006D7543"/>
    <w:rsid w:val="006E062A"/>
    <w:rsid w:val="006E0937"/>
    <w:rsid w:val="006E19E2"/>
    <w:rsid w:val="006E26DC"/>
    <w:rsid w:val="006E275B"/>
    <w:rsid w:val="006E3985"/>
    <w:rsid w:val="006E5734"/>
    <w:rsid w:val="006E6663"/>
    <w:rsid w:val="006E6C15"/>
    <w:rsid w:val="006E6DC8"/>
    <w:rsid w:val="006F0EEB"/>
    <w:rsid w:val="006F114D"/>
    <w:rsid w:val="006F22E4"/>
    <w:rsid w:val="006F2349"/>
    <w:rsid w:val="006F4141"/>
    <w:rsid w:val="006F4D9B"/>
    <w:rsid w:val="006F4F50"/>
    <w:rsid w:val="006F562F"/>
    <w:rsid w:val="007039F6"/>
    <w:rsid w:val="0070473F"/>
    <w:rsid w:val="0070540D"/>
    <w:rsid w:val="00705A35"/>
    <w:rsid w:val="00705BCA"/>
    <w:rsid w:val="0070701A"/>
    <w:rsid w:val="00710BA4"/>
    <w:rsid w:val="007110C6"/>
    <w:rsid w:val="0071122A"/>
    <w:rsid w:val="00712077"/>
    <w:rsid w:val="00714B58"/>
    <w:rsid w:val="007153CA"/>
    <w:rsid w:val="00715C64"/>
    <w:rsid w:val="00721750"/>
    <w:rsid w:val="007217D9"/>
    <w:rsid w:val="007223C0"/>
    <w:rsid w:val="007227DA"/>
    <w:rsid w:val="00722D83"/>
    <w:rsid w:val="0072416E"/>
    <w:rsid w:val="00724862"/>
    <w:rsid w:val="007252A1"/>
    <w:rsid w:val="007252DB"/>
    <w:rsid w:val="00725329"/>
    <w:rsid w:val="00725A0F"/>
    <w:rsid w:val="007261E3"/>
    <w:rsid w:val="007279D2"/>
    <w:rsid w:val="00730909"/>
    <w:rsid w:val="00730D29"/>
    <w:rsid w:val="0073217C"/>
    <w:rsid w:val="00735DBB"/>
    <w:rsid w:val="0073773A"/>
    <w:rsid w:val="00737D67"/>
    <w:rsid w:val="0074095B"/>
    <w:rsid w:val="00743706"/>
    <w:rsid w:val="00744120"/>
    <w:rsid w:val="00746D11"/>
    <w:rsid w:val="007476C1"/>
    <w:rsid w:val="0075153D"/>
    <w:rsid w:val="00751680"/>
    <w:rsid w:val="007517B8"/>
    <w:rsid w:val="007533D5"/>
    <w:rsid w:val="00753650"/>
    <w:rsid w:val="00753FB3"/>
    <w:rsid w:val="00754609"/>
    <w:rsid w:val="00754641"/>
    <w:rsid w:val="00754AF6"/>
    <w:rsid w:val="007551A3"/>
    <w:rsid w:val="00755B44"/>
    <w:rsid w:val="0075701B"/>
    <w:rsid w:val="007577C9"/>
    <w:rsid w:val="00757DA9"/>
    <w:rsid w:val="007607B9"/>
    <w:rsid w:val="007628AF"/>
    <w:rsid w:val="00763FE3"/>
    <w:rsid w:val="0076430B"/>
    <w:rsid w:val="007661C6"/>
    <w:rsid w:val="007663FD"/>
    <w:rsid w:val="007719BD"/>
    <w:rsid w:val="00771E70"/>
    <w:rsid w:val="007721DD"/>
    <w:rsid w:val="007731A8"/>
    <w:rsid w:val="0077336A"/>
    <w:rsid w:val="007735E5"/>
    <w:rsid w:val="00776629"/>
    <w:rsid w:val="00777CCB"/>
    <w:rsid w:val="007807AE"/>
    <w:rsid w:val="007811C7"/>
    <w:rsid w:val="00782CE7"/>
    <w:rsid w:val="00784657"/>
    <w:rsid w:val="00784F60"/>
    <w:rsid w:val="0078565E"/>
    <w:rsid w:val="00787DFB"/>
    <w:rsid w:val="0079035E"/>
    <w:rsid w:val="00791E76"/>
    <w:rsid w:val="007929FB"/>
    <w:rsid w:val="00792B83"/>
    <w:rsid w:val="00793ECF"/>
    <w:rsid w:val="00795C0D"/>
    <w:rsid w:val="00797185"/>
    <w:rsid w:val="007A0EEC"/>
    <w:rsid w:val="007A0F10"/>
    <w:rsid w:val="007A1476"/>
    <w:rsid w:val="007A191A"/>
    <w:rsid w:val="007A3E29"/>
    <w:rsid w:val="007A5432"/>
    <w:rsid w:val="007A7B1E"/>
    <w:rsid w:val="007A7DE6"/>
    <w:rsid w:val="007B1925"/>
    <w:rsid w:val="007B21AD"/>
    <w:rsid w:val="007B2351"/>
    <w:rsid w:val="007B386A"/>
    <w:rsid w:val="007B3937"/>
    <w:rsid w:val="007B43E0"/>
    <w:rsid w:val="007B4754"/>
    <w:rsid w:val="007B4A5C"/>
    <w:rsid w:val="007B4DC0"/>
    <w:rsid w:val="007B5600"/>
    <w:rsid w:val="007B6485"/>
    <w:rsid w:val="007B6B39"/>
    <w:rsid w:val="007B6E94"/>
    <w:rsid w:val="007C15F6"/>
    <w:rsid w:val="007C1D2D"/>
    <w:rsid w:val="007C67B6"/>
    <w:rsid w:val="007C67D2"/>
    <w:rsid w:val="007C7688"/>
    <w:rsid w:val="007D09F2"/>
    <w:rsid w:val="007D0A0B"/>
    <w:rsid w:val="007D46E3"/>
    <w:rsid w:val="007D6964"/>
    <w:rsid w:val="007D6FC1"/>
    <w:rsid w:val="007E313B"/>
    <w:rsid w:val="007E529B"/>
    <w:rsid w:val="007E547D"/>
    <w:rsid w:val="007E5AEB"/>
    <w:rsid w:val="007E60E7"/>
    <w:rsid w:val="007F0CFC"/>
    <w:rsid w:val="007F0D77"/>
    <w:rsid w:val="007F1D8F"/>
    <w:rsid w:val="007F2515"/>
    <w:rsid w:val="007F2EA2"/>
    <w:rsid w:val="007F61EA"/>
    <w:rsid w:val="007F669C"/>
    <w:rsid w:val="00800888"/>
    <w:rsid w:val="00801643"/>
    <w:rsid w:val="0080195D"/>
    <w:rsid w:val="00801CB2"/>
    <w:rsid w:val="00801E18"/>
    <w:rsid w:val="00802C1C"/>
    <w:rsid w:val="008037C8"/>
    <w:rsid w:val="0080470C"/>
    <w:rsid w:val="0080488D"/>
    <w:rsid w:val="00805907"/>
    <w:rsid w:val="00807A1F"/>
    <w:rsid w:val="008107B5"/>
    <w:rsid w:val="00810A8A"/>
    <w:rsid w:val="00810DAD"/>
    <w:rsid w:val="0081209E"/>
    <w:rsid w:val="00812DF6"/>
    <w:rsid w:val="00814DB5"/>
    <w:rsid w:val="00815F4C"/>
    <w:rsid w:val="00816AA7"/>
    <w:rsid w:val="00817B6A"/>
    <w:rsid w:val="00817C5D"/>
    <w:rsid w:val="0082004F"/>
    <w:rsid w:val="008209D8"/>
    <w:rsid w:val="00820B26"/>
    <w:rsid w:val="00820BD9"/>
    <w:rsid w:val="00821A53"/>
    <w:rsid w:val="00822528"/>
    <w:rsid w:val="008231B4"/>
    <w:rsid w:val="008250BE"/>
    <w:rsid w:val="00826333"/>
    <w:rsid w:val="008269C2"/>
    <w:rsid w:val="008270FF"/>
    <w:rsid w:val="008274CC"/>
    <w:rsid w:val="00830277"/>
    <w:rsid w:val="0083111F"/>
    <w:rsid w:val="00833A60"/>
    <w:rsid w:val="0083467A"/>
    <w:rsid w:val="008359FB"/>
    <w:rsid w:val="0083604F"/>
    <w:rsid w:val="008371E4"/>
    <w:rsid w:val="0083780F"/>
    <w:rsid w:val="00840918"/>
    <w:rsid w:val="00840E54"/>
    <w:rsid w:val="00841AFA"/>
    <w:rsid w:val="00842426"/>
    <w:rsid w:val="00842487"/>
    <w:rsid w:val="0084530A"/>
    <w:rsid w:val="00845D93"/>
    <w:rsid w:val="0085261F"/>
    <w:rsid w:val="00854AF2"/>
    <w:rsid w:val="00855798"/>
    <w:rsid w:val="008576F3"/>
    <w:rsid w:val="008579AF"/>
    <w:rsid w:val="00857E70"/>
    <w:rsid w:val="00861F97"/>
    <w:rsid w:val="008634AF"/>
    <w:rsid w:val="00863A48"/>
    <w:rsid w:val="00863E8A"/>
    <w:rsid w:val="008654D7"/>
    <w:rsid w:val="00871C84"/>
    <w:rsid w:val="008737CA"/>
    <w:rsid w:val="0087420C"/>
    <w:rsid w:val="0087443E"/>
    <w:rsid w:val="00874B8E"/>
    <w:rsid w:val="0087512F"/>
    <w:rsid w:val="00876364"/>
    <w:rsid w:val="00876B1F"/>
    <w:rsid w:val="00876F04"/>
    <w:rsid w:val="00877A35"/>
    <w:rsid w:val="00877C0E"/>
    <w:rsid w:val="00877D95"/>
    <w:rsid w:val="00877EFB"/>
    <w:rsid w:val="008810A8"/>
    <w:rsid w:val="00881AD0"/>
    <w:rsid w:val="008860D8"/>
    <w:rsid w:val="00886293"/>
    <w:rsid w:val="008867A8"/>
    <w:rsid w:val="00887D83"/>
    <w:rsid w:val="0089047A"/>
    <w:rsid w:val="008907D6"/>
    <w:rsid w:val="00890AF0"/>
    <w:rsid w:val="00890D95"/>
    <w:rsid w:val="00892090"/>
    <w:rsid w:val="0089341D"/>
    <w:rsid w:val="00894806"/>
    <w:rsid w:val="00894C87"/>
    <w:rsid w:val="00895EE3"/>
    <w:rsid w:val="008972B4"/>
    <w:rsid w:val="008A0712"/>
    <w:rsid w:val="008A205F"/>
    <w:rsid w:val="008A433D"/>
    <w:rsid w:val="008A4342"/>
    <w:rsid w:val="008A4732"/>
    <w:rsid w:val="008A4AD6"/>
    <w:rsid w:val="008A5E9E"/>
    <w:rsid w:val="008A63A8"/>
    <w:rsid w:val="008A6779"/>
    <w:rsid w:val="008A7C4F"/>
    <w:rsid w:val="008A7D2C"/>
    <w:rsid w:val="008B0009"/>
    <w:rsid w:val="008B08B0"/>
    <w:rsid w:val="008B1B39"/>
    <w:rsid w:val="008B34B7"/>
    <w:rsid w:val="008B3E21"/>
    <w:rsid w:val="008B5CDD"/>
    <w:rsid w:val="008B6B28"/>
    <w:rsid w:val="008B721E"/>
    <w:rsid w:val="008B7623"/>
    <w:rsid w:val="008C052C"/>
    <w:rsid w:val="008C3694"/>
    <w:rsid w:val="008C3D24"/>
    <w:rsid w:val="008C7130"/>
    <w:rsid w:val="008D0E44"/>
    <w:rsid w:val="008D1445"/>
    <w:rsid w:val="008D175F"/>
    <w:rsid w:val="008D247F"/>
    <w:rsid w:val="008D353C"/>
    <w:rsid w:val="008D35E7"/>
    <w:rsid w:val="008D42A1"/>
    <w:rsid w:val="008D725A"/>
    <w:rsid w:val="008E02FD"/>
    <w:rsid w:val="008E0396"/>
    <w:rsid w:val="008E0539"/>
    <w:rsid w:val="008E117F"/>
    <w:rsid w:val="008E3887"/>
    <w:rsid w:val="008E3B0D"/>
    <w:rsid w:val="008E4114"/>
    <w:rsid w:val="008E41BE"/>
    <w:rsid w:val="008E5B8E"/>
    <w:rsid w:val="008E7CD9"/>
    <w:rsid w:val="008F0156"/>
    <w:rsid w:val="008F35FB"/>
    <w:rsid w:val="008F3E04"/>
    <w:rsid w:val="008F3E09"/>
    <w:rsid w:val="008F4287"/>
    <w:rsid w:val="008F4345"/>
    <w:rsid w:val="008F556F"/>
    <w:rsid w:val="008F654B"/>
    <w:rsid w:val="008F73F8"/>
    <w:rsid w:val="008F77A1"/>
    <w:rsid w:val="0090031A"/>
    <w:rsid w:val="00900E90"/>
    <w:rsid w:val="00902423"/>
    <w:rsid w:val="00902BBC"/>
    <w:rsid w:val="00903025"/>
    <w:rsid w:val="00903081"/>
    <w:rsid w:val="00903A7C"/>
    <w:rsid w:val="00904AF2"/>
    <w:rsid w:val="0090782E"/>
    <w:rsid w:val="00910A9F"/>
    <w:rsid w:val="00910FBD"/>
    <w:rsid w:val="009128F9"/>
    <w:rsid w:val="00912911"/>
    <w:rsid w:val="009144F8"/>
    <w:rsid w:val="00914FBE"/>
    <w:rsid w:val="00915D19"/>
    <w:rsid w:val="00915F9F"/>
    <w:rsid w:val="00916803"/>
    <w:rsid w:val="00917086"/>
    <w:rsid w:val="009178C6"/>
    <w:rsid w:val="00921D90"/>
    <w:rsid w:val="00924320"/>
    <w:rsid w:val="00925DB9"/>
    <w:rsid w:val="00926B40"/>
    <w:rsid w:val="00927FFC"/>
    <w:rsid w:val="00934FB4"/>
    <w:rsid w:val="0093517F"/>
    <w:rsid w:val="009353A5"/>
    <w:rsid w:val="00936C09"/>
    <w:rsid w:val="009416B9"/>
    <w:rsid w:val="0094350A"/>
    <w:rsid w:val="00944568"/>
    <w:rsid w:val="0094536E"/>
    <w:rsid w:val="00945AAB"/>
    <w:rsid w:val="00945E6E"/>
    <w:rsid w:val="00947C40"/>
    <w:rsid w:val="00950F40"/>
    <w:rsid w:val="009514A4"/>
    <w:rsid w:val="00953A33"/>
    <w:rsid w:val="00954824"/>
    <w:rsid w:val="009562FB"/>
    <w:rsid w:val="0095691B"/>
    <w:rsid w:val="00957800"/>
    <w:rsid w:val="00960340"/>
    <w:rsid w:val="00960611"/>
    <w:rsid w:val="00964207"/>
    <w:rsid w:val="00964312"/>
    <w:rsid w:val="00964BA4"/>
    <w:rsid w:val="00966BDC"/>
    <w:rsid w:val="00967B0A"/>
    <w:rsid w:val="00967BE4"/>
    <w:rsid w:val="0097036E"/>
    <w:rsid w:val="009709A0"/>
    <w:rsid w:val="00970CDF"/>
    <w:rsid w:val="00972AF1"/>
    <w:rsid w:val="009739A1"/>
    <w:rsid w:val="00975D99"/>
    <w:rsid w:val="00976BC4"/>
    <w:rsid w:val="00976FC6"/>
    <w:rsid w:val="00977343"/>
    <w:rsid w:val="00980217"/>
    <w:rsid w:val="00980A66"/>
    <w:rsid w:val="009839E2"/>
    <w:rsid w:val="00983E21"/>
    <w:rsid w:val="009840F6"/>
    <w:rsid w:val="00985BEE"/>
    <w:rsid w:val="00991DD3"/>
    <w:rsid w:val="009920D0"/>
    <w:rsid w:val="0099247C"/>
    <w:rsid w:val="009926F1"/>
    <w:rsid w:val="0099454D"/>
    <w:rsid w:val="0099648F"/>
    <w:rsid w:val="00996F8C"/>
    <w:rsid w:val="00997D0A"/>
    <w:rsid w:val="009A022B"/>
    <w:rsid w:val="009A12F6"/>
    <w:rsid w:val="009A18E3"/>
    <w:rsid w:val="009A3829"/>
    <w:rsid w:val="009A421C"/>
    <w:rsid w:val="009A445B"/>
    <w:rsid w:val="009A4937"/>
    <w:rsid w:val="009A5A32"/>
    <w:rsid w:val="009A67DB"/>
    <w:rsid w:val="009A7770"/>
    <w:rsid w:val="009B2003"/>
    <w:rsid w:val="009B219E"/>
    <w:rsid w:val="009B2DAF"/>
    <w:rsid w:val="009B2F63"/>
    <w:rsid w:val="009B4592"/>
    <w:rsid w:val="009B7305"/>
    <w:rsid w:val="009B73B7"/>
    <w:rsid w:val="009B74F0"/>
    <w:rsid w:val="009B7F5C"/>
    <w:rsid w:val="009C1028"/>
    <w:rsid w:val="009C2F65"/>
    <w:rsid w:val="009C4DB5"/>
    <w:rsid w:val="009C51FC"/>
    <w:rsid w:val="009C5700"/>
    <w:rsid w:val="009C6BF3"/>
    <w:rsid w:val="009C6CD7"/>
    <w:rsid w:val="009C7067"/>
    <w:rsid w:val="009C7905"/>
    <w:rsid w:val="009D0612"/>
    <w:rsid w:val="009D1860"/>
    <w:rsid w:val="009D1FFC"/>
    <w:rsid w:val="009D2576"/>
    <w:rsid w:val="009D3B27"/>
    <w:rsid w:val="009D569A"/>
    <w:rsid w:val="009D5B24"/>
    <w:rsid w:val="009D67A5"/>
    <w:rsid w:val="009D6FBC"/>
    <w:rsid w:val="009D71E4"/>
    <w:rsid w:val="009D7A87"/>
    <w:rsid w:val="009E0F6A"/>
    <w:rsid w:val="009E6A56"/>
    <w:rsid w:val="009E7E91"/>
    <w:rsid w:val="009F1983"/>
    <w:rsid w:val="009F1AF7"/>
    <w:rsid w:val="009F1D5D"/>
    <w:rsid w:val="009F20A0"/>
    <w:rsid w:val="009F22EE"/>
    <w:rsid w:val="009F517E"/>
    <w:rsid w:val="009F54A4"/>
    <w:rsid w:val="009F6F3B"/>
    <w:rsid w:val="009F7974"/>
    <w:rsid w:val="009F7E1A"/>
    <w:rsid w:val="009F7ED2"/>
    <w:rsid w:val="00A005BD"/>
    <w:rsid w:val="00A01FB3"/>
    <w:rsid w:val="00A0208F"/>
    <w:rsid w:val="00A04EC9"/>
    <w:rsid w:val="00A0732C"/>
    <w:rsid w:val="00A073E8"/>
    <w:rsid w:val="00A0743F"/>
    <w:rsid w:val="00A078A8"/>
    <w:rsid w:val="00A07EFC"/>
    <w:rsid w:val="00A1032A"/>
    <w:rsid w:val="00A10B75"/>
    <w:rsid w:val="00A10C0C"/>
    <w:rsid w:val="00A11DF2"/>
    <w:rsid w:val="00A129BE"/>
    <w:rsid w:val="00A136BE"/>
    <w:rsid w:val="00A143D1"/>
    <w:rsid w:val="00A168E5"/>
    <w:rsid w:val="00A17D95"/>
    <w:rsid w:val="00A223EC"/>
    <w:rsid w:val="00A22849"/>
    <w:rsid w:val="00A23535"/>
    <w:rsid w:val="00A2556D"/>
    <w:rsid w:val="00A30819"/>
    <w:rsid w:val="00A308E4"/>
    <w:rsid w:val="00A346DC"/>
    <w:rsid w:val="00A348D1"/>
    <w:rsid w:val="00A34FB5"/>
    <w:rsid w:val="00A36583"/>
    <w:rsid w:val="00A36A80"/>
    <w:rsid w:val="00A36EE1"/>
    <w:rsid w:val="00A372F5"/>
    <w:rsid w:val="00A374D4"/>
    <w:rsid w:val="00A3794E"/>
    <w:rsid w:val="00A4011C"/>
    <w:rsid w:val="00A405EC"/>
    <w:rsid w:val="00A4275F"/>
    <w:rsid w:val="00A43038"/>
    <w:rsid w:val="00A43D2D"/>
    <w:rsid w:val="00A50394"/>
    <w:rsid w:val="00A51140"/>
    <w:rsid w:val="00A5176B"/>
    <w:rsid w:val="00A517D3"/>
    <w:rsid w:val="00A536F9"/>
    <w:rsid w:val="00A53DD4"/>
    <w:rsid w:val="00A54016"/>
    <w:rsid w:val="00A550AD"/>
    <w:rsid w:val="00A56C61"/>
    <w:rsid w:val="00A57AE7"/>
    <w:rsid w:val="00A6167D"/>
    <w:rsid w:val="00A6202F"/>
    <w:rsid w:val="00A63AE8"/>
    <w:rsid w:val="00A65144"/>
    <w:rsid w:val="00A65E0E"/>
    <w:rsid w:val="00A66386"/>
    <w:rsid w:val="00A6658B"/>
    <w:rsid w:val="00A6689B"/>
    <w:rsid w:val="00A70A71"/>
    <w:rsid w:val="00A70C01"/>
    <w:rsid w:val="00A73626"/>
    <w:rsid w:val="00A73CE2"/>
    <w:rsid w:val="00A77339"/>
    <w:rsid w:val="00A77851"/>
    <w:rsid w:val="00A8254E"/>
    <w:rsid w:val="00A82855"/>
    <w:rsid w:val="00A82ED1"/>
    <w:rsid w:val="00A85CE9"/>
    <w:rsid w:val="00A85D08"/>
    <w:rsid w:val="00A86A52"/>
    <w:rsid w:val="00A87C8D"/>
    <w:rsid w:val="00A9131B"/>
    <w:rsid w:val="00A92034"/>
    <w:rsid w:val="00A93201"/>
    <w:rsid w:val="00A96E43"/>
    <w:rsid w:val="00AA07EF"/>
    <w:rsid w:val="00AA0C09"/>
    <w:rsid w:val="00AA2CEF"/>
    <w:rsid w:val="00AA3832"/>
    <w:rsid w:val="00AA50BB"/>
    <w:rsid w:val="00AA6302"/>
    <w:rsid w:val="00AA6C7A"/>
    <w:rsid w:val="00AA78CC"/>
    <w:rsid w:val="00AB15DE"/>
    <w:rsid w:val="00AB185B"/>
    <w:rsid w:val="00AB2FF3"/>
    <w:rsid w:val="00AB3121"/>
    <w:rsid w:val="00AB4000"/>
    <w:rsid w:val="00AB52C7"/>
    <w:rsid w:val="00AB5AB4"/>
    <w:rsid w:val="00AB6059"/>
    <w:rsid w:val="00AB6BC4"/>
    <w:rsid w:val="00AB7D27"/>
    <w:rsid w:val="00AC068A"/>
    <w:rsid w:val="00AC1A75"/>
    <w:rsid w:val="00AC2D85"/>
    <w:rsid w:val="00AC36DB"/>
    <w:rsid w:val="00AC386B"/>
    <w:rsid w:val="00AC40B1"/>
    <w:rsid w:val="00AC5DEE"/>
    <w:rsid w:val="00AC5FBF"/>
    <w:rsid w:val="00AC632A"/>
    <w:rsid w:val="00AC77ED"/>
    <w:rsid w:val="00AD1011"/>
    <w:rsid w:val="00AD385D"/>
    <w:rsid w:val="00AD55AE"/>
    <w:rsid w:val="00AD654C"/>
    <w:rsid w:val="00AD65C0"/>
    <w:rsid w:val="00AD6C6E"/>
    <w:rsid w:val="00AD6CD9"/>
    <w:rsid w:val="00AD70FE"/>
    <w:rsid w:val="00AD78FA"/>
    <w:rsid w:val="00AE1506"/>
    <w:rsid w:val="00AE5A3E"/>
    <w:rsid w:val="00AE6135"/>
    <w:rsid w:val="00AE6B72"/>
    <w:rsid w:val="00AF1CE9"/>
    <w:rsid w:val="00AF1DB0"/>
    <w:rsid w:val="00AF214B"/>
    <w:rsid w:val="00AF2EAD"/>
    <w:rsid w:val="00AF4096"/>
    <w:rsid w:val="00AF486B"/>
    <w:rsid w:val="00AF5C90"/>
    <w:rsid w:val="00AF656B"/>
    <w:rsid w:val="00AF7503"/>
    <w:rsid w:val="00B00CC1"/>
    <w:rsid w:val="00B01414"/>
    <w:rsid w:val="00B015DC"/>
    <w:rsid w:val="00B04962"/>
    <w:rsid w:val="00B06654"/>
    <w:rsid w:val="00B101D4"/>
    <w:rsid w:val="00B12F8A"/>
    <w:rsid w:val="00B13902"/>
    <w:rsid w:val="00B16ABB"/>
    <w:rsid w:val="00B1703A"/>
    <w:rsid w:val="00B17285"/>
    <w:rsid w:val="00B21468"/>
    <w:rsid w:val="00B21CBB"/>
    <w:rsid w:val="00B2674C"/>
    <w:rsid w:val="00B26F8F"/>
    <w:rsid w:val="00B26FC1"/>
    <w:rsid w:val="00B27AD3"/>
    <w:rsid w:val="00B3064F"/>
    <w:rsid w:val="00B30927"/>
    <w:rsid w:val="00B3113B"/>
    <w:rsid w:val="00B317A6"/>
    <w:rsid w:val="00B319CB"/>
    <w:rsid w:val="00B32DE2"/>
    <w:rsid w:val="00B354C4"/>
    <w:rsid w:val="00B35FA6"/>
    <w:rsid w:val="00B375B4"/>
    <w:rsid w:val="00B37D0F"/>
    <w:rsid w:val="00B407C0"/>
    <w:rsid w:val="00B42EC2"/>
    <w:rsid w:val="00B449A7"/>
    <w:rsid w:val="00B4538B"/>
    <w:rsid w:val="00B46FF5"/>
    <w:rsid w:val="00B50D74"/>
    <w:rsid w:val="00B5505B"/>
    <w:rsid w:val="00B55E30"/>
    <w:rsid w:val="00B55F34"/>
    <w:rsid w:val="00B560EC"/>
    <w:rsid w:val="00B56C4F"/>
    <w:rsid w:val="00B60301"/>
    <w:rsid w:val="00B607FD"/>
    <w:rsid w:val="00B61C42"/>
    <w:rsid w:val="00B63E8A"/>
    <w:rsid w:val="00B65429"/>
    <w:rsid w:val="00B65588"/>
    <w:rsid w:val="00B66811"/>
    <w:rsid w:val="00B67E94"/>
    <w:rsid w:val="00B720FF"/>
    <w:rsid w:val="00B75DCE"/>
    <w:rsid w:val="00B76653"/>
    <w:rsid w:val="00B76E0E"/>
    <w:rsid w:val="00B77653"/>
    <w:rsid w:val="00B825BC"/>
    <w:rsid w:val="00B82960"/>
    <w:rsid w:val="00B8356A"/>
    <w:rsid w:val="00B842AB"/>
    <w:rsid w:val="00B844E0"/>
    <w:rsid w:val="00B85273"/>
    <w:rsid w:val="00B87D86"/>
    <w:rsid w:val="00B90AA6"/>
    <w:rsid w:val="00B90FD5"/>
    <w:rsid w:val="00B914FF"/>
    <w:rsid w:val="00B91720"/>
    <w:rsid w:val="00B9217A"/>
    <w:rsid w:val="00B95890"/>
    <w:rsid w:val="00B962B5"/>
    <w:rsid w:val="00B97700"/>
    <w:rsid w:val="00B979D1"/>
    <w:rsid w:val="00BA240D"/>
    <w:rsid w:val="00BA39F9"/>
    <w:rsid w:val="00BA5786"/>
    <w:rsid w:val="00BA6E10"/>
    <w:rsid w:val="00BB03B7"/>
    <w:rsid w:val="00BB130B"/>
    <w:rsid w:val="00BB212E"/>
    <w:rsid w:val="00BB4CE4"/>
    <w:rsid w:val="00BB6F6A"/>
    <w:rsid w:val="00BC1C3D"/>
    <w:rsid w:val="00BC2600"/>
    <w:rsid w:val="00BC3911"/>
    <w:rsid w:val="00BC3AFC"/>
    <w:rsid w:val="00BC40DA"/>
    <w:rsid w:val="00BC4AE8"/>
    <w:rsid w:val="00BC4CFB"/>
    <w:rsid w:val="00BC5ECC"/>
    <w:rsid w:val="00BC737B"/>
    <w:rsid w:val="00BD032F"/>
    <w:rsid w:val="00BD10E0"/>
    <w:rsid w:val="00BD17D9"/>
    <w:rsid w:val="00BD17DA"/>
    <w:rsid w:val="00BD38DC"/>
    <w:rsid w:val="00BD7211"/>
    <w:rsid w:val="00BD7AEE"/>
    <w:rsid w:val="00BE26A1"/>
    <w:rsid w:val="00BE2CB6"/>
    <w:rsid w:val="00BE3F87"/>
    <w:rsid w:val="00BE503C"/>
    <w:rsid w:val="00BE5238"/>
    <w:rsid w:val="00BE5471"/>
    <w:rsid w:val="00BE5814"/>
    <w:rsid w:val="00BE66AD"/>
    <w:rsid w:val="00BE6CF1"/>
    <w:rsid w:val="00BE7706"/>
    <w:rsid w:val="00BF1D68"/>
    <w:rsid w:val="00BF35F7"/>
    <w:rsid w:val="00BF370A"/>
    <w:rsid w:val="00BF5E88"/>
    <w:rsid w:val="00BF7937"/>
    <w:rsid w:val="00C0187B"/>
    <w:rsid w:val="00C01FD8"/>
    <w:rsid w:val="00C025DD"/>
    <w:rsid w:val="00C03036"/>
    <w:rsid w:val="00C03642"/>
    <w:rsid w:val="00C03A8F"/>
    <w:rsid w:val="00C03FF6"/>
    <w:rsid w:val="00C053BF"/>
    <w:rsid w:val="00C05BF3"/>
    <w:rsid w:val="00C077F7"/>
    <w:rsid w:val="00C07AE6"/>
    <w:rsid w:val="00C10815"/>
    <w:rsid w:val="00C118DE"/>
    <w:rsid w:val="00C11B5D"/>
    <w:rsid w:val="00C11D28"/>
    <w:rsid w:val="00C13557"/>
    <w:rsid w:val="00C14C35"/>
    <w:rsid w:val="00C170ED"/>
    <w:rsid w:val="00C17511"/>
    <w:rsid w:val="00C201E9"/>
    <w:rsid w:val="00C20231"/>
    <w:rsid w:val="00C21E9C"/>
    <w:rsid w:val="00C220BC"/>
    <w:rsid w:val="00C22721"/>
    <w:rsid w:val="00C24873"/>
    <w:rsid w:val="00C25F21"/>
    <w:rsid w:val="00C25F69"/>
    <w:rsid w:val="00C26CB1"/>
    <w:rsid w:val="00C27081"/>
    <w:rsid w:val="00C274A1"/>
    <w:rsid w:val="00C2773D"/>
    <w:rsid w:val="00C310DD"/>
    <w:rsid w:val="00C31822"/>
    <w:rsid w:val="00C31DAB"/>
    <w:rsid w:val="00C3409E"/>
    <w:rsid w:val="00C35F61"/>
    <w:rsid w:val="00C3608F"/>
    <w:rsid w:val="00C360FC"/>
    <w:rsid w:val="00C36499"/>
    <w:rsid w:val="00C40FDD"/>
    <w:rsid w:val="00C424CB"/>
    <w:rsid w:val="00C43D44"/>
    <w:rsid w:val="00C446F0"/>
    <w:rsid w:val="00C44834"/>
    <w:rsid w:val="00C44F2F"/>
    <w:rsid w:val="00C45241"/>
    <w:rsid w:val="00C45C7D"/>
    <w:rsid w:val="00C46E75"/>
    <w:rsid w:val="00C4744A"/>
    <w:rsid w:val="00C47630"/>
    <w:rsid w:val="00C51572"/>
    <w:rsid w:val="00C528D7"/>
    <w:rsid w:val="00C52F06"/>
    <w:rsid w:val="00C53A90"/>
    <w:rsid w:val="00C53DDD"/>
    <w:rsid w:val="00C53E53"/>
    <w:rsid w:val="00C5498C"/>
    <w:rsid w:val="00C5534A"/>
    <w:rsid w:val="00C55A0F"/>
    <w:rsid w:val="00C5725E"/>
    <w:rsid w:val="00C61928"/>
    <w:rsid w:val="00C61A30"/>
    <w:rsid w:val="00C6213D"/>
    <w:rsid w:val="00C62F9D"/>
    <w:rsid w:val="00C633ED"/>
    <w:rsid w:val="00C64B3C"/>
    <w:rsid w:val="00C65019"/>
    <w:rsid w:val="00C65442"/>
    <w:rsid w:val="00C664B9"/>
    <w:rsid w:val="00C666E0"/>
    <w:rsid w:val="00C667E1"/>
    <w:rsid w:val="00C66E22"/>
    <w:rsid w:val="00C703F5"/>
    <w:rsid w:val="00C70B67"/>
    <w:rsid w:val="00C70CC6"/>
    <w:rsid w:val="00C7249B"/>
    <w:rsid w:val="00C7305A"/>
    <w:rsid w:val="00C734DE"/>
    <w:rsid w:val="00C73D80"/>
    <w:rsid w:val="00C74992"/>
    <w:rsid w:val="00C7640C"/>
    <w:rsid w:val="00C811E6"/>
    <w:rsid w:val="00C81AA0"/>
    <w:rsid w:val="00C82135"/>
    <w:rsid w:val="00C83C34"/>
    <w:rsid w:val="00C8467C"/>
    <w:rsid w:val="00C851ED"/>
    <w:rsid w:val="00C860C1"/>
    <w:rsid w:val="00C87418"/>
    <w:rsid w:val="00C909C9"/>
    <w:rsid w:val="00C91877"/>
    <w:rsid w:val="00C919FB"/>
    <w:rsid w:val="00C931A5"/>
    <w:rsid w:val="00C93C99"/>
    <w:rsid w:val="00C95A57"/>
    <w:rsid w:val="00C96D37"/>
    <w:rsid w:val="00CA0AB9"/>
    <w:rsid w:val="00CA208E"/>
    <w:rsid w:val="00CA289A"/>
    <w:rsid w:val="00CA28DB"/>
    <w:rsid w:val="00CA2E7D"/>
    <w:rsid w:val="00CA62D4"/>
    <w:rsid w:val="00CA668A"/>
    <w:rsid w:val="00CA6976"/>
    <w:rsid w:val="00CA73A7"/>
    <w:rsid w:val="00CB19A2"/>
    <w:rsid w:val="00CB279C"/>
    <w:rsid w:val="00CB2CB4"/>
    <w:rsid w:val="00CB2D42"/>
    <w:rsid w:val="00CB42B6"/>
    <w:rsid w:val="00CB4AFC"/>
    <w:rsid w:val="00CB675B"/>
    <w:rsid w:val="00CB70CD"/>
    <w:rsid w:val="00CC0245"/>
    <w:rsid w:val="00CC0937"/>
    <w:rsid w:val="00CC277D"/>
    <w:rsid w:val="00CC382C"/>
    <w:rsid w:val="00CC3BA5"/>
    <w:rsid w:val="00CC4933"/>
    <w:rsid w:val="00CC6B79"/>
    <w:rsid w:val="00CC7518"/>
    <w:rsid w:val="00CD0045"/>
    <w:rsid w:val="00CD05FE"/>
    <w:rsid w:val="00CD08B3"/>
    <w:rsid w:val="00CD0DF8"/>
    <w:rsid w:val="00CD0F9F"/>
    <w:rsid w:val="00CD199B"/>
    <w:rsid w:val="00CD25EA"/>
    <w:rsid w:val="00CD6BC6"/>
    <w:rsid w:val="00CD7274"/>
    <w:rsid w:val="00CE2235"/>
    <w:rsid w:val="00CE30D5"/>
    <w:rsid w:val="00CE379F"/>
    <w:rsid w:val="00CE5FFE"/>
    <w:rsid w:val="00CE60D1"/>
    <w:rsid w:val="00CE60F9"/>
    <w:rsid w:val="00CE6560"/>
    <w:rsid w:val="00CE6BEE"/>
    <w:rsid w:val="00CE730A"/>
    <w:rsid w:val="00CF1DE8"/>
    <w:rsid w:val="00CF1F00"/>
    <w:rsid w:val="00CF2501"/>
    <w:rsid w:val="00D00FB7"/>
    <w:rsid w:val="00D0298F"/>
    <w:rsid w:val="00D05BAC"/>
    <w:rsid w:val="00D05EDD"/>
    <w:rsid w:val="00D060CD"/>
    <w:rsid w:val="00D0720A"/>
    <w:rsid w:val="00D10C67"/>
    <w:rsid w:val="00D124F4"/>
    <w:rsid w:val="00D125BB"/>
    <w:rsid w:val="00D12FA3"/>
    <w:rsid w:val="00D1451F"/>
    <w:rsid w:val="00D1454A"/>
    <w:rsid w:val="00D16633"/>
    <w:rsid w:val="00D17568"/>
    <w:rsid w:val="00D17CCB"/>
    <w:rsid w:val="00D17F66"/>
    <w:rsid w:val="00D22610"/>
    <w:rsid w:val="00D22A80"/>
    <w:rsid w:val="00D242DD"/>
    <w:rsid w:val="00D24503"/>
    <w:rsid w:val="00D2470F"/>
    <w:rsid w:val="00D250C3"/>
    <w:rsid w:val="00D25B5F"/>
    <w:rsid w:val="00D25BCC"/>
    <w:rsid w:val="00D26B42"/>
    <w:rsid w:val="00D3213A"/>
    <w:rsid w:val="00D33424"/>
    <w:rsid w:val="00D35D14"/>
    <w:rsid w:val="00D40104"/>
    <w:rsid w:val="00D42794"/>
    <w:rsid w:val="00D42D56"/>
    <w:rsid w:val="00D43C03"/>
    <w:rsid w:val="00D4417C"/>
    <w:rsid w:val="00D4525A"/>
    <w:rsid w:val="00D45D19"/>
    <w:rsid w:val="00D460D3"/>
    <w:rsid w:val="00D46116"/>
    <w:rsid w:val="00D5021C"/>
    <w:rsid w:val="00D5228B"/>
    <w:rsid w:val="00D53293"/>
    <w:rsid w:val="00D53C29"/>
    <w:rsid w:val="00D57384"/>
    <w:rsid w:val="00D60A11"/>
    <w:rsid w:val="00D61FA3"/>
    <w:rsid w:val="00D62BDC"/>
    <w:rsid w:val="00D64C65"/>
    <w:rsid w:val="00D65814"/>
    <w:rsid w:val="00D676AD"/>
    <w:rsid w:val="00D6784F"/>
    <w:rsid w:val="00D713FC"/>
    <w:rsid w:val="00D72D18"/>
    <w:rsid w:val="00D735C9"/>
    <w:rsid w:val="00D746B6"/>
    <w:rsid w:val="00D751DF"/>
    <w:rsid w:val="00D7568C"/>
    <w:rsid w:val="00D762CE"/>
    <w:rsid w:val="00D768AA"/>
    <w:rsid w:val="00D768DC"/>
    <w:rsid w:val="00D777D0"/>
    <w:rsid w:val="00D8020C"/>
    <w:rsid w:val="00D8205F"/>
    <w:rsid w:val="00D85DC7"/>
    <w:rsid w:val="00D8701A"/>
    <w:rsid w:val="00D905FA"/>
    <w:rsid w:val="00D90B9E"/>
    <w:rsid w:val="00D90D01"/>
    <w:rsid w:val="00D90D20"/>
    <w:rsid w:val="00D91884"/>
    <w:rsid w:val="00D92D3D"/>
    <w:rsid w:val="00D94170"/>
    <w:rsid w:val="00D96E62"/>
    <w:rsid w:val="00D979AA"/>
    <w:rsid w:val="00DA200B"/>
    <w:rsid w:val="00DA21E7"/>
    <w:rsid w:val="00DA495B"/>
    <w:rsid w:val="00DA4E85"/>
    <w:rsid w:val="00DA70B4"/>
    <w:rsid w:val="00DB06CC"/>
    <w:rsid w:val="00DB1F45"/>
    <w:rsid w:val="00DB2A4B"/>
    <w:rsid w:val="00DB3597"/>
    <w:rsid w:val="00DB5D52"/>
    <w:rsid w:val="00DC055C"/>
    <w:rsid w:val="00DC1A3C"/>
    <w:rsid w:val="00DC2B18"/>
    <w:rsid w:val="00DC3128"/>
    <w:rsid w:val="00DC3FDB"/>
    <w:rsid w:val="00DC4ACC"/>
    <w:rsid w:val="00DC4F29"/>
    <w:rsid w:val="00DC5247"/>
    <w:rsid w:val="00DC6059"/>
    <w:rsid w:val="00DC68A6"/>
    <w:rsid w:val="00DC7EB8"/>
    <w:rsid w:val="00DD15A2"/>
    <w:rsid w:val="00DD384D"/>
    <w:rsid w:val="00DD421D"/>
    <w:rsid w:val="00DD44CF"/>
    <w:rsid w:val="00DD46C6"/>
    <w:rsid w:val="00DD4E5C"/>
    <w:rsid w:val="00DD517A"/>
    <w:rsid w:val="00DD7344"/>
    <w:rsid w:val="00DD7A3D"/>
    <w:rsid w:val="00DE2480"/>
    <w:rsid w:val="00DE2A89"/>
    <w:rsid w:val="00DE2FC1"/>
    <w:rsid w:val="00DE5C06"/>
    <w:rsid w:val="00DE5E06"/>
    <w:rsid w:val="00DE7292"/>
    <w:rsid w:val="00DF1633"/>
    <w:rsid w:val="00DF337D"/>
    <w:rsid w:val="00DF37DE"/>
    <w:rsid w:val="00DF41FB"/>
    <w:rsid w:val="00DF4EDB"/>
    <w:rsid w:val="00DF6565"/>
    <w:rsid w:val="00DF6807"/>
    <w:rsid w:val="00DF6E8C"/>
    <w:rsid w:val="00DF7C80"/>
    <w:rsid w:val="00E0223F"/>
    <w:rsid w:val="00E04842"/>
    <w:rsid w:val="00E05B4E"/>
    <w:rsid w:val="00E06579"/>
    <w:rsid w:val="00E068E6"/>
    <w:rsid w:val="00E0788D"/>
    <w:rsid w:val="00E07C77"/>
    <w:rsid w:val="00E10583"/>
    <w:rsid w:val="00E120D8"/>
    <w:rsid w:val="00E16BF3"/>
    <w:rsid w:val="00E21B55"/>
    <w:rsid w:val="00E21E8B"/>
    <w:rsid w:val="00E2287F"/>
    <w:rsid w:val="00E22D20"/>
    <w:rsid w:val="00E24453"/>
    <w:rsid w:val="00E30914"/>
    <w:rsid w:val="00E30A5B"/>
    <w:rsid w:val="00E310A3"/>
    <w:rsid w:val="00E321B2"/>
    <w:rsid w:val="00E3296F"/>
    <w:rsid w:val="00E34910"/>
    <w:rsid w:val="00E35128"/>
    <w:rsid w:val="00E36943"/>
    <w:rsid w:val="00E371E0"/>
    <w:rsid w:val="00E3786F"/>
    <w:rsid w:val="00E37C62"/>
    <w:rsid w:val="00E41303"/>
    <w:rsid w:val="00E41D81"/>
    <w:rsid w:val="00E41FF7"/>
    <w:rsid w:val="00E42602"/>
    <w:rsid w:val="00E44C87"/>
    <w:rsid w:val="00E51126"/>
    <w:rsid w:val="00E51389"/>
    <w:rsid w:val="00E52101"/>
    <w:rsid w:val="00E52379"/>
    <w:rsid w:val="00E52C50"/>
    <w:rsid w:val="00E52E18"/>
    <w:rsid w:val="00E53934"/>
    <w:rsid w:val="00E558FB"/>
    <w:rsid w:val="00E56679"/>
    <w:rsid w:val="00E573C0"/>
    <w:rsid w:val="00E573DC"/>
    <w:rsid w:val="00E5766A"/>
    <w:rsid w:val="00E60193"/>
    <w:rsid w:val="00E60623"/>
    <w:rsid w:val="00E62D29"/>
    <w:rsid w:val="00E63C99"/>
    <w:rsid w:val="00E6531B"/>
    <w:rsid w:val="00E7137E"/>
    <w:rsid w:val="00E7149F"/>
    <w:rsid w:val="00E72C4B"/>
    <w:rsid w:val="00E73322"/>
    <w:rsid w:val="00E74DAA"/>
    <w:rsid w:val="00E7610A"/>
    <w:rsid w:val="00E76380"/>
    <w:rsid w:val="00E763D1"/>
    <w:rsid w:val="00E77C41"/>
    <w:rsid w:val="00E80745"/>
    <w:rsid w:val="00E8186E"/>
    <w:rsid w:val="00E82B4D"/>
    <w:rsid w:val="00E83F45"/>
    <w:rsid w:val="00E85527"/>
    <w:rsid w:val="00E857F4"/>
    <w:rsid w:val="00E86003"/>
    <w:rsid w:val="00E8613C"/>
    <w:rsid w:val="00E8636A"/>
    <w:rsid w:val="00E872FD"/>
    <w:rsid w:val="00E8757A"/>
    <w:rsid w:val="00E87600"/>
    <w:rsid w:val="00E87D73"/>
    <w:rsid w:val="00E90AB3"/>
    <w:rsid w:val="00E91B1D"/>
    <w:rsid w:val="00E9229C"/>
    <w:rsid w:val="00E92BD2"/>
    <w:rsid w:val="00E92C6B"/>
    <w:rsid w:val="00E971F6"/>
    <w:rsid w:val="00E97F29"/>
    <w:rsid w:val="00EA07B6"/>
    <w:rsid w:val="00EA318F"/>
    <w:rsid w:val="00EA4614"/>
    <w:rsid w:val="00EA4C1A"/>
    <w:rsid w:val="00EA4C3A"/>
    <w:rsid w:val="00EA603D"/>
    <w:rsid w:val="00EA666F"/>
    <w:rsid w:val="00EB25F5"/>
    <w:rsid w:val="00EB314E"/>
    <w:rsid w:val="00EB5001"/>
    <w:rsid w:val="00EC0474"/>
    <w:rsid w:val="00EC082B"/>
    <w:rsid w:val="00EC0BFE"/>
    <w:rsid w:val="00EC1815"/>
    <w:rsid w:val="00EC2279"/>
    <w:rsid w:val="00EC2F7A"/>
    <w:rsid w:val="00EC3D7F"/>
    <w:rsid w:val="00EC3DC9"/>
    <w:rsid w:val="00EC42CB"/>
    <w:rsid w:val="00EC4E03"/>
    <w:rsid w:val="00EC616A"/>
    <w:rsid w:val="00EC6C31"/>
    <w:rsid w:val="00EC743B"/>
    <w:rsid w:val="00ED2276"/>
    <w:rsid w:val="00ED2B02"/>
    <w:rsid w:val="00ED35A2"/>
    <w:rsid w:val="00ED43B9"/>
    <w:rsid w:val="00ED46E1"/>
    <w:rsid w:val="00ED5F6F"/>
    <w:rsid w:val="00ED6154"/>
    <w:rsid w:val="00ED7070"/>
    <w:rsid w:val="00ED7EB5"/>
    <w:rsid w:val="00EE02CF"/>
    <w:rsid w:val="00EE17C5"/>
    <w:rsid w:val="00EE26C1"/>
    <w:rsid w:val="00EE36F4"/>
    <w:rsid w:val="00EE3784"/>
    <w:rsid w:val="00EE3D8B"/>
    <w:rsid w:val="00EE410F"/>
    <w:rsid w:val="00EE5307"/>
    <w:rsid w:val="00EE6E12"/>
    <w:rsid w:val="00EE7269"/>
    <w:rsid w:val="00EE745A"/>
    <w:rsid w:val="00EE7FEC"/>
    <w:rsid w:val="00EF0A5A"/>
    <w:rsid w:val="00EF0C8A"/>
    <w:rsid w:val="00EF16D9"/>
    <w:rsid w:val="00EF2054"/>
    <w:rsid w:val="00EF3506"/>
    <w:rsid w:val="00EF35A0"/>
    <w:rsid w:val="00EF4093"/>
    <w:rsid w:val="00EF58FD"/>
    <w:rsid w:val="00EF5F8F"/>
    <w:rsid w:val="00EF639B"/>
    <w:rsid w:val="00EF6FB5"/>
    <w:rsid w:val="00F00F93"/>
    <w:rsid w:val="00F01111"/>
    <w:rsid w:val="00F03B52"/>
    <w:rsid w:val="00F04C18"/>
    <w:rsid w:val="00F0591F"/>
    <w:rsid w:val="00F06396"/>
    <w:rsid w:val="00F0740C"/>
    <w:rsid w:val="00F07A2C"/>
    <w:rsid w:val="00F10F20"/>
    <w:rsid w:val="00F11B4A"/>
    <w:rsid w:val="00F2028F"/>
    <w:rsid w:val="00F20313"/>
    <w:rsid w:val="00F20394"/>
    <w:rsid w:val="00F20B41"/>
    <w:rsid w:val="00F20C1C"/>
    <w:rsid w:val="00F23C6B"/>
    <w:rsid w:val="00F23CBD"/>
    <w:rsid w:val="00F25489"/>
    <w:rsid w:val="00F25C0E"/>
    <w:rsid w:val="00F3117E"/>
    <w:rsid w:val="00F31FE9"/>
    <w:rsid w:val="00F32A9D"/>
    <w:rsid w:val="00F33A00"/>
    <w:rsid w:val="00F344B5"/>
    <w:rsid w:val="00F34E18"/>
    <w:rsid w:val="00F365FC"/>
    <w:rsid w:val="00F36998"/>
    <w:rsid w:val="00F37489"/>
    <w:rsid w:val="00F41692"/>
    <w:rsid w:val="00F4216A"/>
    <w:rsid w:val="00F43C96"/>
    <w:rsid w:val="00F43FE8"/>
    <w:rsid w:val="00F453BC"/>
    <w:rsid w:val="00F45440"/>
    <w:rsid w:val="00F46D02"/>
    <w:rsid w:val="00F475FE"/>
    <w:rsid w:val="00F503E6"/>
    <w:rsid w:val="00F5195A"/>
    <w:rsid w:val="00F51FEE"/>
    <w:rsid w:val="00F52125"/>
    <w:rsid w:val="00F52DDB"/>
    <w:rsid w:val="00F5424F"/>
    <w:rsid w:val="00F56A3E"/>
    <w:rsid w:val="00F60515"/>
    <w:rsid w:val="00F611BE"/>
    <w:rsid w:val="00F61CE2"/>
    <w:rsid w:val="00F6218F"/>
    <w:rsid w:val="00F62C1C"/>
    <w:rsid w:val="00F63707"/>
    <w:rsid w:val="00F639E8"/>
    <w:rsid w:val="00F65192"/>
    <w:rsid w:val="00F65ACC"/>
    <w:rsid w:val="00F70DAD"/>
    <w:rsid w:val="00F70E62"/>
    <w:rsid w:val="00F70EF2"/>
    <w:rsid w:val="00F71104"/>
    <w:rsid w:val="00F72331"/>
    <w:rsid w:val="00F74BC1"/>
    <w:rsid w:val="00F81171"/>
    <w:rsid w:val="00F82003"/>
    <w:rsid w:val="00F8364D"/>
    <w:rsid w:val="00F836D2"/>
    <w:rsid w:val="00F83D84"/>
    <w:rsid w:val="00F83FE3"/>
    <w:rsid w:val="00F84886"/>
    <w:rsid w:val="00F861D4"/>
    <w:rsid w:val="00F90676"/>
    <w:rsid w:val="00F91387"/>
    <w:rsid w:val="00F92344"/>
    <w:rsid w:val="00F93090"/>
    <w:rsid w:val="00F93C58"/>
    <w:rsid w:val="00F95936"/>
    <w:rsid w:val="00F96ABB"/>
    <w:rsid w:val="00FA1CD9"/>
    <w:rsid w:val="00FA23A3"/>
    <w:rsid w:val="00FA25C1"/>
    <w:rsid w:val="00FA463E"/>
    <w:rsid w:val="00FA4FF0"/>
    <w:rsid w:val="00FA55D4"/>
    <w:rsid w:val="00FA5FC6"/>
    <w:rsid w:val="00FA7EC7"/>
    <w:rsid w:val="00FB00B1"/>
    <w:rsid w:val="00FB0A2A"/>
    <w:rsid w:val="00FB5CFC"/>
    <w:rsid w:val="00FB70F3"/>
    <w:rsid w:val="00FC040D"/>
    <w:rsid w:val="00FC05AC"/>
    <w:rsid w:val="00FC3149"/>
    <w:rsid w:val="00FC4137"/>
    <w:rsid w:val="00FC44EF"/>
    <w:rsid w:val="00FC52EB"/>
    <w:rsid w:val="00FC5D13"/>
    <w:rsid w:val="00FC609C"/>
    <w:rsid w:val="00FC6A0B"/>
    <w:rsid w:val="00FC6C91"/>
    <w:rsid w:val="00FD0FDD"/>
    <w:rsid w:val="00FD3902"/>
    <w:rsid w:val="00FD41EC"/>
    <w:rsid w:val="00FD41F5"/>
    <w:rsid w:val="00FD54F9"/>
    <w:rsid w:val="00FD66AA"/>
    <w:rsid w:val="00FD6DC6"/>
    <w:rsid w:val="00FD72A4"/>
    <w:rsid w:val="00FD7C22"/>
    <w:rsid w:val="00FE21F5"/>
    <w:rsid w:val="00FE2219"/>
    <w:rsid w:val="00FE2A62"/>
    <w:rsid w:val="00FE3262"/>
    <w:rsid w:val="00FE7971"/>
    <w:rsid w:val="00FE7F63"/>
    <w:rsid w:val="00FF1D66"/>
    <w:rsid w:val="00FF2348"/>
    <w:rsid w:val="00FF2379"/>
    <w:rsid w:val="00FF337E"/>
    <w:rsid w:val="00FF541D"/>
    <w:rsid w:val="00FF56BB"/>
    <w:rsid w:val="00FF62DF"/>
    <w:rsid w:val="00FF6632"/>
    <w:rsid w:val="00FF755B"/>
    <w:rsid w:val="00FF7571"/>
    <w:rsid w:val="00FF75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2E4513"/>
    <w:rPr>
      <w:sz w:val="24"/>
      <w:szCs w:val="24"/>
    </w:rPr>
  </w:style>
  <w:style w:type="paragraph" w:styleId="1">
    <w:name w:val="heading 1"/>
    <w:basedOn w:val="a"/>
    <w:next w:val="a"/>
    <w:qFormat/>
    <w:rsid w:val="00E07C77"/>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E07C77"/>
    <w:pPr>
      <w:keepNext/>
      <w:spacing w:before="240" w:after="60"/>
      <w:outlineLvl w:val="1"/>
    </w:pPr>
    <w:rPr>
      <w:rFonts w:ascii="Arial" w:hAnsi="Arial" w:cs="Arial"/>
      <w:b/>
      <w:bCs/>
      <w:i/>
      <w:iCs/>
      <w:sz w:val="28"/>
      <w:szCs w:val="28"/>
    </w:rPr>
  </w:style>
  <w:style w:type="paragraph" w:styleId="3">
    <w:name w:val="heading 3"/>
    <w:basedOn w:val="a"/>
    <w:link w:val="3Char"/>
    <w:qFormat/>
    <w:rsid w:val="00E07C77"/>
    <w:pPr>
      <w:spacing w:before="100" w:beforeAutospacing="1" w:after="100" w:afterAutospacing="1"/>
      <w:outlineLvl w:val="2"/>
    </w:pPr>
    <w:rPr>
      <w:b/>
      <w:bCs/>
      <w:sz w:val="27"/>
      <w:szCs w:val="27"/>
      <w:lang w:val="en-GB" w:eastAsia="en-US"/>
    </w:rPr>
  </w:style>
  <w:style w:type="paragraph" w:styleId="4">
    <w:name w:val="heading 4"/>
    <w:basedOn w:val="a"/>
    <w:next w:val="a"/>
    <w:qFormat/>
    <w:rsid w:val="00E07C77"/>
    <w:pPr>
      <w:keepNext/>
      <w:outlineLvl w:val="3"/>
    </w:pPr>
    <w:rPr>
      <w:b/>
      <w:szCs w:val="20"/>
    </w:rPr>
  </w:style>
  <w:style w:type="paragraph" w:styleId="5">
    <w:name w:val="heading 5"/>
    <w:basedOn w:val="a"/>
    <w:next w:val="a"/>
    <w:qFormat/>
    <w:rsid w:val="00E07C77"/>
    <w:pPr>
      <w:keepNext/>
      <w:jc w:val="center"/>
      <w:outlineLvl w:val="4"/>
    </w:pPr>
    <w:rPr>
      <w:b/>
      <w:i/>
      <w:szCs w:val="20"/>
    </w:rPr>
  </w:style>
  <w:style w:type="paragraph" w:styleId="6">
    <w:name w:val="heading 6"/>
    <w:basedOn w:val="a"/>
    <w:next w:val="a"/>
    <w:qFormat/>
    <w:rsid w:val="00E07C77"/>
    <w:pPr>
      <w:keepNext/>
      <w:spacing w:line="360" w:lineRule="auto"/>
      <w:ind w:left="360"/>
      <w:jc w:val="both"/>
      <w:outlineLvl w:val="5"/>
    </w:pPr>
    <w:rPr>
      <w:b/>
      <w:bCs/>
      <w:u w:val="single"/>
    </w:rPr>
  </w:style>
  <w:style w:type="paragraph" w:styleId="7">
    <w:name w:val="heading 7"/>
    <w:basedOn w:val="a"/>
    <w:next w:val="a"/>
    <w:qFormat/>
    <w:rsid w:val="00E07C77"/>
    <w:pPr>
      <w:keepNext/>
      <w:spacing w:line="360" w:lineRule="auto"/>
      <w:jc w:val="both"/>
      <w:outlineLvl w:val="6"/>
    </w:pPr>
    <w:rPr>
      <w:b/>
      <w:bCs/>
    </w:rPr>
  </w:style>
  <w:style w:type="paragraph" w:styleId="9">
    <w:name w:val="heading 9"/>
    <w:basedOn w:val="a"/>
    <w:next w:val="a"/>
    <w:link w:val="9Char"/>
    <w:uiPriority w:val="9"/>
    <w:semiHidden/>
    <w:unhideWhenUsed/>
    <w:qFormat/>
    <w:rsid w:val="009435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65BB8"/>
    <w:rPr>
      <w:rFonts w:ascii="Arial" w:hAnsi="Arial" w:cs="Arial"/>
      <w:b/>
      <w:bCs/>
      <w:i/>
      <w:iCs/>
      <w:sz w:val="28"/>
      <w:szCs w:val="28"/>
    </w:rPr>
  </w:style>
  <w:style w:type="paragraph" w:customStyle="1" w:styleId="Default">
    <w:name w:val="Default"/>
    <w:rsid w:val="00E07C77"/>
    <w:pPr>
      <w:autoSpaceDE w:val="0"/>
      <w:autoSpaceDN w:val="0"/>
      <w:adjustRightInd w:val="0"/>
    </w:pPr>
    <w:rPr>
      <w:color w:val="000000"/>
      <w:sz w:val="24"/>
      <w:szCs w:val="24"/>
    </w:rPr>
  </w:style>
  <w:style w:type="paragraph" w:styleId="a3">
    <w:name w:val="Balloon Text"/>
    <w:basedOn w:val="a"/>
    <w:link w:val="Char"/>
    <w:uiPriority w:val="99"/>
    <w:semiHidden/>
    <w:rsid w:val="00E07C77"/>
    <w:rPr>
      <w:rFonts w:ascii="Tahoma" w:hAnsi="Tahoma" w:cs="Tahoma"/>
      <w:sz w:val="16"/>
      <w:szCs w:val="16"/>
    </w:rPr>
  </w:style>
  <w:style w:type="paragraph" w:styleId="a4">
    <w:name w:val="footer"/>
    <w:basedOn w:val="a"/>
    <w:link w:val="Char0"/>
    <w:uiPriority w:val="99"/>
    <w:rsid w:val="00E07C77"/>
    <w:pPr>
      <w:tabs>
        <w:tab w:val="center" w:pos="4153"/>
        <w:tab w:val="right" w:pos="8306"/>
      </w:tabs>
    </w:pPr>
  </w:style>
  <w:style w:type="character" w:customStyle="1" w:styleId="Char0">
    <w:name w:val="Υποσέλιδο Char"/>
    <w:link w:val="a4"/>
    <w:uiPriority w:val="99"/>
    <w:rsid w:val="005075B2"/>
    <w:rPr>
      <w:sz w:val="24"/>
      <w:szCs w:val="24"/>
    </w:rPr>
  </w:style>
  <w:style w:type="character" w:styleId="a5">
    <w:name w:val="page number"/>
    <w:basedOn w:val="a0"/>
    <w:rsid w:val="00E07C77"/>
  </w:style>
  <w:style w:type="character" w:styleId="-">
    <w:name w:val="Hyperlink"/>
    <w:uiPriority w:val="99"/>
    <w:rsid w:val="00E07C77"/>
    <w:rPr>
      <w:color w:val="0000FF"/>
      <w:u w:val="single"/>
    </w:rPr>
  </w:style>
  <w:style w:type="paragraph" w:styleId="10">
    <w:name w:val="toc 1"/>
    <w:basedOn w:val="a"/>
    <w:next w:val="a"/>
    <w:autoRedefine/>
    <w:uiPriority w:val="39"/>
    <w:qFormat/>
    <w:rsid w:val="00E07C77"/>
    <w:pPr>
      <w:tabs>
        <w:tab w:val="right" w:leader="dot" w:pos="8296"/>
      </w:tabs>
      <w:ind w:left="180"/>
    </w:pPr>
    <w:rPr>
      <w:noProof/>
    </w:rPr>
  </w:style>
  <w:style w:type="paragraph" w:styleId="20">
    <w:name w:val="toc 2"/>
    <w:basedOn w:val="a"/>
    <w:next w:val="a"/>
    <w:autoRedefine/>
    <w:uiPriority w:val="39"/>
    <w:qFormat/>
    <w:rsid w:val="00E07C77"/>
    <w:pPr>
      <w:ind w:left="240"/>
    </w:pPr>
  </w:style>
  <w:style w:type="character" w:customStyle="1" w:styleId="1Char">
    <w:name w:val="Επικεφαλίδα 1 Char"/>
    <w:rsid w:val="00E07C77"/>
    <w:rPr>
      <w:rFonts w:ascii="Arial" w:hAnsi="Arial" w:cs="Arial"/>
      <w:b/>
      <w:bCs/>
      <w:kern w:val="32"/>
      <w:sz w:val="32"/>
      <w:szCs w:val="32"/>
      <w:lang w:val="el-GR" w:eastAsia="el-GR" w:bidi="ar-SA"/>
    </w:rPr>
  </w:style>
  <w:style w:type="paragraph" w:styleId="a6">
    <w:name w:val="caption"/>
    <w:basedOn w:val="a"/>
    <w:next w:val="a"/>
    <w:uiPriority w:val="35"/>
    <w:qFormat/>
    <w:rsid w:val="00E07C77"/>
    <w:pPr>
      <w:ind w:right="-4440"/>
    </w:pPr>
    <w:rPr>
      <w:b/>
      <w:sz w:val="28"/>
      <w:szCs w:val="20"/>
    </w:rPr>
  </w:style>
  <w:style w:type="paragraph" w:styleId="a7">
    <w:name w:val="Body Text"/>
    <w:basedOn w:val="a"/>
    <w:link w:val="Char1"/>
    <w:semiHidden/>
    <w:rsid w:val="00E07C77"/>
    <w:pPr>
      <w:jc w:val="both"/>
    </w:pPr>
    <w:rPr>
      <w:rFonts w:ascii="Arial" w:hAnsi="Arial" w:cs="Arial"/>
      <w:b/>
      <w:bCs/>
      <w:i/>
      <w:sz w:val="32"/>
      <w:szCs w:val="32"/>
    </w:rPr>
  </w:style>
  <w:style w:type="character" w:customStyle="1" w:styleId="Char1">
    <w:name w:val="Σώμα κειμένου Char"/>
    <w:link w:val="a7"/>
    <w:semiHidden/>
    <w:rsid w:val="00154433"/>
    <w:rPr>
      <w:rFonts w:ascii="Arial" w:hAnsi="Arial" w:cs="Arial"/>
      <w:b/>
      <w:bCs/>
      <w:i/>
      <w:sz w:val="32"/>
      <w:szCs w:val="32"/>
    </w:rPr>
  </w:style>
  <w:style w:type="character" w:styleId="a8">
    <w:name w:val="Strong"/>
    <w:uiPriority w:val="22"/>
    <w:qFormat/>
    <w:rsid w:val="00E07C77"/>
    <w:rPr>
      <w:b/>
      <w:bCs/>
    </w:rPr>
  </w:style>
  <w:style w:type="paragraph" w:styleId="Web">
    <w:name w:val="Normal (Web)"/>
    <w:basedOn w:val="a"/>
    <w:uiPriority w:val="99"/>
    <w:semiHidden/>
    <w:rsid w:val="00E07C77"/>
    <w:pPr>
      <w:spacing w:before="100" w:beforeAutospacing="1" w:after="100" w:afterAutospacing="1"/>
    </w:pPr>
    <w:rPr>
      <w:lang w:val="en-GB" w:eastAsia="en-US"/>
    </w:rPr>
  </w:style>
  <w:style w:type="paragraph" w:styleId="30">
    <w:name w:val="toc 3"/>
    <w:basedOn w:val="a"/>
    <w:next w:val="a"/>
    <w:autoRedefine/>
    <w:uiPriority w:val="39"/>
    <w:qFormat/>
    <w:rsid w:val="00E07C77"/>
    <w:pPr>
      <w:ind w:left="480"/>
    </w:pPr>
  </w:style>
  <w:style w:type="paragraph" w:styleId="21">
    <w:name w:val="Body Text 2"/>
    <w:basedOn w:val="a"/>
    <w:semiHidden/>
    <w:rsid w:val="00E07C77"/>
    <w:pPr>
      <w:spacing w:line="360" w:lineRule="auto"/>
      <w:jc w:val="both"/>
    </w:pPr>
  </w:style>
  <w:style w:type="paragraph" w:styleId="a9">
    <w:name w:val="Body Text Indent"/>
    <w:basedOn w:val="a"/>
    <w:semiHidden/>
    <w:rsid w:val="00E07C77"/>
    <w:pPr>
      <w:spacing w:before="100" w:beforeAutospacing="1" w:after="100" w:afterAutospacing="1" w:line="360" w:lineRule="auto"/>
      <w:ind w:left="360"/>
      <w:jc w:val="both"/>
    </w:pPr>
    <w:rPr>
      <w:rFonts w:ascii="Tahoma" w:eastAsia="Batang" w:hAnsi="Tahoma" w:cs="Tahoma"/>
    </w:rPr>
  </w:style>
  <w:style w:type="paragraph" w:styleId="aa">
    <w:name w:val="header"/>
    <w:basedOn w:val="a"/>
    <w:link w:val="Char2"/>
    <w:uiPriority w:val="99"/>
    <w:rsid w:val="00E07C77"/>
    <w:pPr>
      <w:tabs>
        <w:tab w:val="center" w:pos="4153"/>
        <w:tab w:val="right" w:pos="8306"/>
      </w:tabs>
    </w:pPr>
  </w:style>
  <w:style w:type="character" w:customStyle="1" w:styleId="Char2">
    <w:name w:val="Κεφαλίδα Char"/>
    <w:link w:val="aa"/>
    <w:uiPriority w:val="99"/>
    <w:rsid w:val="005075B2"/>
    <w:rPr>
      <w:sz w:val="24"/>
      <w:szCs w:val="24"/>
    </w:rPr>
  </w:style>
  <w:style w:type="character" w:styleId="HTML">
    <w:name w:val="HTML Cite"/>
    <w:semiHidden/>
    <w:unhideWhenUsed/>
    <w:rsid w:val="00E07C77"/>
    <w:rPr>
      <w:i/>
      <w:iCs/>
    </w:rPr>
  </w:style>
  <w:style w:type="paragraph" w:styleId="ab">
    <w:name w:val="footnote text"/>
    <w:aliases w:val=" Char,Char"/>
    <w:basedOn w:val="a"/>
    <w:link w:val="Char3"/>
    <w:semiHidden/>
    <w:rsid w:val="00E07C77"/>
    <w:rPr>
      <w:sz w:val="20"/>
      <w:szCs w:val="20"/>
    </w:rPr>
  </w:style>
  <w:style w:type="character" w:styleId="ac">
    <w:name w:val="footnote reference"/>
    <w:semiHidden/>
    <w:rsid w:val="00E07C77"/>
    <w:rPr>
      <w:vertAlign w:val="superscript"/>
    </w:rPr>
  </w:style>
  <w:style w:type="character" w:styleId="ad">
    <w:name w:val="Emphasis"/>
    <w:qFormat/>
    <w:rsid w:val="00E07C77"/>
    <w:rPr>
      <w:i/>
      <w:iCs/>
    </w:rPr>
  </w:style>
  <w:style w:type="paragraph" w:styleId="ae">
    <w:name w:val="List Paragraph"/>
    <w:basedOn w:val="a"/>
    <w:uiPriority w:val="34"/>
    <w:qFormat/>
    <w:rsid w:val="00E07C77"/>
    <w:pPr>
      <w:ind w:left="720"/>
    </w:pPr>
  </w:style>
  <w:style w:type="character" w:styleId="af">
    <w:name w:val="annotation reference"/>
    <w:uiPriority w:val="99"/>
    <w:semiHidden/>
    <w:rsid w:val="00E07C77"/>
    <w:rPr>
      <w:sz w:val="16"/>
      <w:szCs w:val="16"/>
    </w:rPr>
  </w:style>
  <w:style w:type="paragraph" w:styleId="af0">
    <w:name w:val="annotation text"/>
    <w:basedOn w:val="a"/>
    <w:link w:val="Char4"/>
    <w:uiPriority w:val="99"/>
    <w:semiHidden/>
    <w:rsid w:val="00E07C77"/>
    <w:rPr>
      <w:sz w:val="20"/>
      <w:szCs w:val="20"/>
    </w:rPr>
  </w:style>
  <w:style w:type="paragraph" w:styleId="22">
    <w:name w:val="Body Text Indent 2"/>
    <w:basedOn w:val="a"/>
    <w:semiHidden/>
    <w:rsid w:val="00E07C77"/>
    <w:pPr>
      <w:spacing w:line="360" w:lineRule="auto"/>
      <w:ind w:left="360" w:firstLine="360"/>
      <w:jc w:val="both"/>
    </w:pPr>
  </w:style>
  <w:style w:type="paragraph" w:styleId="31">
    <w:name w:val="Body Text Indent 3"/>
    <w:basedOn w:val="a"/>
    <w:semiHidden/>
    <w:rsid w:val="00E07C77"/>
    <w:pPr>
      <w:spacing w:line="360" w:lineRule="auto"/>
      <w:ind w:firstLine="720"/>
      <w:jc w:val="both"/>
    </w:pPr>
  </w:style>
  <w:style w:type="character" w:styleId="-0">
    <w:name w:val="FollowedHyperlink"/>
    <w:semiHidden/>
    <w:rsid w:val="00E07C77"/>
    <w:rPr>
      <w:color w:val="800080"/>
      <w:u w:val="single"/>
    </w:rPr>
  </w:style>
  <w:style w:type="character" w:customStyle="1" w:styleId="hps">
    <w:name w:val="hps"/>
    <w:basedOn w:val="a0"/>
    <w:rsid w:val="00E07C77"/>
  </w:style>
  <w:style w:type="character" w:customStyle="1" w:styleId="st">
    <w:name w:val="st"/>
    <w:basedOn w:val="a0"/>
    <w:rsid w:val="00E07C77"/>
  </w:style>
  <w:style w:type="paragraph" w:styleId="af1">
    <w:name w:val="TOC Heading"/>
    <w:basedOn w:val="1"/>
    <w:next w:val="a"/>
    <w:qFormat/>
    <w:rsid w:val="00E07C77"/>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psatn">
    <w:name w:val="hps atn"/>
    <w:basedOn w:val="a0"/>
    <w:rsid w:val="00E07C77"/>
  </w:style>
  <w:style w:type="character" w:customStyle="1" w:styleId="CharChar2">
    <w:name w:val="Char Char2"/>
    <w:rsid w:val="00E07C77"/>
    <w:rPr>
      <w:b/>
      <w:i/>
      <w:sz w:val="24"/>
      <w:lang w:val="el-GR" w:eastAsia="el-GR" w:bidi="ar-SA"/>
    </w:rPr>
  </w:style>
  <w:style w:type="paragraph" w:styleId="af2">
    <w:name w:val="table of figures"/>
    <w:aliases w:val="Πίνακας Γραφημάτων"/>
    <w:basedOn w:val="a"/>
    <w:next w:val="a"/>
    <w:semiHidden/>
    <w:rsid w:val="00E07C77"/>
  </w:style>
  <w:style w:type="character" w:customStyle="1" w:styleId="CharChar">
    <w:name w:val="Char Char"/>
    <w:basedOn w:val="a0"/>
    <w:semiHidden/>
    <w:rsid w:val="00E07C77"/>
  </w:style>
  <w:style w:type="character" w:customStyle="1" w:styleId="CharChar1">
    <w:name w:val="Char Char1"/>
    <w:rsid w:val="00E07C77"/>
    <w:rPr>
      <w:sz w:val="24"/>
      <w:szCs w:val="24"/>
    </w:rPr>
  </w:style>
  <w:style w:type="character" w:customStyle="1" w:styleId="journalname">
    <w:name w:val="journalname"/>
    <w:basedOn w:val="a0"/>
    <w:rsid w:val="00E07C77"/>
  </w:style>
  <w:style w:type="character" w:customStyle="1" w:styleId="volume">
    <w:name w:val="volume"/>
    <w:basedOn w:val="a0"/>
    <w:rsid w:val="00E07C77"/>
  </w:style>
  <w:style w:type="character" w:customStyle="1" w:styleId="issue">
    <w:name w:val="issue"/>
    <w:basedOn w:val="a0"/>
    <w:rsid w:val="00E07C77"/>
  </w:style>
  <w:style w:type="character" w:customStyle="1" w:styleId="year">
    <w:name w:val="year"/>
    <w:basedOn w:val="a0"/>
    <w:rsid w:val="00E07C77"/>
  </w:style>
  <w:style w:type="table" w:styleId="af3">
    <w:name w:val="Table Grid"/>
    <w:basedOn w:val="a1"/>
    <w:uiPriority w:val="59"/>
    <w:rsid w:val="007248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
    <w:basedOn w:val="a1"/>
    <w:next w:val="af3"/>
    <w:uiPriority w:val="59"/>
    <w:rsid w:val="00065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E8A"/>
  </w:style>
  <w:style w:type="paragraph" w:styleId="40">
    <w:name w:val="toc 4"/>
    <w:basedOn w:val="a"/>
    <w:next w:val="a"/>
    <w:autoRedefine/>
    <w:uiPriority w:val="39"/>
    <w:unhideWhenUsed/>
    <w:rsid w:val="00F07A2C"/>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07A2C"/>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F07A2C"/>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F07A2C"/>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07A2C"/>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F07A2C"/>
    <w:pPr>
      <w:spacing w:after="100" w:line="276" w:lineRule="auto"/>
      <w:ind w:left="1760"/>
    </w:pPr>
    <w:rPr>
      <w:rFonts w:ascii="Calibri" w:hAnsi="Calibri"/>
      <w:sz w:val="22"/>
      <w:szCs w:val="22"/>
    </w:rPr>
  </w:style>
  <w:style w:type="paragraph" w:styleId="af4">
    <w:name w:val="No Spacing"/>
    <w:uiPriority w:val="1"/>
    <w:qFormat/>
    <w:rsid w:val="00E37C62"/>
    <w:rPr>
      <w:rFonts w:ascii="Calibri" w:hAnsi="Calibri"/>
      <w:sz w:val="22"/>
      <w:szCs w:val="22"/>
    </w:rPr>
  </w:style>
  <w:style w:type="character" w:styleId="af5">
    <w:name w:val="Placeholder Text"/>
    <w:uiPriority w:val="99"/>
    <w:semiHidden/>
    <w:rsid w:val="007719BD"/>
    <w:rPr>
      <w:color w:val="808080"/>
    </w:rPr>
  </w:style>
  <w:style w:type="character" w:customStyle="1" w:styleId="atn">
    <w:name w:val="atn"/>
    <w:basedOn w:val="a0"/>
    <w:rsid w:val="005075B2"/>
  </w:style>
  <w:style w:type="character" w:customStyle="1" w:styleId="longtext">
    <w:name w:val="long_text"/>
    <w:basedOn w:val="a0"/>
    <w:rsid w:val="005075B2"/>
  </w:style>
  <w:style w:type="character" w:customStyle="1" w:styleId="hpsalt-edited">
    <w:name w:val="hps alt-edited"/>
    <w:basedOn w:val="a0"/>
    <w:rsid w:val="005075B2"/>
  </w:style>
  <w:style w:type="paragraph" w:customStyle="1" w:styleId="Style3">
    <w:name w:val="Style3"/>
    <w:basedOn w:val="a"/>
    <w:rsid w:val="005075B2"/>
    <w:pPr>
      <w:widowControl w:val="0"/>
      <w:autoSpaceDE w:val="0"/>
      <w:autoSpaceDN w:val="0"/>
      <w:adjustRightInd w:val="0"/>
      <w:spacing w:line="319" w:lineRule="exact"/>
      <w:jc w:val="both"/>
    </w:pPr>
    <w:rPr>
      <w:rFonts w:ascii="Segoe UI" w:hAnsi="Segoe UI"/>
    </w:rPr>
  </w:style>
  <w:style w:type="character" w:customStyle="1" w:styleId="FontStyle30">
    <w:name w:val="Font Style30"/>
    <w:rsid w:val="005075B2"/>
    <w:rPr>
      <w:rFonts w:ascii="Segoe UI" w:hAnsi="Segoe UI" w:cs="Segoe UI"/>
      <w:sz w:val="18"/>
      <w:szCs w:val="18"/>
    </w:rPr>
  </w:style>
  <w:style w:type="paragraph" w:customStyle="1" w:styleId="Style2">
    <w:name w:val="Style2"/>
    <w:basedOn w:val="a"/>
    <w:rsid w:val="005075B2"/>
    <w:pPr>
      <w:widowControl w:val="0"/>
      <w:autoSpaceDE w:val="0"/>
      <w:autoSpaceDN w:val="0"/>
      <w:adjustRightInd w:val="0"/>
      <w:spacing w:line="158" w:lineRule="exact"/>
      <w:jc w:val="both"/>
    </w:pPr>
    <w:rPr>
      <w:rFonts w:ascii="Segoe UI" w:hAnsi="Segoe UI"/>
    </w:rPr>
  </w:style>
  <w:style w:type="paragraph" w:customStyle="1" w:styleId="Style7">
    <w:name w:val="Style7"/>
    <w:basedOn w:val="a"/>
    <w:rsid w:val="005075B2"/>
    <w:pPr>
      <w:widowControl w:val="0"/>
      <w:autoSpaceDE w:val="0"/>
      <w:autoSpaceDN w:val="0"/>
      <w:adjustRightInd w:val="0"/>
    </w:pPr>
    <w:rPr>
      <w:rFonts w:ascii="Segoe UI" w:hAnsi="Segoe UI"/>
    </w:rPr>
  </w:style>
  <w:style w:type="character" w:customStyle="1" w:styleId="FontStyle17">
    <w:name w:val="Font Style17"/>
    <w:rsid w:val="005075B2"/>
    <w:rPr>
      <w:rFonts w:ascii="Segoe UI" w:hAnsi="Segoe UI" w:cs="Segoe UI"/>
      <w:b/>
      <w:bCs/>
      <w:sz w:val="12"/>
      <w:szCs w:val="12"/>
    </w:rPr>
  </w:style>
  <w:style w:type="character" w:customStyle="1" w:styleId="FontStyle19">
    <w:name w:val="Font Style19"/>
    <w:rsid w:val="005075B2"/>
    <w:rPr>
      <w:rFonts w:ascii="Segoe UI" w:hAnsi="Segoe UI" w:cs="Segoe UI"/>
      <w:b/>
      <w:bCs/>
      <w:sz w:val="16"/>
      <w:szCs w:val="16"/>
    </w:rPr>
  </w:style>
  <w:style w:type="character" w:customStyle="1" w:styleId="FontStyle25">
    <w:name w:val="Font Style25"/>
    <w:rsid w:val="005075B2"/>
    <w:rPr>
      <w:rFonts w:ascii="Segoe UI" w:hAnsi="Segoe UI" w:cs="Segoe UI"/>
      <w:b/>
      <w:bCs/>
      <w:sz w:val="12"/>
      <w:szCs w:val="12"/>
    </w:rPr>
  </w:style>
  <w:style w:type="paragraph" w:customStyle="1" w:styleId="Style6">
    <w:name w:val="Style6"/>
    <w:basedOn w:val="a"/>
    <w:rsid w:val="005075B2"/>
    <w:pPr>
      <w:widowControl w:val="0"/>
      <w:autoSpaceDE w:val="0"/>
      <w:autoSpaceDN w:val="0"/>
      <w:adjustRightInd w:val="0"/>
      <w:spacing w:line="197" w:lineRule="exact"/>
      <w:jc w:val="both"/>
    </w:pPr>
    <w:rPr>
      <w:rFonts w:ascii="Segoe UI" w:hAnsi="Segoe UI"/>
    </w:rPr>
  </w:style>
  <w:style w:type="character" w:customStyle="1" w:styleId="FontStyle27">
    <w:name w:val="Font Style27"/>
    <w:rsid w:val="005075B2"/>
    <w:rPr>
      <w:rFonts w:ascii="Cambria" w:hAnsi="Cambria" w:cs="Cambria"/>
      <w:b/>
      <w:bCs/>
      <w:sz w:val="14"/>
      <w:szCs w:val="14"/>
    </w:rPr>
  </w:style>
  <w:style w:type="character" w:customStyle="1" w:styleId="FontStyle28">
    <w:name w:val="Font Style28"/>
    <w:rsid w:val="005075B2"/>
    <w:rPr>
      <w:rFonts w:ascii="Segoe UI" w:hAnsi="Segoe UI" w:cs="Segoe UI"/>
      <w:sz w:val="14"/>
      <w:szCs w:val="14"/>
    </w:rPr>
  </w:style>
  <w:style w:type="character" w:customStyle="1" w:styleId="FontStyle15">
    <w:name w:val="Font Style15"/>
    <w:rsid w:val="005075B2"/>
    <w:rPr>
      <w:rFonts w:ascii="Segoe UI" w:hAnsi="Segoe UI" w:cs="Segoe UI"/>
      <w:sz w:val="18"/>
      <w:szCs w:val="18"/>
    </w:rPr>
  </w:style>
  <w:style w:type="table" w:customStyle="1" w:styleId="32">
    <w:name w:val="Πλέγμα πίνακα3"/>
    <w:basedOn w:val="a1"/>
    <w:next w:val="af3"/>
    <w:rsid w:val="0050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Κείμενο υποσημείωσης Char"/>
    <w:aliases w:val=" Char Char,Char Char3"/>
    <w:basedOn w:val="a0"/>
    <w:link w:val="ab"/>
    <w:uiPriority w:val="99"/>
    <w:semiHidden/>
    <w:rsid w:val="006572C3"/>
  </w:style>
  <w:style w:type="character" w:customStyle="1" w:styleId="3Char">
    <w:name w:val="Επικεφαλίδα 3 Char"/>
    <w:basedOn w:val="a0"/>
    <w:link w:val="3"/>
    <w:rsid w:val="00022B4A"/>
    <w:rPr>
      <w:b/>
      <w:bCs/>
      <w:sz w:val="27"/>
      <w:szCs w:val="27"/>
      <w:lang w:val="en-GB" w:eastAsia="en-US"/>
    </w:rPr>
  </w:style>
  <w:style w:type="character" w:customStyle="1" w:styleId="FootnoteCharacters">
    <w:name w:val="Footnote Characters"/>
    <w:rsid w:val="00F83D84"/>
    <w:rPr>
      <w:vertAlign w:val="superscript"/>
    </w:rPr>
  </w:style>
  <w:style w:type="paragraph" w:styleId="af6">
    <w:name w:val="List"/>
    <w:basedOn w:val="a7"/>
    <w:rsid w:val="00F83D84"/>
    <w:pPr>
      <w:suppressAutoHyphens/>
      <w:autoSpaceDE w:val="0"/>
    </w:pPr>
    <w:rPr>
      <w:rFonts w:ascii="TimesNewRomanPSMT" w:hAnsi="TimesNewRomanPSMT" w:cs="Times New Roman"/>
      <w:b w:val="0"/>
      <w:bCs w:val="0"/>
      <w:i w:val="0"/>
      <w:sz w:val="24"/>
      <w:szCs w:val="24"/>
      <w:lang w:val="en-GB" w:eastAsia="ar-SA"/>
    </w:rPr>
  </w:style>
  <w:style w:type="character" w:customStyle="1" w:styleId="citation">
    <w:name w:val="citation"/>
    <w:basedOn w:val="a0"/>
    <w:rsid w:val="003C1734"/>
  </w:style>
  <w:style w:type="character" w:customStyle="1" w:styleId="mw-cite-backlink">
    <w:name w:val="mw-cite-backlink"/>
    <w:basedOn w:val="a0"/>
    <w:rsid w:val="003C1734"/>
  </w:style>
  <w:style w:type="character" w:customStyle="1" w:styleId="cite-accessibility-label">
    <w:name w:val="cite-accessibility-label"/>
    <w:basedOn w:val="a0"/>
    <w:rsid w:val="003C1734"/>
  </w:style>
  <w:style w:type="character" w:customStyle="1" w:styleId="Char4">
    <w:name w:val="Κείμενο σχολίου Char"/>
    <w:basedOn w:val="a0"/>
    <w:link w:val="af0"/>
    <w:uiPriority w:val="99"/>
    <w:semiHidden/>
    <w:rsid w:val="00C360FC"/>
  </w:style>
  <w:style w:type="paragraph" w:customStyle="1" w:styleId="Standard">
    <w:name w:val="Standard"/>
    <w:rsid w:val="006436E9"/>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a2"/>
    <w:rsid w:val="006436E9"/>
    <w:pPr>
      <w:numPr>
        <w:numId w:val="1"/>
      </w:numPr>
    </w:pPr>
  </w:style>
  <w:style w:type="table" w:customStyle="1" w:styleId="110">
    <w:name w:val="Μεσαία σκίαση 11"/>
    <w:basedOn w:val="a1"/>
    <w:uiPriority w:val="63"/>
    <w:rsid w:val="00052D3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7">
    <w:name w:val="endnote text"/>
    <w:basedOn w:val="a"/>
    <w:link w:val="Char5"/>
    <w:uiPriority w:val="99"/>
    <w:semiHidden/>
    <w:unhideWhenUsed/>
    <w:rsid w:val="00052D35"/>
    <w:rPr>
      <w:rFonts w:asciiTheme="minorHAnsi" w:eastAsiaTheme="minorHAnsi" w:hAnsiTheme="minorHAnsi" w:cstheme="minorBidi"/>
      <w:sz w:val="20"/>
      <w:szCs w:val="20"/>
      <w:lang w:eastAsia="en-US"/>
    </w:rPr>
  </w:style>
  <w:style w:type="character" w:customStyle="1" w:styleId="Char5">
    <w:name w:val="Κείμενο σημείωσης τέλους Char"/>
    <w:basedOn w:val="a0"/>
    <w:link w:val="af7"/>
    <w:uiPriority w:val="99"/>
    <w:semiHidden/>
    <w:rsid w:val="00052D35"/>
    <w:rPr>
      <w:rFonts w:asciiTheme="minorHAnsi" w:eastAsiaTheme="minorHAnsi" w:hAnsiTheme="minorHAnsi" w:cstheme="minorBidi"/>
      <w:lang w:eastAsia="en-US"/>
    </w:rPr>
  </w:style>
  <w:style w:type="character" w:styleId="af8">
    <w:name w:val="endnote reference"/>
    <w:basedOn w:val="a0"/>
    <w:uiPriority w:val="99"/>
    <w:semiHidden/>
    <w:unhideWhenUsed/>
    <w:rsid w:val="00052D35"/>
    <w:rPr>
      <w:vertAlign w:val="superscript"/>
    </w:rPr>
  </w:style>
  <w:style w:type="table" w:customStyle="1" w:styleId="12">
    <w:name w:val="Ανοιχτόχρωμο πλέγμα1"/>
    <w:basedOn w:val="a1"/>
    <w:uiPriority w:val="62"/>
    <w:rsid w:val="009C57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3">
    <w:name w:val="P3"/>
    <w:basedOn w:val="a"/>
    <w:hidden/>
    <w:rsid w:val="00EE6E12"/>
    <w:pPr>
      <w:widowControl w:val="0"/>
      <w:adjustRightInd w:val="0"/>
      <w:spacing w:after="120"/>
    </w:pPr>
    <w:rPr>
      <w:rFonts w:eastAsia="Arial1" w:cs="Tahoma"/>
      <w:szCs w:val="20"/>
    </w:rPr>
  </w:style>
  <w:style w:type="paragraph" w:customStyle="1" w:styleId="P4">
    <w:name w:val="P4"/>
    <w:basedOn w:val="a"/>
    <w:hidden/>
    <w:rsid w:val="00EE6E12"/>
    <w:pPr>
      <w:widowControl w:val="0"/>
      <w:adjustRightInd w:val="0"/>
      <w:spacing w:after="120"/>
    </w:pPr>
    <w:rPr>
      <w:rFonts w:eastAsia="Arial1" w:cs="Tahoma"/>
      <w:szCs w:val="20"/>
    </w:rPr>
  </w:style>
  <w:style w:type="paragraph" w:customStyle="1" w:styleId="P7">
    <w:name w:val="P7"/>
    <w:basedOn w:val="a"/>
    <w:hidden/>
    <w:rsid w:val="00EE6E12"/>
    <w:pPr>
      <w:widowControl w:val="0"/>
      <w:adjustRightInd w:val="0"/>
      <w:spacing w:after="120"/>
    </w:pPr>
    <w:rPr>
      <w:rFonts w:eastAsia="Arial1" w:cs="Tahoma"/>
      <w:szCs w:val="20"/>
    </w:rPr>
  </w:style>
  <w:style w:type="character" w:customStyle="1" w:styleId="T2">
    <w:name w:val="T2"/>
    <w:hidden/>
    <w:rsid w:val="00EE6E12"/>
  </w:style>
  <w:style w:type="character" w:customStyle="1" w:styleId="T4">
    <w:name w:val="T4"/>
    <w:hidden/>
    <w:rsid w:val="00EE6E12"/>
  </w:style>
  <w:style w:type="paragraph" w:styleId="af9">
    <w:name w:val="annotation subject"/>
    <w:basedOn w:val="af0"/>
    <w:next w:val="af0"/>
    <w:link w:val="Char6"/>
    <w:uiPriority w:val="99"/>
    <w:semiHidden/>
    <w:unhideWhenUsed/>
    <w:rsid w:val="00EC0474"/>
    <w:rPr>
      <w:b/>
      <w:bCs/>
    </w:rPr>
  </w:style>
  <w:style w:type="character" w:customStyle="1" w:styleId="Char6">
    <w:name w:val="Θέμα σχολίου Char"/>
    <w:basedOn w:val="Char4"/>
    <w:link w:val="af9"/>
    <w:uiPriority w:val="99"/>
    <w:semiHidden/>
    <w:rsid w:val="00EC0474"/>
    <w:rPr>
      <w:b/>
      <w:bCs/>
    </w:rPr>
  </w:style>
  <w:style w:type="table" w:customStyle="1" w:styleId="23">
    <w:name w:val="Πλέγμα πίνακα2"/>
    <w:basedOn w:val="a1"/>
    <w:next w:val="af3"/>
    <w:uiPriority w:val="59"/>
    <w:rsid w:val="00197B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573E3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
    <w:name w:val="Κείμενο πλαισίου Char"/>
    <w:basedOn w:val="a0"/>
    <w:link w:val="a3"/>
    <w:uiPriority w:val="99"/>
    <w:semiHidden/>
    <w:rsid w:val="009F7E1A"/>
    <w:rPr>
      <w:rFonts w:ascii="Tahoma" w:hAnsi="Tahoma" w:cs="Tahoma"/>
      <w:sz w:val="16"/>
      <w:szCs w:val="16"/>
    </w:rPr>
  </w:style>
  <w:style w:type="character" w:styleId="afa">
    <w:name w:val="Subtle Emphasis"/>
    <w:uiPriority w:val="19"/>
    <w:qFormat/>
    <w:rsid w:val="00D4417C"/>
    <w:rPr>
      <w:i/>
      <w:iCs/>
      <w:color w:val="5A5A5A"/>
    </w:rPr>
  </w:style>
  <w:style w:type="paragraph" w:styleId="33">
    <w:name w:val="Body Text 3"/>
    <w:basedOn w:val="a"/>
    <w:link w:val="3Char0"/>
    <w:uiPriority w:val="99"/>
    <w:semiHidden/>
    <w:unhideWhenUsed/>
    <w:rsid w:val="0020033D"/>
    <w:pPr>
      <w:spacing w:after="120"/>
    </w:pPr>
    <w:rPr>
      <w:sz w:val="16"/>
      <w:szCs w:val="16"/>
    </w:rPr>
  </w:style>
  <w:style w:type="character" w:customStyle="1" w:styleId="3Char0">
    <w:name w:val="Σώμα κείμενου 3 Char"/>
    <w:basedOn w:val="a0"/>
    <w:link w:val="33"/>
    <w:uiPriority w:val="99"/>
    <w:semiHidden/>
    <w:rsid w:val="0020033D"/>
    <w:rPr>
      <w:sz w:val="16"/>
      <w:szCs w:val="16"/>
    </w:rPr>
  </w:style>
  <w:style w:type="character" w:customStyle="1" w:styleId="9Char">
    <w:name w:val="Επικεφαλίδα 9 Char"/>
    <w:basedOn w:val="a0"/>
    <w:link w:val="9"/>
    <w:uiPriority w:val="9"/>
    <w:semiHidden/>
    <w:rsid w:val="0094350A"/>
    <w:rPr>
      <w:rFonts w:asciiTheme="majorHAnsi" w:eastAsiaTheme="majorEastAsia" w:hAnsiTheme="majorHAnsi" w:cstheme="majorBidi"/>
      <w:i/>
      <w:iCs/>
      <w:color w:val="404040" w:themeColor="text1" w:themeTint="BF"/>
    </w:rPr>
  </w:style>
  <w:style w:type="character" w:customStyle="1" w:styleId="Bodytext">
    <w:name w:val="Body text_"/>
    <w:basedOn w:val="a0"/>
    <w:link w:val="13"/>
    <w:rsid w:val="008B721E"/>
    <w:rPr>
      <w:rFonts w:ascii="Segoe UI" w:eastAsia="Segoe UI" w:hAnsi="Segoe UI" w:cs="Segoe UI"/>
      <w:sz w:val="15"/>
      <w:szCs w:val="15"/>
      <w:shd w:val="clear" w:color="auto" w:fill="FFFFFF"/>
    </w:rPr>
  </w:style>
  <w:style w:type="paragraph" w:customStyle="1" w:styleId="13">
    <w:name w:val="Σώμα κειμένου1"/>
    <w:basedOn w:val="a"/>
    <w:link w:val="Bodytext"/>
    <w:rsid w:val="008B721E"/>
    <w:pPr>
      <w:widowControl w:val="0"/>
      <w:shd w:val="clear" w:color="auto" w:fill="FFFFFF"/>
      <w:spacing w:before="60" w:after="2340" w:line="0" w:lineRule="atLeast"/>
      <w:ind w:hanging="460"/>
      <w:jc w:val="center"/>
    </w:pPr>
    <w:rPr>
      <w:rFonts w:ascii="Segoe UI" w:eastAsia="Segoe UI" w:hAnsi="Segoe UI" w:cs="Segoe UI"/>
      <w:sz w:val="15"/>
      <w:szCs w:val="15"/>
    </w:rPr>
  </w:style>
  <w:style w:type="character" w:customStyle="1" w:styleId="Bodytext5">
    <w:name w:val="Body text (5)_"/>
    <w:basedOn w:val="a0"/>
    <w:link w:val="Bodytext50"/>
    <w:rsid w:val="008B721E"/>
    <w:rPr>
      <w:rFonts w:ascii="Segoe UI" w:eastAsia="Segoe UI" w:hAnsi="Segoe UI" w:cs="Segoe UI"/>
      <w:b/>
      <w:bCs/>
      <w:sz w:val="15"/>
      <w:szCs w:val="15"/>
      <w:shd w:val="clear" w:color="auto" w:fill="FFFFFF"/>
    </w:rPr>
  </w:style>
  <w:style w:type="paragraph" w:customStyle="1" w:styleId="Bodytext50">
    <w:name w:val="Body text (5)"/>
    <w:basedOn w:val="a"/>
    <w:link w:val="Bodytext5"/>
    <w:rsid w:val="008B721E"/>
    <w:pPr>
      <w:widowControl w:val="0"/>
      <w:shd w:val="clear" w:color="auto" w:fill="FFFFFF"/>
      <w:spacing w:before="600" w:line="274" w:lineRule="exact"/>
    </w:pPr>
    <w:rPr>
      <w:rFonts w:ascii="Segoe UI" w:eastAsia="Segoe UI" w:hAnsi="Segoe UI" w:cs="Segoe UI"/>
      <w:b/>
      <w:bCs/>
      <w:sz w:val="15"/>
      <w:szCs w:val="15"/>
    </w:rPr>
  </w:style>
  <w:style w:type="character" w:customStyle="1" w:styleId="BodytextItalic">
    <w:name w:val="Body text + Italic"/>
    <w:basedOn w:val="Bodytext"/>
    <w:rsid w:val="008B721E"/>
    <w:rPr>
      <w:rFonts w:ascii="Segoe UI" w:eastAsia="Segoe UI" w:hAnsi="Segoe UI" w:cs="Segoe UI"/>
      <w:i/>
      <w:iCs/>
      <w:color w:val="000000"/>
      <w:spacing w:val="0"/>
      <w:w w:val="100"/>
      <w:position w:val="0"/>
      <w:sz w:val="15"/>
      <w:szCs w:val="15"/>
      <w:shd w:val="clear" w:color="auto" w:fill="FFFFFF"/>
      <w:lang w:val="el-GR"/>
    </w:rPr>
  </w:style>
  <w:style w:type="character" w:customStyle="1" w:styleId="Bodytext16">
    <w:name w:val="Body text (16)_"/>
    <w:basedOn w:val="a0"/>
    <w:link w:val="Bodytext160"/>
    <w:rsid w:val="008B721E"/>
    <w:rPr>
      <w:rFonts w:ascii="MS Reference Sans Serif" w:eastAsia="MS Reference Sans Serif" w:hAnsi="MS Reference Sans Serif" w:cs="MS Reference Sans Serif"/>
      <w:b/>
      <w:bCs/>
      <w:i/>
      <w:iCs/>
      <w:sz w:val="16"/>
      <w:szCs w:val="16"/>
      <w:shd w:val="clear" w:color="auto" w:fill="FFFFFF"/>
    </w:rPr>
  </w:style>
  <w:style w:type="paragraph" w:customStyle="1" w:styleId="Bodytext160">
    <w:name w:val="Body text (16)"/>
    <w:basedOn w:val="a"/>
    <w:link w:val="Bodytext16"/>
    <w:rsid w:val="008B721E"/>
    <w:pPr>
      <w:widowControl w:val="0"/>
      <w:shd w:val="clear" w:color="auto" w:fill="FFFFFF"/>
      <w:spacing w:line="0" w:lineRule="atLeast"/>
      <w:jc w:val="right"/>
    </w:pPr>
    <w:rPr>
      <w:rFonts w:ascii="MS Reference Sans Serif" w:eastAsia="MS Reference Sans Serif" w:hAnsi="MS Reference Sans Serif" w:cs="MS Reference Sans Serif"/>
      <w:b/>
      <w:bCs/>
      <w:i/>
      <w:iCs/>
      <w:sz w:val="16"/>
      <w:szCs w:val="16"/>
    </w:rPr>
  </w:style>
  <w:style w:type="character" w:customStyle="1" w:styleId="Bodytext18">
    <w:name w:val="Body text (18)_"/>
    <w:basedOn w:val="a0"/>
    <w:link w:val="Bodytext180"/>
    <w:rsid w:val="008B721E"/>
    <w:rPr>
      <w:rFonts w:ascii="Lucida Sans Unicode" w:eastAsia="Lucida Sans Unicode" w:hAnsi="Lucida Sans Unicode" w:cs="Lucida Sans Unicode"/>
      <w:sz w:val="16"/>
      <w:szCs w:val="16"/>
      <w:shd w:val="clear" w:color="auto" w:fill="FFFFFF"/>
    </w:rPr>
  </w:style>
  <w:style w:type="paragraph" w:customStyle="1" w:styleId="Bodytext180">
    <w:name w:val="Body text (18)"/>
    <w:basedOn w:val="a"/>
    <w:link w:val="Bodytext18"/>
    <w:rsid w:val="008B721E"/>
    <w:pPr>
      <w:widowControl w:val="0"/>
      <w:shd w:val="clear" w:color="auto" w:fill="FFFFFF"/>
      <w:spacing w:line="247" w:lineRule="exact"/>
      <w:jc w:val="both"/>
    </w:pPr>
    <w:rPr>
      <w:rFonts w:ascii="Lucida Sans Unicode" w:eastAsia="Lucida Sans Unicode" w:hAnsi="Lucida Sans Unicode" w:cs="Lucida Sans Unicode"/>
      <w:sz w:val="16"/>
      <w:szCs w:val="16"/>
    </w:rPr>
  </w:style>
  <w:style w:type="character" w:customStyle="1" w:styleId="Bodytext18Spacing0pt">
    <w:name w:val="Body text (18) + Spacing 0 pt"/>
    <w:basedOn w:val="Bodytext18"/>
    <w:rsid w:val="008B721E"/>
    <w:rPr>
      <w:rFonts w:ascii="Lucida Sans Unicode" w:eastAsia="Lucida Sans Unicode" w:hAnsi="Lucida Sans Unicode" w:cs="Lucida Sans Unicode"/>
      <w:color w:val="000000"/>
      <w:spacing w:val="-10"/>
      <w:w w:val="100"/>
      <w:position w:val="0"/>
      <w:sz w:val="16"/>
      <w:szCs w:val="16"/>
      <w:shd w:val="clear" w:color="auto" w:fill="FFFFFF"/>
      <w:lang w:val="el-GR"/>
    </w:rPr>
  </w:style>
  <w:style w:type="character" w:customStyle="1" w:styleId="BodytextItalicSpacing1pt">
    <w:name w:val="Body text + Italic;Spacing 1 pt"/>
    <w:basedOn w:val="Bodytext"/>
    <w:rsid w:val="008B721E"/>
    <w:rPr>
      <w:rFonts w:ascii="Segoe UI" w:eastAsia="Segoe UI" w:hAnsi="Segoe UI" w:cs="Segoe UI"/>
      <w:i/>
      <w:iCs/>
      <w:color w:val="000000"/>
      <w:spacing w:val="20"/>
      <w:w w:val="100"/>
      <w:position w:val="0"/>
      <w:sz w:val="15"/>
      <w:szCs w:val="15"/>
      <w:shd w:val="clear" w:color="auto" w:fill="FFFFFF"/>
      <w:lang w:val="en-US"/>
    </w:rPr>
  </w:style>
  <w:style w:type="character" w:customStyle="1" w:styleId="BodytextLucidaSansUnicode8pt">
    <w:name w:val="Body text + Lucida Sans Unicode;8 pt"/>
    <w:basedOn w:val="Bodytext"/>
    <w:rsid w:val="008B721E"/>
    <w:rPr>
      <w:rFonts w:ascii="Lucida Sans Unicode" w:eastAsia="Lucida Sans Unicode" w:hAnsi="Lucida Sans Unicode" w:cs="Lucida Sans Unicode"/>
      <w:color w:val="000000"/>
      <w:spacing w:val="0"/>
      <w:w w:val="100"/>
      <w:position w:val="0"/>
      <w:sz w:val="16"/>
      <w:szCs w:val="16"/>
      <w:shd w:val="clear" w:color="auto" w:fill="FFFFFF"/>
      <w:lang w:val="el-GR"/>
    </w:rPr>
  </w:style>
  <w:style w:type="character" w:customStyle="1" w:styleId="Tablecaption4">
    <w:name w:val="Table caption (4)_"/>
    <w:basedOn w:val="a0"/>
    <w:link w:val="Tablecaption40"/>
    <w:rsid w:val="008B721E"/>
    <w:rPr>
      <w:rFonts w:ascii="Segoe UI" w:eastAsia="Segoe UI" w:hAnsi="Segoe UI" w:cs="Segoe UI"/>
      <w:sz w:val="15"/>
      <w:szCs w:val="15"/>
      <w:shd w:val="clear" w:color="auto" w:fill="FFFFFF"/>
    </w:rPr>
  </w:style>
  <w:style w:type="paragraph" w:customStyle="1" w:styleId="Tablecaption40">
    <w:name w:val="Table caption (4)"/>
    <w:basedOn w:val="a"/>
    <w:link w:val="Tablecaption4"/>
    <w:rsid w:val="008B721E"/>
    <w:pPr>
      <w:widowControl w:val="0"/>
      <w:shd w:val="clear" w:color="auto" w:fill="FFFFFF"/>
      <w:spacing w:line="0" w:lineRule="atLeast"/>
    </w:pPr>
    <w:rPr>
      <w:rFonts w:ascii="Segoe UI" w:eastAsia="Segoe UI" w:hAnsi="Segoe UI" w:cs="Segoe UI"/>
      <w:sz w:val="15"/>
      <w:szCs w:val="15"/>
    </w:rPr>
  </w:style>
  <w:style w:type="character" w:customStyle="1" w:styleId="Bodytext7ptItalic">
    <w:name w:val="Body text + 7 pt;Italic"/>
    <w:basedOn w:val="Bodytext"/>
    <w:rsid w:val="008B721E"/>
    <w:rPr>
      <w:rFonts w:ascii="Segoe UI" w:eastAsia="Segoe UI" w:hAnsi="Segoe UI" w:cs="Segoe UI"/>
      <w:i/>
      <w:iCs/>
      <w:color w:val="000000"/>
      <w:spacing w:val="0"/>
      <w:w w:val="100"/>
      <w:position w:val="0"/>
      <w:sz w:val="14"/>
      <w:szCs w:val="14"/>
      <w:shd w:val="clear" w:color="auto" w:fill="FFFFFF"/>
      <w:lang w:val="el-GR"/>
    </w:rPr>
  </w:style>
  <w:style w:type="table" w:styleId="24">
    <w:name w:val="Table Colorful 2"/>
    <w:basedOn w:val="a1"/>
    <w:rsid w:val="009B2D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style-span">
    <w:name w:val="apple-style-span"/>
    <w:basedOn w:val="a0"/>
    <w:rsid w:val="008C052C"/>
  </w:style>
  <w:style w:type="character" w:customStyle="1" w:styleId="item-source">
    <w:name w:val="item-source"/>
    <w:basedOn w:val="a0"/>
    <w:rsid w:val="002F7261"/>
  </w:style>
  <w:style w:type="character" w:customStyle="1" w:styleId="edition">
    <w:name w:val="edition"/>
    <w:basedOn w:val="a0"/>
    <w:rsid w:val="002F7261"/>
  </w:style>
  <w:style w:type="paragraph" w:styleId="afb">
    <w:name w:val="Revision"/>
    <w:hidden/>
    <w:uiPriority w:val="99"/>
    <w:semiHidden/>
    <w:rsid w:val="0000237C"/>
    <w:rPr>
      <w:sz w:val="24"/>
      <w:szCs w:val="24"/>
    </w:rPr>
  </w:style>
  <w:style w:type="table" w:customStyle="1" w:styleId="-11">
    <w:name w:val="Ανοιχτόχρωμη σκίαση - Έμφαση 11"/>
    <w:basedOn w:val="a1"/>
    <w:uiPriority w:val="60"/>
    <w:rsid w:val="005045C8"/>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ull">
    <w:name w:val="null"/>
    <w:basedOn w:val="a0"/>
    <w:rsid w:val="000C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2E4513"/>
    <w:rPr>
      <w:sz w:val="24"/>
      <w:szCs w:val="24"/>
    </w:rPr>
  </w:style>
  <w:style w:type="paragraph" w:styleId="1">
    <w:name w:val="heading 1"/>
    <w:basedOn w:val="a"/>
    <w:next w:val="a"/>
    <w:qFormat/>
    <w:rsid w:val="00E07C77"/>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E07C77"/>
    <w:pPr>
      <w:keepNext/>
      <w:spacing w:before="240" w:after="60"/>
      <w:outlineLvl w:val="1"/>
    </w:pPr>
    <w:rPr>
      <w:rFonts w:ascii="Arial" w:hAnsi="Arial" w:cs="Arial"/>
      <w:b/>
      <w:bCs/>
      <w:i/>
      <w:iCs/>
      <w:sz w:val="28"/>
      <w:szCs w:val="28"/>
    </w:rPr>
  </w:style>
  <w:style w:type="paragraph" w:styleId="3">
    <w:name w:val="heading 3"/>
    <w:basedOn w:val="a"/>
    <w:link w:val="3Char"/>
    <w:qFormat/>
    <w:rsid w:val="00E07C77"/>
    <w:pPr>
      <w:spacing w:before="100" w:beforeAutospacing="1" w:after="100" w:afterAutospacing="1"/>
      <w:outlineLvl w:val="2"/>
    </w:pPr>
    <w:rPr>
      <w:b/>
      <w:bCs/>
      <w:sz w:val="27"/>
      <w:szCs w:val="27"/>
      <w:lang w:val="en-GB" w:eastAsia="en-US"/>
    </w:rPr>
  </w:style>
  <w:style w:type="paragraph" w:styleId="4">
    <w:name w:val="heading 4"/>
    <w:basedOn w:val="a"/>
    <w:next w:val="a"/>
    <w:qFormat/>
    <w:rsid w:val="00E07C77"/>
    <w:pPr>
      <w:keepNext/>
      <w:outlineLvl w:val="3"/>
    </w:pPr>
    <w:rPr>
      <w:b/>
      <w:szCs w:val="20"/>
    </w:rPr>
  </w:style>
  <w:style w:type="paragraph" w:styleId="5">
    <w:name w:val="heading 5"/>
    <w:basedOn w:val="a"/>
    <w:next w:val="a"/>
    <w:qFormat/>
    <w:rsid w:val="00E07C77"/>
    <w:pPr>
      <w:keepNext/>
      <w:jc w:val="center"/>
      <w:outlineLvl w:val="4"/>
    </w:pPr>
    <w:rPr>
      <w:b/>
      <w:i/>
      <w:szCs w:val="20"/>
    </w:rPr>
  </w:style>
  <w:style w:type="paragraph" w:styleId="6">
    <w:name w:val="heading 6"/>
    <w:basedOn w:val="a"/>
    <w:next w:val="a"/>
    <w:qFormat/>
    <w:rsid w:val="00E07C77"/>
    <w:pPr>
      <w:keepNext/>
      <w:spacing w:line="360" w:lineRule="auto"/>
      <w:ind w:left="360"/>
      <w:jc w:val="both"/>
      <w:outlineLvl w:val="5"/>
    </w:pPr>
    <w:rPr>
      <w:b/>
      <w:bCs/>
      <w:u w:val="single"/>
    </w:rPr>
  </w:style>
  <w:style w:type="paragraph" w:styleId="7">
    <w:name w:val="heading 7"/>
    <w:basedOn w:val="a"/>
    <w:next w:val="a"/>
    <w:qFormat/>
    <w:rsid w:val="00E07C77"/>
    <w:pPr>
      <w:keepNext/>
      <w:spacing w:line="360" w:lineRule="auto"/>
      <w:jc w:val="both"/>
      <w:outlineLvl w:val="6"/>
    </w:pPr>
    <w:rPr>
      <w:b/>
      <w:bCs/>
    </w:rPr>
  </w:style>
  <w:style w:type="paragraph" w:styleId="9">
    <w:name w:val="heading 9"/>
    <w:basedOn w:val="a"/>
    <w:next w:val="a"/>
    <w:link w:val="9Char"/>
    <w:uiPriority w:val="9"/>
    <w:semiHidden/>
    <w:unhideWhenUsed/>
    <w:qFormat/>
    <w:rsid w:val="009435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65BB8"/>
    <w:rPr>
      <w:rFonts w:ascii="Arial" w:hAnsi="Arial" w:cs="Arial"/>
      <w:b/>
      <w:bCs/>
      <w:i/>
      <w:iCs/>
      <w:sz w:val="28"/>
      <w:szCs w:val="28"/>
    </w:rPr>
  </w:style>
  <w:style w:type="paragraph" w:customStyle="1" w:styleId="Default">
    <w:name w:val="Default"/>
    <w:rsid w:val="00E07C77"/>
    <w:pPr>
      <w:autoSpaceDE w:val="0"/>
      <w:autoSpaceDN w:val="0"/>
      <w:adjustRightInd w:val="0"/>
    </w:pPr>
    <w:rPr>
      <w:color w:val="000000"/>
      <w:sz w:val="24"/>
      <w:szCs w:val="24"/>
    </w:rPr>
  </w:style>
  <w:style w:type="paragraph" w:styleId="a3">
    <w:name w:val="Balloon Text"/>
    <w:basedOn w:val="a"/>
    <w:link w:val="Char"/>
    <w:uiPriority w:val="99"/>
    <w:semiHidden/>
    <w:rsid w:val="00E07C77"/>
    <w:rPr>
      <w:rFonts w:ascii="Tahoma" w:hAnsi="Tahoma" w:cs="Tahoma"/>
      <w:sz w:val="16"/>
      <w:szCs w:val="16"/>
    </w:rPr>
  </w:style>
  <w:style w:type="paragraph" w:styleId="a4">
    <w:name w:val="footer"/>
    <w:basedOn w:val="a"/>
    <w:link w:val="Char0"/>
    <w:uiPriority w:val="99"/>
    <w:rsid w:val="00E07C77"/>
    <w:pPr>
      <w:tabs>
        <w:tab w:val="center" w:pos="4153"/>
        <w:tab w:val="right" w:pos="8306"/>
      </w:tabs>
    </w:pPr>
  </w:style>
  <w:style w:type="character" w:customStyle="1" w:styleId="Char0">
    <w:name w:val="Υποσέλιδο Char"/>
    <w:link w:val="a4"/>
    <w:uiPriority w:val="99"/>
    <w:rsid w:val="005075B2"/>
    <w:rPr>
      <w:sz w:val="24"/>
      <w:szCs w:val="24"/>
    </w:rPr>
  </w:style>
  <w:style w:type="character" w:styleId="a5">
    <w:name w:val="page number"/>
    <w:basedOn w:val="a0"/>
    <w:rsid w:val="00E07C77"/>
  </w:style>
  <w:style w:type="character" w:styleId="-">
    <w:name w:val="Hyperlink"/>
    <w:uiPriority w:val="99"/>
    <w:rsid w:val="00E07C77"/>
    <w:rPr>
      <w:color w:val="0000FF"/>
      <w:u w:val="single"/>
    </w:rPr>
  </w:style>
  <w:style w:type="paragraph" w:styleId="10">
    <w:name w:val="toc 1"/>
    <w:basedOn w:val="a"/>
    <w:next w:val="a"/>
    <w:autoRedefine/>
    <w:uiPriority w:val="39"/>
    <w:qFormat/>
    <w:rsid w:val="00E07C77"/>
    <w:pPr>
      <w:tabs>
        <w:tab w:val="right" w:leader="dot" w:pos="8296"/>
      </w:tabs>
      <w:ind w:left="180"/>
    </w:pPr>
    <w:rPr>
      <w:noProof/>
    </w:rPr>
  </w:style>
  <w:style w:type="paragraph" w:styleId="20">
    <w:name w:val="toc 2"/>
    <w:basedOn w:val="a"/>
    <w:next w:val="a"/>
    <w:autoRedefine/>
    <w:uiPriority w:val="39"/>
    <w:qFormat/>
    <w:rsid w:val="00E07C77"/>
    <w:pPr>
      <w:ind w:left="240"/>
    </w:pPr>
  </w:style>
  <w:style w:type="character" w:customStyle="1" w:styleId="1Char">
    <w:name w:val="Επικεφαλίδα 1 Char"/>
    <w:rsid w:val="00E07C77"/>
    <w:rPr>
      <w:rFonts w:ascii="Arial" w:hAnsi="Arial" w:cs="Arial"/>
      <w:b/>
      <w:bCs/>
      <w:kern w:val="32"/>
      <w:sz w:val="32"/>
      <w:szCs w:val="32"/>
      <w:lang w:val="el-GR" w:eastAsia="el-GR" w:bidi="ar-SA"/>
    </w:rPr>
  </w:style>
  <w:style w:type="paragraph" w:styleId="a6">
    <w:name w:val="caption"/>
    <w:basedOn w:val="a"/>
    <w:next w:val="a"/>
    <w:uiPriority w:val="35"/>
    <w:qFormat/>
    <w:rsid w:val="00E07C77"/>
    <w:pPr>
      <w:ind w:right="-4440"/>
    </w:pPr>
    <w:rPr>
      <w:b/>
      <w:sz w:val="28"/>
      <w:szCs w:val="20"/>
    </w:rPr>
  </w:style>
  <w:style w:type="paragraph" w:styleId="a7">
    <w:name w:val="Body Text"/>
    <w:basedOn w:val="a"/>
    <w:link w:val="Char1"/>
    <w:semiHidden/>
    <w:rsid w:val="00E07C77"/>
    <w:pPr>
      <w:jc w:val="both"/>
    </w:pPr>
    <w:rPr>
      <w:rFonts w:ascii="Arial" w:hAnsi="Arial" w:cs="Arial"/>
      <w:b/>
      <w:bCs/>
      <w:i/>
      <w:sz w:val="32"/>
      <w:szCs w:val="32"/>
    </w:rPr>
  </w:style>
  <w:style w:type="character" w:customStyle="1" w:styleId="Char1">
    <w:name w:val="Σώμα κειμένου Char"/>
    <w:link w:val="a7"/>
    <w:semiHidden/>
    <w:rsid w:val="00154433"/>
    <w:rPr>
      <w:rFonts w:ascii="Arial" w:hAnsi="Arial" w:cs="Arial"/>
      <w:b/>
      <w:bCs/>
      <w:i/>
      <w:sz w:val="32"/>
      <w:szCs w:val="32"/>
    </w:rPr>
  </w:style>
  <w:style w:type="character" w:styleId="a8">
    <w:name w:val="Strong"/>
    <w:uiPriority w:val="22"/>
    <w:qFormat/>
    <w:rsid w:val="00E07C77"/>
    <w:rPr>
      <w:b/>
      <w:bCs/>
    </w:rPr>
  </w:style>
  <w:style w:type="paragraph" w:styleId="Web">
    <w:name w:val="Normal (Web)"/>
    <w:basedOn w:val="a"/>
    <w:uiPriority w:val="99"/>
    <w:semiHidden/>
    <w:rsid w:val="00E07C77"/>
    <w:pPr>
      <w:spacing w:before="100" w:beforeAutospacing="1" w:after="100" w:afterAutospacing="1"/>
    </w:pPr>
    <w:rPr>
      <w:lang w:val="en-GB" w:eastAsia="en-US"/>
    </w:rPr>
  </w:style>
  <w:style w:type="paragraph" w:styleId="30">
    <w:name w:val="toc 3"/>
    <w:basedOn w:val="a"/>
    <w:next w:val="a"/>
    <w:autoRedefine/>
    <w:uiPriority w:val="39"/>
    <w:qFormat/>
    <w:rsid w:val="00E07C77"/>
    <w:pPr>
      <w:ind w:left="480"/>
    </w:pPr>
  </w:style>
  <w:style w:type="paragraph" w:styleId="21">
    <w:name w:val="Body Text 2"/>
    <w:basedOn w:val="a"/>
    <w:semiHidden/>
    <w:rsid w:val="00E07C77"/>
    <w:pPr>
      <w:spacing w:line="360" w:lineRule="auto"/>
      <w:jc w:val="both"/>
    </w:pPr>
  </w:style>
  <w:style w:type="paragraph" w:styleId="a9">
    <w:name w:val="Body Text Indent"/>
    <w:basedOn w:val="a"/>
    <w:semiHidden/>
    <w:rsid w:val="00E07C77"/>
    <w:pPr>
      <w:spacing w:before="100" w:beforeAutospacing="1" w:after="100" w:afterAutospacing="1" w:line="360" w:lineRule="auto"/>
      <w:ind w:left="360"/>
      <w:jc w:val="both"/>
    </w:pPr>
    <w:rPr>
      <w:rFonts w:ascii="Tahoma" w:eastAsia="Batang" w:hAnsi="Tahoma" w:cs="Tahoma"/>
    </w:rPr>
  </w:style>
  <w:style w:type="paragraph" w:styleId="aa">
    <w:name w:val="header"/>
    <w:basedOn w:val="a"/>
    <w:link w:val="Char2"/>
    <w:uiPriority w:val="99"/>
    <w:rsid w:val="00E07C77"/>
    <w:pPr>
      <w:tabs>
        <w:tab w:val="center" w:pos="4153"/>
        <w:tab w:val="right" w:pos="8306"/>
      </w:tabs>
    </w:pPr>
  </w:style>
  <w:style w:type="character" w:customStyle="1" w:styleId="Char2">
    <w:name w:val="Κεφαλίδα Char"/>
    <w:link w:val="aa"/>
    <w:uiPriority w:val="99"/>
    <w:rsid w:val="005075B2"/>
    <w:rPr>
      <w:sz w:val="24"/>
      <w:szCs w:val="24"/>
    </w:rPr>
  </w:style>
  <w:style w:type="character" w:styleId="HTML">
    <w:name w:val="HTML Cite"/>
    <w:semiHidden/>
    <w:unhideWhenUsed/>
    <w:rsid w:val="00E07C77"/>
    <w:rPr>
      <w:i/>
      <w:iCs/>
    </w:rPr>
  </w:style>
  <w:style w:type="paragraph" w:styleId="ab">
    <w:name w:val="footnote text"/>
    <w:aliases w:val=" Char,Char"/>
    <w:basedOn w:val="a"/>
    <w:link w:val="Char3"/>
    <w:semiHidden/>
    <w:rsid w:val="00E07C77"/>
    <w:rPr>
      <w:sz w:val="20"/>
      <w:szCs w:val="20"/>
    </w:rPr>
  </w:style>
  <w:style w:type="character" w:styleId="ac">
    <w:name w:val="footnote reference"/>
    <w:semiHidden/>
    <w:rsid w:val="00E07C77"/>
    <w:rPr>
      <w:vertAlign w:val="superscript"/>
    </w:rPr>
  </w:style>
  <w:style w:type="character" w:styleId="ad">
    <w:name w:val="Emphasis"/>
    <w:qFormat/>
    <w:rsid w:val="00E07C77"/>
    <w:rPr>
      <w:i/>
      <w:iCs/>
    </w:rPr>
  </w:style>
  <w:style w:type="paragraph" w:styleId="ae">
    <w:name w:val="List Paragraph"/>
    <w:basedOn w:val="a"/>
    <w:uiPriority w:val="34"/>
    <w:qFormat/>
    <w:rsid w:val="00E07C77"/>
    <w:pPr>
      <w:ind w:left="720"/>
    </w:pPr>
  </w:style>
  <w:style w:type="character" w:styleId="af">
    <w:name w:val="annotation reference"/>
    <w:uiPriority w:val="99"/>
    <w:semiHidden/>
    <w:rsid w:val="00E07C77"/>
    <w:rPr>
      <w:sz w:val="16"/>
      <w:szCs w:val="16"/>
    </w:rPr>
  </w:style>
  <w:style w:type="paragraph" w:styleId="af0">
    <w:name w:val="annotation text"/>
    <w:basedOn w:val="a"/>
    <w:link w:val="Char4"/>
    <w:uiPriority w:val="99"/>
    <w:semiHidden/>
    <w:rsid w:val="00E07C77"/>
    <w:rPr>
      <w:sz w:val="20"/>
      <w:szCs w:val="20"/>
    </w:rPr>
  </w:style>
  <w:style w:type="paragraph" w:styleId="22">
    <w:name w:val="Body Text Indent 2"/>
    <w:basedOn w:val="a"/>
    <w:semiHidden/>
    <w:rsid w:val="00E07C77"/>
    <w:pPr>
      <w:spacing w:line="360" w:lineRule="auto"/>
      <w:ind w:left="360" w:firstLine="360"/>
      <w:jc w:val="both"/>
    </w:pPr>
  </w:style>
  <w:style w:type="paragraph" w:styleId="31">
    <w:name w:val="Body Text Indent 3"/>
    <w:basedOn w:val="a"/>
    <w:semiHidden/>
    <w:rsid w:val="00E07C77"/>
    <w:pPr>
      <w:spacing w:line="360" w:lineRule="auto"/>
      <w:ind w:firstLine="720"/>
      <w:jc w:val="both"/>
    </w:pPr>
  </w:style>
  <w:style w:type="character" w:styleId="-0">
    <w:name w:val="FollowedHyperlink"/>
    <w:semiHidden/>
    <w:rsid w:val="00E07C77"/>
    <w:rPr>
      <w:color w:val="800080"/>
      <w:u w:val="single"/>
    </w:rPr>
  </w:style>
  <w:style w:type="character" w:customStyle="1" w:styleId="hps">
    <w:name w:val="hps"/>
    <w:basedOn w:val="a0"/>
    <w:rsid w:val="00E07C77"/>
  </w:style>
  <w:style w:type="character" w:customStyle="1" w:styleId="st">
    <w:name w:val="st"/>
    <w:basedOn w:val="a0"/>
    <w:rsid w:val="00E07C77"/>
  </w:style>
  <w:style w:type="paragraph" w:styleId="af1">
    <w:name w:val="TOC Heading"/>
    <w:basedOn w:val="1"/>
    <w:next w:val="a"/>
    <w:qFormat/>
    <w:rsid w:val="00E07C77"/>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psatn">
    <w:name w:val="hps atn"/>
    <w:basedOn w:val="a0"/>
    <w:rsid w:val="00E07C77"/>
  </w:style>
  <w:style w:type="character" w:customStyle="1" w:styleId="CharChar2">
    <w:name w:val="Char Char2"/>
    <w:rsid w:val="00E07C77"/>
    <w:rPr>
      <w:b/>
      <w:i/>
      <w:sz w:val="24"/>
      <w:lang w:val="el-GR" w:eastAsia="el-GR" w:bidi="ar-SA"/>
    </w:rPr>
  </w:style>
  <w:style w:type="paragraph" w:styleId="af2">
    <w:name w:val="table of figures"/>
    <w:aliases w:val="Πίνακας Γραφημάτων"/>
    <w:basedOn w:val="a"/>
    <w:next w:val="a"/>
    <w:semiHidden/>
    <w:rsid w:val="00E07C77"/>
  </w:style>
  <w:style w:type="character" w:customStyle="1" w:styleId="CharChar">
    <w:name w:val="Char Char"/>
    <w:basedOn w:val="a0"/>
    <w:semiHidden/>
    <w:rsid w:val="00E07C77"/>
  </w:style>
  <w:style w:type="character" w:customStyle="1" w:styleId="CharChar1">
    <w:name w:val="Char Char1"/>
    <w:rsid w:val="00E07C77"/>
    <w:rPr>
      <w:sz w:val="24"/>
      <w:szCs w:val="24"/>
    </w:rPr>
  </w:style>
  <w:style w:type="character" w:customStyle="1" w:styleId="journalname">
    <w:name w:val="journalname"/>
    <w:basedOn w:val="a0"/>
    <w:rsid w:val="00E07C77"/>
  </w:style>
  <w:style w:type="character" w:customStyle="1" w:styleId="volume">
    <w:name w:val="volume"/>
    <w:basedOn w:val="a0"/>
    <w:rsid w:val="00E07C77"/>
  </w:style>
  <w:style w:type="character" w:customStyle="1" w:styleId="issue">
    <w:name w:val="issue"/>
    <w:basedOn w:val="a0"/>
    <w:rsid w:val="00E07C77"/>
  </w:style>
  <w:style w:type="character" w:customStyle="1" w:styleId="year">
    <w:name w:val="year"/>
    <w:basedOn w:val="a0"/>
    <w:rsid w:val="00E07C77"/>
  </w:style>
  <w:style w:type="table" w:styleId="af3">
    <w:name w:val="Table Grid"/>
    <w:basedOn w:val="a1"/>
    <w:uiPriority w:val="59"/>
    <w:rsid w:val="00724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next w:val="af3"/>
    <w:uiPriority w:val="59"/>
    <w:rsid w:val="00065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3E8A"/>
  </w:style>
  <w:style w:type="paragraph" w:styleId="40">
    <w:name w:val="toc 4"/>
    <w:basedOn w:val="a"/>
    <w:next w:val="a"/>
    <w:autoRedefine/>
    <w:uiPriority w:val="39"/>
    <w:unhideWhenUsed/>
    <w:rsid w:val="00F07A2C"/>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F07A2C"/>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F07A2C"/>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F07A2C"/>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07A2C"/>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F07A2C"/>
    <w:pPr>
      <w:spacing w:after="100" w:line="276" w:lineRule="auto"/>
      <w:ind w:left="1760"/>
    </w:pPr>
    <w:rPr>
      <w:rFonts w:ascii="Calibri" w:hAnsi="Calibri"/>
      <w:sz w:val="22"/>
      <w:szCs w:val="22"/>
    </w:rPr>
  </w:style>
  <w:style w:type="paragraph" w:styleId="af4">
    <w:name w:val="No Spacing"/>
    <w:uiPriority w:val="1"/>
    <w:qFormat/>
    <w:rsid w:val="00E37C62"/>
    <w:rPr>
      <w:rFonts w:ascii="Calibri" w:hAnsi="Calibri"/>
      <w:sz w:val="22"/>
      <w:szCs w:val="22"/>
    </w:rPr>
  </w:style>
  <w:style w:type="character" w:styleId="af5">
    <w:name w:val="Placeholder Text"/>
    <w:uiPriority w:val="99"/>
    <w:semiHidden/>
    <w:rsid w:val="007719BD"/>
    <w:rPr>
      <w:color w:val="808080"/>
    </w:rPr>
  </w:style>
  <w:style w:type="character" w:customStyle="1" w:styleId="atn">
    <w:name w:val="atn"/>
    <w:basedOn w:val="a0"/>
    <w:rsid w:val="005075B2"/>
  </w:style>
  <w:style w:type="character" w:customStyle="1" w:styleId="longtext">
    <w:name w:val="long_text"/>
    <w:basedOn w:val="a0"/>
    <w:rsid w:val="005075B2"/>
  </w:style>
  <w:style w:type="character" w:customStyle="1" w:styleId="hpsalt-edited">
    <w:name w:val="hps alt-edited"/>
    <w:basedOn w:val="a0"/>
    <w:rsid w:val="005075B2"/>
  </w:style>
  <w:style w:type="paragraph" w:customStyle="1" w:styleId="Style3">
    <w:name w:val="Style3"/>
    <w:basedOn w:val="a"/>
    <w:rsid w:val="005075B2"/>
    <w:pPr>
      <w:widowControl w:val="0"/>
      <w:autoSpaceDE w:val="0"/>
      <w:autoSpaceDN w:val="0"/>
      <w:adjustRightInd w:val="0"/>
      <w:spacing w:line="319" w:lineRule="exact"/>
      <w:jc w:val="both"/>
    </w:pPr>
    <w:rPr>
      <w:rFonts w:ascii="Segoe UI" w:hAnsi="Segoe UI"/>
    </w:rPr>
  </w:style>
  <w:style w:type="character" w:customStyle="1" w:styleId="FontStyle30">
    <w:name w:val="Font Style30"/>
    <w:rsid w:val="005075B2"/>
    <w:rPr>
      <w:rFonts w:ascii="Segoe UI" w:hAnsi="Segoe UI" w:cs="Segoe UI"/>
      <w:sz w:val="18"/>
      <w:szCs w:val="18"/>
    </w:rPr>
  </w:style>
  <w:style w:type="paragraph" w:customStyle="1" w:styleId="Style2">
    <w:name w:val="Style2"/>
    <w:basedOn w:val="a"/>
    <w:rsid w:val="005075B2"/>
    <w:pPr>
      <w:widowControl w:val="0"/>
      <w:autoSpaceDE w:val="0"/>
      <w:autoSpaceDN w:val="0"/>
      <w:adjustRightInd w:val="0"/>
      <w:spacing w:line="158" w:lineRule="exact"/>
      <w:jc w:val="both"/>
    </w:pPr>
    <w:rPr>
      <w:rFonts w:ascii="Segoe UI" w:hAnsi="Segoe UI"/>
    </w:rPr>
  </w:style>
  <w:style w:type="paragraph" w:customStyle="1" w:styleId="Style7">
    <w:name w:val="Style7"/>
    <w:basedOn w:val="a"/>
    <w:rsid w:val="005075B2"/>
    <w:pPr>
      <w:widowControl w:val="0"/>
      <w:autoSpaceDE w:val="0"/>
      <w:autoSpaceDN w:val="0"/>
      <w:adjustRightInd w:val="0"/>
    </w:pPr>
    <w:rPr>
      <w:rFonts w:ascii="Segoe UI" w:hAnsi="Segoe UI"/>
    </w:rPr>
  </w:style>
  <w:style w:type="character" w:customStyle="1" w:styleId="FontStyle17">
    <w:name w:val="Font Style17"/>
    <w:rsid w:val="005075B2"/>
    <w:rPr>
      <w:rFonts w:ascii="Segoe UI" w:hAnsi="Segoe UI" w:cs="Segoe UI"/>
      <w:b/>
      <w:bCs/>
      <w:sz w:val="12"/>
      <w:szCs w:val="12"/>
    </w:rPr>
  </w:style>
  <w:style w:type="character" w:customStyle="1" w:styleId="FontStyle19">
    <w:name w:val="Font Style19"/>
    <w:rsid w:val="005075B2"/>
    <w:rPr>
      <w:rFonts w:ascii="Segoe UI" w:hAnsi="Segoe UI" w:cs="Segoe UI"/>
      <w:b/>
      <w:bCs/>
      <w:sz w:val="16"/>
      <w:szCs w:val="16"/>
    </w:rPr>
  </w:style>
  <w:style w:type="character" w:customStyle="1" w:styleId="FontStyle25">
    <w:name w:val="Font Style25"/>
    <w:rsid w:val="005075B2"/>
    <w:rPr>
      <w:rFonts w:ascii="Segoe UI" w:hAnsi="Segoe UI" w:cs="Segoe UI"/>
      <w:b/>
      <w:bCs/>
      <w:sz w:val="12"/>
      <w:szCs w:val="12"/>
    </w:rPr>
  </w:style>
  <w:style w:type="paragraph" w:customStyle="1" w:styleId="Style6">
    <w:name w:val="Style6"/>
    <w:basedOn w:val="a"/>
    <w:rsid w:val="005075B2"/>
    <w:pPr>
      <w:widowControl w:val="0"/>
      <w:autoSpaceDE w:val="0"/>
      <w:autoSpaceDN w:val="0"/>
      <w:adjustRightInd w:val="0"/>
      <w:spacing w:line="197" w:lineRule="exact"/>
      <w:jc w:val="both"/>
    </w:pPr>
    <w:rPr>
      <w:rFonts w:ascii="Segoe UI" w:hAnsi="Segoe UI"/>
    </w:rPr>
  </w:style>
  <w:style w:type="character" w:customStyle="1" w:styleId="FontStyle27">
    <w:name w:val="Font Style27"/>
    <w:rsid w:val="005075B2"/>
    <w:rPr>
      <w:rFonts w:ascii="Cambria" w:hAnsi="Cambria" w:cs="Cambria"/>
      <w:b/>
      <w:bCs/>
      <w:sz w:val="14"/>
      <w:szCs w:val="14"/>
    </w:rPr>
  </w:style>
  <w:style w:type="character" w:customStyle="1" w:styleId="FontStyle28">
    <w:name w:val="Font Style28"/>
    <w:rsid w:val="005075B2"/>
    <w:rPr>
      <w:rFonts w:ascii="Segoe UI" w:hAnsi="Segoe UI" w:cs="Segoe UI"/>
      <w:sz w:val="14"/>
      <w:szCs w:val="14"/>
    </w:rPr>
  </w:style>
  <w:style w:type="character" w:customStyle="1" w:styleId="FontStyle15">
    <w:name w:val="Font Style15"/>
    <w:rsid w:val="005075B2"/>
    <w:rPr>
      <w:rFonts w:ascii="Segoe UI" w:hAnsi="Segoe UI" w:cs="Segoe UI"/>
      <w:sz w:val="18"/>
      <w:szCs w:val="18"/>
    </w:rPr>
  </w:style>
  <w:style w:type="table" w:customStyle="1" w:styleId="32">
    <w:name w:val="Πλέγμα πίνακα3"/>
    <w:basedOn w:val="a1"/>
    <w:next w:val="af3"/>
    <w:rsid w:val="0050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υποσημείωσης Char"/>
    <w:aliases w:val=" Char Char,Char Char3"/>
    <w:basedOn w:val="a0"/>
    <w:link w:val="ab"/>
    <w:uiPriority w:val="99"/>
    <w:semiHidden/>
    <w:rsid w:val="006572C3"/>
  </w:style>
  <w:style w:type="character" w:customStyle="1" w:styleId="3Char">
    <w:name w:val="Επικεφαλίδα 3 Char"/>
    <w:basedOn w:val="a0"/>
    <w:link w:val="3"/>
    <w:rsid w:val="00022B4A"/>
    <w:rPr>
      <w:b/>
      <w:bCs/>
      <w:sz w:val="27"/>
      <w:szCs w:val="27"/>
      <w:lang w:val="en-GB" w:eastAsia="en-US"/>
    </w:rPr>
  </w:style>
  <w:style w:type="character" w:customStyle="1" w:styleId="FootnoteCharacters">
    <w:name w:val="Footnote Characters"/>
    <w:rsid w:val="00F83D84"/>
    <w:rPr>
      <w:vertAlign w:val="superscript"/>
    </w:rPr>
  </w:style>
  <w:style w:type="paragraph" w:styleId="af6">
    <w:name w:val="List"/>
    <w:basedOn w:val="a7"/>
    <w:rsid w:val="00F83D84"/>
    <w:pPr>
      <w:suppressAutoHyphens/>
      <w:autoSpaceDE w:val="0"/>
    </w:pPr>
    <w:rPr>
      <w:rFonts w:ascii="TimesNewRomanPSMT" w:hAnsi="TimesNewRomanPSMT" w:cs="Times New Roman"/>
      <w:b w:val="0"/>
      <w:bCs w:val="0"/>
      <w:i w:val="0"/>
      <w:sz w:val="24"/>
      <w:szCs w:val="24"/>
      <w:lang w:val="en-GB" w:eastAsia="ar-SA"/>
    </w:rPr>
  </w:style>
  <w:style w:type="character" w:customStyle="1" w:styleId="citation">
    <w:name w:val="citation"/>
    <w:basedOn w:val="a0"/>
    <w:rsid w:val="003C1734"/>
  </w:style>
  <w:style w:type="character" w:customStyle="1" w:styleId="mw-cite-backlink">
    <w:name w:val="mw-cite-backlink"/>
    <w:basedOn w:val="a0"/>
    <w:rsid w:val="003C1734"/>
  </w:style>
  <w:style w:type="character" w:customStyle="1" w:styleId="cite-accessibility-label">
    <w:name w:val="cite-accessibility-label"/>
    <w:basedOn w:val="a0"/>
    <w:rsid w:val="003C1734"/>
  </w:style>
  <w:style w:type="character" w:customStyle="1" w:styleId="Char4">
    <w:name w:val="Κείμενο σχολίου Char"/>
    <w:basedOn w:val="a0"/>
    <w:link w:val="af0"/>
    <w:uiPriority w:val="99"/>
    <w:semiHidden/>
    <w:rsid w:val="00C360FC"/>
  </w:style>
  <w:style w:type="paragraph" w:customStyle="1" w:styleId="Standard">
    <w:name w:val="Standard"/>
    <w:rsid w:val="006436E9"/>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a2"/>
    <w:rsid w:val="006436E9"/>
    <w:pPr>
      <w:numPr>
        <w:numId w:val="1"/>
      </w:numPr>
    </w:pPr>
  </w:style>
  <w:style w:type="table" w:customStyle="1" w:styleId="110">
    <w:name w:val="Μεσαία σκίαση 11"/>
    <w:basedOn w:val="a1"/>
    <w:uiPriority w:val="63"/>
    <w:rsid w:val="00052D3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7">
    <w:name w:val="endnote text"/>
    <w:basedOn w:val="a"/>
    <w:link w:val="Char5"/>
    <w:uiPriority w:val="99"/>
    <w:semiHidden/>
    <w:unhideWhenUsed/>
    <w:rsid w:val="00052D35"/>
    <w:rPr>
      <w:rFonts w:asciiTheme="minorHAnsi" w:eastAsiaTheme="minorHAnsi" w:hAnsiTheme="minorHAnsi" w:cstheme="minorBidi"/>
      <w:sz w:val="20"/>
      <w:szCs w:val="20"/>
      <w:lang w:eastAsia="en-US"/>
    </w:rPr>
  </w:style>
  <w:style w:type="character" w:customStyle="1" w:styleId="Char5">
    <w:name w:val="Κείμενο σημείωσης τέλους Char"/>
    <w:basedOn w:val="a0"/>
    <w:link w:val="af7"/>
    <w:uiPriority w:val="99"/>
    <w:semiHidden/>
    <w:rsid w:val="00052D35"/>
    <w:rPr>
      <w:rFonts w:asciiTheme="minorHAnsi" w:eastAsiaTheme="minorHAnsi" w:hAnsiTheme="minorHAnsi" w:cstheme="minorBidi"/>
      <w:lang w:eastAsia="en-US"/>
    </w:rPr>
  </w:style>
  <w:style w:type="character" w:styleId="af8">
    <w:name w:val="endnote reference"/>
    <w:basedOn w:val="a0"/>
    <w:uiPriority w:val="99"/>
    <w:semiHidden/>
    <w:unhideWhenUsed/>
    <w:rsid w:val="00052D35"/>
    <w:rPr>
      <w:vertAlign w:val="superscript"/>
    </w:rPr>
  </w:style>
  <w:style w:type="table" w:customStyle="1" w:styleId="12">
    <w:name w:val="Ανοιχτόχρωμο πλέγμα1"/>
    <w:basedOn w:val="a1"/>
    <w:uiPriority w:val="62"/>
    <w:rsid w:val="009C570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3">
    <w:name w:val="P3"/>
    <w:basedOn w:val="a"/>
    <w:hidden/>
    <w:rsid w:val="00EE6E12"/>
    <w:pPr>
      <w:widowControl w:val="0"/>
      <w:adjustRightInd w:val="0"/>
      <w:spacing w:after="120"/>
    </w:pPr>
    <w:rPr>
      <w:rFonts w:eastAsia="Arial1" w:cs="Tahoma"/>
      <w:szCs w:val="20"/>
    </w:rPr>
  </w:style>
  <w:style w:type="paragraph" w:customStyle="1" w:styleId="P4">
    <w:name w:val="P4"/>
    <w:basedOn w:val="a"/>
    <w:hidden/>
    <w:rsid w:val="00EE6E12"/>
    <w:pPr>
      <w:widowControl w:val="0"/>
      <w:adjustRightInd w:val="0"/>
      <w:spacing w:after="120"/>
    </w:pPr>
    <w:rPr>
      <w:rFonts w:eastAsia="Arial1" w:cs="Tahoma"/>
      <w:szCs w:val="20"/>
    </w:rPr>
  </w:style>
  <w:style w:type="paragraph" w:customStyle="1" w:styleId="P7">
    <w:name w:val="P7"/>
    <w:basedOn w:val="a"/>
    <w:hidden/>
    <w:rsid w:val="00EE6E12"/>
    <w:pPr>
      <w:widowControl w:val="0"/>
      <w:adjustRightInd w:val="0"/>
      <w:spacing w:after="120"/>
    </w:pPr>
    <w:rPr>
      <w:rFonts w:eastAsia="Arial1" w:cs="Tahoma"/>
      <w:szCs w:val="20"/>
    </w:rPr>
  </w:style>
  <w:style w:type="character" w:customStyle="1" w:styleId="T2">
    <w:name w:val="T2"/>
    <w:hidden/>
    <w:rsid w:val="00EE6E12"/>
  </w:style>
  <w:style w:type="character" w:customStyle="1" w:styleId="T4">
    <w:name w:val="T4"/>
    <w:hidden/>
    <w:rsid w:val="00EE6E12"/>
  </w:style>
  <w:style w:type="paragraph" w:styleId="af9">
    <w:name w:val="annotation subject"/>
    <w:basedOn w:val="af0"/>
    <w:next w:val="af0"/>
    <w:link w:val="Char6"/>
    <w:uiPriority w:val="99"/>
    <w:semiHidden/>
    <w:unhideWhenUsed/>
    <w:rsid w:val="00EC0474"/>
    <w:rPr>
      <w:b/>
      <w:bCs/>
    </w:rPr>
  </w:style>
  <w:style w:type="character" w:customStyle="1" w:styleId="Char6">
    <w:name w:val="Θέμα σχολίου Char"/>
    <w:basedOn w:val="Char4"/>
    <w:link w:val="af9"/>
    <w:uiPriority w:val="99"/>
    <w:semiHidden/>
    <w:rsid w:val="00EC0474"/>
    <w:rPr>
      <w:b/>
      <w:bCs/>
    </w:rPr>
  </w:style>
  <w:style w:type="table" w:customStyle="1" w:styleId="23">
    <w:name w:val="Πλέγμα πίνακα2"/>
    <w:basedOn w:val="a1"/>
    <w:next w:val="af3"/>
    <w:uiPriority w:val="59"/>
    <w:rsid w:val="00197B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List 2 Accent 3"/>
    <w:basedOn w:val="a1"/>
    <w:uiPriority w:val="66"/>
    <w:rsid w:val="00573E3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
    <w:name w:val="Κείμενο πλαισίου Char"/>
    <w:basedOn w:val="a0"/>
    <w:link w:val="a3"/>
    <w:uiPriority w:val="99"/>
    <w:semiHidden/>
    <w:rsid w:val="009F7E1A"/>
    <w:rPr>
      <w:rFonts w:ascii="Tahoma" w:hAnsi="Tahoma" w:cs="Tahoma"/>
      <w:sz w:val="16"/>
      <w:szCs w:val="16"/>
    </w:rPr>
  </w:style>
  <w:style w:type="character" w:styleId="afa">
    <w:name w:val="Subtle Emphasis"/>
    <w:uiPriority w:val="19"/>
    <w:qFormat/>
    <w:rsid w:val="00D4417C"/>
    <w:rPr>
      <w:i/>
      <w:iCs/>
      <w:color w:val="5A5A5A"/>
    </w:rPr>
  </w:style>
  <w:style w:type="paragraph" w:styleId="33">
    <w:name w:val="Body Text 3"/>
    <w:basedOn w:val="a"/>
    <w:link w:val="3Char0"/>
    <w:uiPriority w:val="99"/>
    <w:semiHidden/>
    <w:unhideWhenUsed/>
    <w:rsid w:val="0020033D"/>
    <w:pPr>
      <w:spacing w:after="120"/>
    </w:pPr>
    <w:rPr>
      <w:sz w:val="16"/>
      <w:szCs w:val="16"/>
    </w:rPr>
  </w:style>
  <w:style w:type="character" w:customStyle="1" w:styleId="3Char0">
    <w:name w:val="Σώμα κείμενου 3 Char"/>
    <w:basedOn w:val="a0"/>
    <w:link w:val="33"/>
    <w:uiPriority w:val="99"/>
    <w:semiHidden/>
    <w:rsid w:val="0020033D"/>
    <w:rPr>
      <w:sz w:val="16"/>
      <w:szCs w:val="16"/>
    </w:rPr>
  </w:style>
  <w:style w:type="character" w:customStyle="1" w:styleId="9Char">
    <w:name w:val="Επικεφαλίδα 9 Char"/>
    <w:basedOn w:val="a0"/>
    <w:link w:val="9"/>
    <w:uiPriority w:val="9"/>
    <w:semiHidden/>
    <w:rsid w:val="0094350A"/>
    <w:rPr>
      <w:rFonts w:asciiTheme="majorHAnsi" w:eastAsiaTheme="majorEastAsia" w:hAnsiTheme="majorHAnsi" w:cstheme="majorBidi"/>
      <w:i/>
      <w:iCs/>
      <w:color w:val="404040" w:themeColor="text1" w:themeTint="BF"/>
    </w:rPr>
  </w:style>
  <w:style w:type="character" w:customStyle="1" w:styleId="Bodytext">
    <w:name w:val="Body text_"/>
    <w:basedOn w:val="a0"/>
    <w:link w:val="13"/>
    <w:rsid w:val="008B721E"/>
    <w:rPr>
      <w:rFonts w:ascii="Segoe UI" w:eastAsia="Segoe UI" w:hAnsi="Segoe UI" w:cs="Segoe UI"/>
      <w:sz w:val="15"/>
      <w:szCs w:val="15"/>
      <w:shd w:val="clear" w:color="auto" w:fill="FFFFFF"/>
    </w:rPr>
  </w:style>
  <w:style w:type="paragraph" w:customStyle="1" w:styleId="13">
    <w:name w:val="Σώμα κειμένου1"/>
    <w:basedOn w:val="a"/>
    <w:link w:val="Bodytext"/>
    <w:rsid w:val="008B721E"/>
    <w:pPr>
      <w:widowControl w:val="0"/>
      <w:shd w:val="clear" w:color="auto" w:fill="FFFFFF"/>
      <w:spacing w:before="60" w:after="2340" w:line="0" w:lineRule="atLeast"/>
      <w:ind w:hanging="460"/>
      <w:jc w:val="center"/>
    </w:pPr>
    <w:rPr>
      <w:rFonts w:ascii="Segoe UI" w:eastAsia="Segoe UI" w:hAnsi="Segoe UI" w:cs="Segoe UI"/>
      <w:sz w:val="15"/>
      <w:szCs w:val="15"/>
    </w:rPr>
  </w:style>
  <w:style w:type="character" w:customStyle="1" w:styleId="Bodytext5">
    <w:name w:val="Body text (5)_"/>
    <w:basedOn w:val="a0"/>
    <w:link w:val="Bodytext50"/>
    <w:rsid w:val="008B721E"/>
    <w:rPr>
      <w:rFonts w:ascii="Segoe UI" w:eastAsia="Segoe UI" w:hAnsi="Segoe UI" w:cs="Segoe UI"/>
      <w:b/>
      <w:bCs/>
      <w:sz w:val="15"/>
      <w:szCs w:val="15"/>
      <w:shd w:val="clear" w:color="auto" w:fill="FFFFFF"/>
    </w:rPr>
  </w:style>
  <w:style w:type="paragraph" w:customStyle="1" w:styleId="Bodytext50">
    <w:name w:val="Body text (5)"/>
    <w:basedOn w:val="a"/>
    <w:link w:val="Bodytext5"/>
    <w:rsid w:val="008B721E"/>
    <w:pPr>
      <w:widowControl w:val="0"/>
      <w:shd w:val="clear" w:color="auto" w:fill="FFFFFF"/>
      <w:spacing w:before="600" w:line="274" w:lineRule="exact"/>
    </w:pPr>
    <w:rPr>
      <w:rFonts w:ascii="Segoe UI" w:eastAsia="Segoe UI" w:hAnsi="Segoe UI" w:cs="Segoe UI"/>
      <w:b/>
      <w:bCs/>
      <w:sz w:val="15"/>
      <w:szCs w:val="15"/>
    </w:rPr>
  </w:style>
  <w:style w:type="character" w:customStyle="1" w:styleId="BodytextItalic">
    <w:name w:val="Body text + Italic"/>
    <w:basedOn w:val="Bodytext"/>
    <w:rsid w:val="008B721E"/>
    <w:rPr>
      <w:rFonts w:ascii="Segoe UI" w:eastAsia="Segoe UI" w:hAnsi="Segoe UI" w:cs="Segoe UI"/>
      <w:i/>
      <w:iCs/>
      <w:color w:val="000000"/>
      <w:spacing w:val="0"/>
      <w:w w:val="100"/>
      <w:position w:val="0"/>
      <w:sz w:val="15"/>
      <w:szCs w:val="15"/>
      <w:shd w:val="clear" w:color="auto" w:fill="FFFFFF"/>
      <w:lang w:val="el-GR"/>
    </w:rPr>
  </w:style>
  <w:style w:type="character" w:customStyle="1" w:styleId="Bodytext16">
    <w:name w:val="Body text (16)_"/>
    <w:basedOn w:val="a0"/>
    <w:link w:val="Bodytext160"/>
    <w:rsid w:val="008B721E"/>
    <w:rPr>
      <w:rFonts w:ascii="MS Reference Sans Serif" w:eastAsia="MS Reference Sans Serif" w:hAnsi="MS Reference Sans Serif" w:cs="MS Reference Sans Serif"/>
      <w:b/>
      <w:bCs/>
      <w:i/>
      <w:iCs/>
      <w:sz w:val="16"/>
      <w:szCs w:val="16"/>
      <w:shd w:val="clear" w:color="auto" w:fill="FFFFFF"/>
    </w:rPr>
  </w:style>
  <w:style w:type="paragraph" w:customStyle="1" w:styleId="Bodytext160">
    <w:name w:val="Body text (16)"/>
    <w:basedOn w:val="a"/>
    <w:link w:val="Bodytext16"/>
    <w:rsid w:val="008B721E"/>
    <w:pPr>
      <w:widowControl w:val="0"/>
      <w:shd w:val="clear" w:color="auto" w:fill="FFFFFF"/>
      <w:spacing w:line="0" w:lineRule="atLeast"/>
      <w:jc w:val="right"/>
    </w:pPr>
    <w:rPr>
      <w:rFonts w:ascii="MS Reference Sans Serif" w:eastAsia="MS Reference Sans Serif" w:hAnsi="MS Reference Sans Serif" w:cs="MS Reference Sans Serif"/>
      <w:b/>
      <w:bCs/>
      <w:i/>
      <w:iCs/>
      <w:sz w:val="16"/>
      <w:szCs w:val="16"/>
    </w:rPr>
  </w:style>
  <w:style w:type="character" w:customStyle="1" w:styleId="Bodytext18">
    <w:name w:val="Body text (18)_"/>
    <w:basedOn w:val="a0"/>
    <w:link w:val="Bodytext180"/>
    <w:rsid w:val="008B721E"/>
    <w:rPr>
      <w:rFonts w:ascii="Lucida Sans Unicode" w:eastAsia="Lucida Sans Unicode" w:hAnsi="Lucida Sans Unicode" w:cs="Lucida Sans Unicode"/>
      <w:sz w:val="16"/>
      <w:szCs w:val="16"/>
      <w:shd w:val="clear" w:color="auto" w:fill="FFFFFF"/>
    </w:rPr>
  </w:style>
  <w:style w:type="paragraph" w:customStyle="1" w:styleId="Bodytext180">
    <w:name w:val="Body text (18)"/>
    <w:basedOn w:val="a"/>
    <w:link w:val="Bodytext18"/>
    <w:rsid w:val="008B721E"/>
    <w:pPr>
      <w:widowControl w:val="0"/>
      <w:shd w:val="clear" w:color="auto" w:fill="FFFFFF"/>
      <w:spacing w:line="247" w:lineRule="exact"/>
      <w:jc w:val="both"/>
    </w:pPr>
    <w:rPr>
      <w:rFonts w:ascii="Lucida Sans Unicode" w:eastAsia="Lucida Sans Unicode" w:hAnsi="Lucida Sans Unicode" w:cs="Lucida Sans Unicode"/>
      <w:sz w:val="16"/>
      <w:szCs w:val="16"/>
    </w:rPr>
  </w:style>
  <w:style w:type="character" w:customStyle="1" w:styleId="Bodytext18Spacing0pt">
    <w:name w:val="Body text (18) + Spacing 0 pt"/>
    <w:basedOn w:val="Bodytext18"/>
    <w:rsid w:val="008B721E"/>
    <w:rPr>
      <w:rFonts w:ascii="Lucida Sans Unicode" w:eastAsia="Lucida Sans Unicode" w:hAnsi="Lucida Sans Unicode" w:cs="Lucida Sans Unicode"/>
      <w:color w:val="000000"/>
      <w:spacing w:val="-10"/>
      <w:w w:val="100"/>
      <w:position w:val="0"/>
      <w:sz w:val="16"/>
      <w:szCs w:val="16"/>
      <w:shd w:val="clear" w:color="auto" w:fill="FFFFFF"/>
      <w:lang w:val="el-GR"/>
    </w:rPr>
  </w:style>
  <w:style w:type="character" w:customStyle="1" w:styleId="BodytextItalicSpacing1pt">
    <w:name w:val="Body text + Italic;Spacing 1 pt"/>
    <w:basedOn w:val="Bodytext"/>
    <w:rsid w:val="008B721E"/>
    <w:rPr>
      <w:rFonts w:ascii="Segoe UI" w:eastAsia="Segoe UI" w:hAnsi="Segoe UI" w:cs="Segoe UI"/>
      <w:i/>
      <w:iCs/>
      <w:color w:val="000000"/>
      <w:spacing w:val="20"/>
      <w:w w:val="100"/>
      <w:position w:val="0"/>
      <w:sz w:val="15"/>
      <w:szCs w:val="15"/>
      <w:shd w:val="clear" w:color="auto" w:fill="FFFFFF"/>
      <w:lang w:val="en-US"/>
    </w:rPr>
  </w:style>
  <w:style w:type="character" w:customStyle="1" w:styleId="BodytextLucidaSansUnicode8pt">
    <w:name w:val="Body text + Lucida Sans Unicode;8 pt"/>
    <w:basedOn w:val="Bodytext"/>
    <w:rsid w:val="008B721E"/>
    <w:rPr>
      <w:rFonts w:ascii="Lucida Sans Unicode" w:eastAsia="Lucida Sans Unicode" w:hAnsi="Lucida Sans Unicode" w:cs="Lucida Sans Unicode"/>
      <w:color w:val="000000"/>
      <w:spacing w:val="0"/>
      <w:w w:val="100"/>
      <w:position w:val="0"/>
      <w:sz w:val="16"/>
      <w:szCs w:val="16"/>
      <w:shd w:val="clear" w:color="auto" w:fill="FFFFFF"/>
      <w:lang w:val="el-GR"/>
    </w:rPr>
  </w:style>
  <w:style w:type="character" w:customStyle="1" w:styleId="Tablecaption4">
    <w:name w:val="Table caption (4)_"/>
    <w:basedOn w:val="a0"/>
    <w:link w:val="Tablecaption40"/>
    <w:rsid w:val="008B721E"/>
    <w:rPr>
      <w:rFonts w:ascii="Segoe UI" w:eastAsia="Segoe UI" w:hAnsi="Segoe UI" w:cs="Segoe UI"/>
      <w:sz w:val="15"/>
      <w:szCs w:val="15"/>
      <w:shd w:val="clear" w:color="auto" w:fill="FFFFFF"/>
    </w:rPr>
  </w:style>
  <w:style w:type="paragraph" w:customStyle="1" w:styleId="Tablecaption40">
    <w:name w:val="Table caption (4)"/>
    <w:basedOn w:val="a"/>
    <w:link w:val="Tablecaption4"/>
    <w:rsid w:val="008B721E"/>
    <w:pPr>
      <w:widowControl w:val="0"/>
      <w:shd w:val="clear" w:color="auto" w:fill="FFFFFF"/>
      <w:spacing w:line="0" w:lineRule="atLeast"/>
    </w:pPr>
    <w:rPr>
      <w:rFonts w:ascii="Segoe UI" w:eastAsia="Segoe UI" w:hAnsi="Segoe UI" w:cs="Segoe UI"/>
      <w:sz w:val="15"/>
      <w:szCs w:val="15"/>
    </w:rPr>
  </w:style>
  <w:style w:type="character" w:customStyle="1" w:styleId="Bodytext7ptItalic">
    <w:name w:val="Body text + 7 pt;Italic"/>
    <w:basedOn w:val="Bodytext"/>
    <w:rsid w:val="008B721E"/>
    <w:rPr>
      <w:rFonts w:ascii="Segoe UI" w:eastAsia="Segoe UI" w:hAnsi="Segoe UI" w:cs="Segoe UI"/>
      <w:i/>
      <w:iCs/>
      <w:color w:val="000000"/>
      <w:spacing w:val="0"/>
      <w:w w:val="100"/>
      <w:position w:val="0"/>
      <w:sz w:val="14"/>
      <w:szCs w:val="14"/>
      <w:shd w:val="clear" w:color="auto" w:fill="FFFFFF"/>
      <w:lang w:val="el-GR"/>
    </w:rPr>
  </w:style>
  <w:style w:type="table" w:styleId="24">
    <w:name w:val="Table Colorful 2"/>
    <w:basedOn w:val="a1"/>
    <w:rsid w:val="009B2D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style-span">
    <w:name w:val="apple-style-span"/>
    <w:basedOn w:val="a0"/>
    <w:rsid w:val="008C052C"/>
  </w:style>
  <w:style w:type="character" w:customStyle="1" w:styleId="item-source">
    <w:name w:val="item-source"/>
    <w:basedOn w:val="a0"/>
    <w:rsid w:val="002F7261"/>
  </w:style>
  <w:style w:type="character" w:customStyle="1" w:styleId="edition">
    <w:name w:val="edition"/>
    <w:basedOn w:val="a0"/>
    <w:rsid w:val="002F7261"/>
  </w:style>
  <w:style w:type="paragraph" w:styleId="afb">
    <w:name w:val="Revision"/>
    <w:hidden/>
    <w:uiPriority w:val="99"/>
    <w:semiHidden/>
    <w:rsid w:val="0000237C"/>
    <w:rPr>
      <w:sz w:val="24"/>
      <w:szCs w:val="24"/>
    </w:rPr>
  </w:style>
  <w:style w:type="table" w:customStyle="1" w:styleId="-11">
    <w:name w:val="Ανοιχτόχρωμη σκίαση - Έμφαση 11"/>
    <w:basedOn w:val="a1"/>
    <w:uiPriority w:val="60"/>
    <w:rsid w:val="005045C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ull">
    <w:name w:val="null"/>
    <w:basedOn w:val="a0"/>
    <w:rsid w:val="000C4432"/>
  </w:style>
</w:styles>
</file>

<file path=word/webSettings.xml><?xml version="1.0" encoding="utf-8"?>
<w:webSettings xmlns:r="http://schemas.openxmlformats.org/officeDocument/2006/relationships" xmlns:w="http://schemas.openxmlformats.org/wordprocessingml/2006/main">
  <w:divs>
    <w:div w:id="29771605">
      <w:bodyDiv w:val="1"/>
      <w:marLeft w:val="0"/>
      <w:marRight w:val="0"/>
      <w:marTop w:val="0"/>
      <w:marBottom w:val="0"/>
      <w:divBdr>
        <w:top w:val="none" w:sz="0" w:space="0" w:color="auto"/>
        <w:left w:val="none" w:sz="0" w:space="0" w:color="auto"/>
        <w:bottom w:val="none" w:sz="0" w:space="0" w:color="auto"/>
        <w:right w:val="none" w:sz="0" w:space="0" w:color="auto"/>
      </w:divBdr>
      <w:divsChild>
        <w:div w:id="9379272">
          <w:marLeft w:val="0"/>
          <w:marRight w:val="0"/>
          <w:marTop w:val="185"/>
          <w:marBottom w:val="0"/>
          <w:divBdr>
            <w:top w:val="none" w:sz="0" w:space="0" w:color="auto"/>
            <w:left w:val="none" w:sz="0" w:space="0" w:color="auto"/>
            <w:bottom w:val="none" w:sz="0" w:space="0" w:color="auto"/>
            <w:right w:val="none" w:sz="0" w:space="0" w:color="auto"/>
          </w:divBdr>
        </w:div>
        <w:div w:id="243300628">
          <w:marLeft w:val="0"/>
          <w:marRight w:val="0"/>
          <w:marTop w:val="185"/>
          <w:marBottom w:val="0"/>
          <w:divBdr>
            <w:top w:val="none" w:sz="0" w:space="0" w:color="auto"/>
            <w:left w:val="none" w:sz="0" w:space="0" w:color="auto"/>
            <w:bottom w:val="none" w:sz="0" w:space="0" w:color="auto"/>
            <w:right w:val="none" w:sz="0" w:space="0" w:color="auto"/>
          </w:divBdr>
        </w:div>
        <w:div w:id="1280184461">
          <w:marLeft w:val="0"/>
          <w:marRight w:val="0"/>
          <w:marTop w:val="185"/>
          <w:marBottom w:val="0"/>
          <w:divBdr>
            <w:top w:val="none" w:sz="0" w:space="0" w:color="auto"/>
            <w:left w:val="none" w:sz="0" w:space="0" w:color="auto"/>
            <w:bottom w:val="none" w:sz="0" w:space="0" w:color="auto"/>
            <w:right w:val="none" w:sz="0" w:space="0" w:color="auto"/>
          </w:divBdr>
        </w:div>
      </w:divsChild>
    </w:div>
    <w:div w:id="65811787">
      <w:bodyDiv w:val="1"/>
      <w:marLeft w:val="0"/>
      <w:marRight w:val="0"/>
      <w:marTop w:val="0"/>
      <w:marBottom w:val="0"/>
      <w:divBdr>
        <w:top w:val="none" w:sz="0" w:space="0" w:color="auto"/>
        <w:left w:val="none" w:sz="0" w:space="0" w:color="auto"/>
        <w:bottom w:val="none" w:sz="0" w:space="0" w:color="auto"/>
        <w:right w:val="none" w:sz="0" w:space="0" w:color="auto"/>
      </w:divBdr>
      <w:divsChild>
        <w:div w:id="1322808545">
          <w:marLeft w:val="547"/>
          <w:marRight w:val="0"/>
          <w:marTop w:val="96"/>
          <w:marBottom w:val="0"/>
          <w:divBdr>
            <w:top w:val="none" w:sz="0" w:space="0" w:color="auto"/>
            <w:left w:val="none" w:sz="0" w:space="0" w:color="auto"/>
            <w:bottom w:val="none" w:sz="0" w:space="0" w:color="auto"/>
            <w:right w:val="none" w:sz="0" w:space="0" w:color="auto"/>
          </w:divBdr>
        </w:div>
      </w:divsChild>
    </w:div>
    <w:div w:id="101339616">
      <w:bodyDiv w:val="1"/>
      <w:marLeft w:val="0"/>
      <w:marRight w:val="0"/>
      <w:marTop w:val="0"/>
      <w:marBottom w:val="0"/>
      <w:divBdr>
        <w:top w:val="none" w:sz="0" w:space="0" w:color="auto"/>
        <w:left w:val="none" w:sz="0" w:space="0" w:color="auto"/>
        <w:bottom w:val="none" w:sz="0" w:space="0" w:color="auto"/>
        <w:right w:val="none" w:sz="0" w:space="0" w:color="auto"/>
      </w:divBdr>
      <w:divsChild>
        <w:div w:id="585261330">
          <w:marLeft w:val="547"/>
          <w:marRight w:val="0"/>
          <w:marTop w:val="154"/>
          <w:marBottom w:val="0"/>
          <w:divBdr>
            <w:top w:val="none" w:sz="0" w:space="0" w:color="auto"/>
            <w:left w:val="none" w:sz="0" w:space="0" w:color="auto"/>
            <w:bottom w:val="none" w:sz="0" w:space="0" w:color="auto"/>
            <w:right w:val="none" w:sz="0" w:space="0" w:color="auto"/>
          </w:divBdr>
        </w:div>
        <w:div w:id="556014073">
          <w:marLeft w:val="547"/>
          <w:marRight w:val="0"/>
          <w:marTop w:val="154"/>
          <w:marBottom w:val="0"/>
          <w:divBdr>
            <w:top w:val="none" w:sz="0" w:space="0" w:color="auto"/>
            <w:left w:val="none" w:sz="0" w:space="0" w:color="auto"/>
            <w:bottom w:val="none" w:sz="0" w:space="0" w:color="auto"/>
            <w:right w:val="none" w:sz="0" w:space="0" w:color="auto"/>
          </w:divBdr>
        </w:div>
      </w:divsChild>
    </w:div>
    <w:div w:id="124810203">
      <w:bodyDiv w:val="1"/>
      <w:marLeft w:val="0"/>
      <w:marRight w:val="0"/>
      <w:marTop w:val="0"/>
      <w:marBottom w:val="0"/>
      <w:divBdr>
        <w:top w:val="none" w:sz="0" w:space="0" w:color="auto"/>
        <w:left w:val="none" w:sz="0" w:space="0" w:color="auto"/>
        <w:bottom w:val="none" w:sz="0" w:space="0" w:color="auto"/>
        <w:right w:val="none" w:sz="0" w:space="0" w:color="auto"/>
      </w:divBdr>
      <w:divsChild>
        <w:div w:id="581065450">
          <w:marLeft w:val="547"/>
          <w:marRight w:val="0"/>
          <w:marTop w:val="264"/>
          <w:marBottom w:val="0"/>
          <w:divBdr>
            <w:top w:val="none" w:sz="0" w:space="0" w:color="auto"/>
            <w:left w:val="none" w:sz="0" w:space="0" w:color="auto"/>
            <w:bottom w:val="none" w:sz="0" w:space="0" w:color="auto"/>
            <w:right w:val="none" w:sz="0" w:space="0" w:color="auto"/>
          </w:divBdr>
        </w:div>
        <w:div w:id="297879780">
          <w:marLeft w:val="547"/>
          <w:marRight w:val="0"/>
          <w:marTop w:val="264"/>
          <w:marBottom w:val="0"/>
          <w:divBdr>
            <w:top w:val="none" w:sz="0" w:space="0" w:color="auto"/>
            <w:left w:val="none" w:sz="0" w:space="0" w:color="auto"/>
            <w:bottom w:val="none" w:sz="0" w:space="0" w:color="auto"/>
            <w:right w:val="none" w:sz="0" w:space="0" w:color="auto"/>
          </w:divBdr>
        </w:div>
        <w:div w:id="1182936928">
          <w:marLeft w:val="547"/>
          <w:marRight w:val="0"/>
          <w:marTop w:val="264"/>
          <w:marBottom w:val="0"/>
          <w:divBdr>
            <w:top w:val="none" w:sz="0" w:space="0" w:color="auto"/>
            <w:left w:val="none" w:sz="0" w:space="0" w:color="auto"/>
            <w:bottom w:val="none" w:sz="0" w:space="0" w:color="auto"/>
            <w:right w:val="none" w:sz="0" w:space="0" w:color="auto"/>
          </w:divBdr>
        </w:div>
      </w:divsChild>
    </w:div>
    <w:div w:id="188446493">
      <w:bodyDiv w:val="1"/>
      <w:marLeft w:val="0"/>
      <w:marRight w:val="0"/>
      <w:marTop w:val="0"/>
      <w:marBottom w:val="0"/>
      <w:divBdr>
        <w:top w:val="none" w:sz="0" w:space="0" w:color="auto"/>
        <w:left w:val="none" w:sz="0" w:space="0" w:color="auto"/>
        <w:bottom w:val="none" w:sz="0" w:space="0" w:color="auto"/>
        <w:right w:val="none" w:sz="0" w:space="0" w:color="auto"/>
      </w:divBdr>
    </w:div>
    <w:div w:id="207567646">
      <w:bodyDiv w:val="1"/>
      <w:marLeft w:val="0"/>
      <w:marRight w:val="0"/>
      <w:marTop w:val="0"/>
      <w:marBottom w:val="0"/>
      <w:divBdr>
        <w:top w:val="none" w:sz="0" w:space="0" w:color="auto"/>
        <w:left w:val="none" w:sz="0" w:space="0" w:color="auto"/>
        <w:bottom w:val="none" w:sz="0" w:space="0" w:color="auto"/>
        <w:right w:val="none" w:sz="0" w:space="0" w:color="auto"/>
      </w:divBdr>
    </w:div>
    <w:div w:id="227695877">
      <w:bodyDiv w:val="1"/>
      <w:marLeft w:val="0"/>
      <w:marRight w:val="0"/>
      <w:marTop w:val="0"/>
      <w:marBottom w:val="0"/>
      <w:divBdr>
        <w:top w:val="none" w:sz="0" w:space="0" w:color="auto"/>
        <w:left w:val="none" w:sz="0" w:space="0" w:color="auto"/>
        <w:bottom w:val="none" w:sz="0" w:space="0" w:color="auto"/>
        <w:right w:val="none" w:sz="0" w:space="0" w:color="auto"/>
      </w:divBdr>
      <w:divsChild>
        <w:div w:id="172305466">
          <w:marLeft w:val="1166"/>
          <w:marRight w:val="0"/>
          <w:marTop w:val="86"/>
          <w:marBottom w:val="0"/>
          <w:divBdr>
            <w:top w:val="none" w:sz="0" w:space="0" w:color="auto"/>
            <w:left w:val="none" w:sz="0" w:space="0" w:color="auto"/>
            <w:bottom w:val="none" w:sz="0" w:space="0" w:color="auto"/>
            <w:right w:val="none" w:sz="0" w:space="0" w:color="auto"/>
          </w:divBdr>
        </w:div>
        <w:div w:id="392855147">
          <w:marLeft w:val="1166"/>
          <w:marRight w:val="0"/>
          <w:marTop w:val="86"/>
          <w:marBottom w:val="0"/>
          <w:divBdr>
            <w:top w:val="none" w:sz="0" w:space="0" w:color="auto"/>
            <w:left w:val="none" w:sz="0" w:space="0" w:color="auto"/>
            <w:bottom w:val="none" w:sz="0" w:space="0" w:color="auto"/>
            <w:right w:val="none" w:sz="0" w:space="0" w:color="auto"/>
          </w:divBdr>
        </w:div>
        <w:div w:id="593127166">
          <w:marLeft w:val="1166"/>
          <w:marRight w:val="0"/>
          <w:marTop w:val="86"/>
          <w:marBottom w:val="0"/>
          <w:divBdr>
            <w:top w:val="none" w:sz="0" w:space="0" w:color="auto"/>
            <w:left w:val="none" w:sz="0" w:space="0" w:color="auto"/>
            <w:bottom w:val="none" w:sz="0" w:space="0" w:color="auto"/>
            <w:right w:val="none" w:sz="0" w:space="0" w:color="auto"/>
          </w:divBdr>
        </w:div>
        <w:div w:id="898788040">
          <w:marLeft w:val="547"/>
          <w:marRight w:val="0"/>
          <w:marTop w:val="86"/>
          <w:marBottom w:val="0"/>
          <w:divBdr>
            <w:top w:val="none" w:sz="0" w:space="0" w:color="auto"/>
            <w:left w:val="none" w:sz="0" w:space="0" w:color="auto"/>
            <w:bottom w:val="none" w:sz="0" w:space="0" w:color="auto"/>
            <w:right w:val="none" w:sz="0" w:space="0" w:color="auto"/>
          </w:divBdr>
        </w:div>
        <w:div w:id="919102261">
          <w:marLeft w:val="1166"/>
          <w:marRight w:val="0"/>
          <w:marTop w:val="86"/>
          <w:marBottom w:val="0"/>
          <w:divBdr>
            <w:top w:val="none" w:sz="0" w:space="0" w:color="auto"/>
            <w:left w:val="none" w:sz="0" w:space="0" w:color="auto"/>
            <w:bottom w:val="none" w:sz="0" w:space="0" w:color="auto"/>
            <w:right w:val="none" w:sz="0" w:space="0" w:color="auto"/>
          </w:divBdr>
        </w:div>
        <w:div w:id="977763250">
          <w:marLeft w:val="1166"/>
          <w:marRight w:val="0"/>
          <w:marTop w:val="86"/>
          <w:marBottom w:val="0"/>
          <w:divBdr>
            <w:top w:val="none" w:sz="0" w:space="0" w:color="auto"/>
            <w:left w:val="none" w:sz="0" w:space="0" w:color="auto"/>
            <w:bottom w:val="none" w:sz="0" w:space="0" w:color="auto"/>
            <w:right w:val="none" w:sz="0" w:space="0" w:color="auto"/>
          </w:divBdr>
        </w:div>
        <w:div w:id="1114130359">
          <w:marLeft w:val="1166"/>
          <w:marRight w:val="0"/>
          <w:marTop w:val="86"/>
          <w:marBottom w:val="0"/>
          <w:divBdr>
            <w:top w:val="none" w:sz="0" w:space="0" w:color="auto"/>
            <w:left w:val="none" w:sz="0" w:space="0" w:color="auto"/>
            <w:bottom w:val="none" w:sz="0" w:space="0" w:color="auto"/>
            <w:right w:val="none" w:sz="0" w:space="0" w:color="auto"/>
          </w:divBdr>
        </w:div>
        <w:div w:id="1356299163">
          <w:marLeft w:val="547"/>
          <w:marRight w:val="0"/>
          <w:marTop w:val="86"/>
          <w:marBottom w:val="0"/>
          <w:divBdr>
            <w:top w:val="none" w:sz="0" w:space="0" w:color="auto"/>
            <w:left w:val="none" w:sz="0" w:space="0" w:color="auto"/>
            <w:bottom w:val="none" w:sz="0" w:space="0" w:color="auto"/>
            <w:right w:val="none" w:sz="0" w:space="0" w:color="auto"/>
          </w:divBdr>
        </w:div>
        <w:div w:id="1484194925">
          <w:marLeft w:val="547"/>
          <w:marRight w:val="0"/>
          <w:marTop w:val="86"/>
          <w:marBottom w:val="0"/>
          <w:divBdr>
            <w:top w:val="none" w:sz="0" w:space="0" w:color="auto"/>
            <w:left w:val="none" w:sz="0" w:space="0" w:color="auto"/>
            <w:bottom w:val="none" w:sz="0" w:space="0" w:color="auto"/>
            <w:right w:val="none" w:sz="0" w:space="0" w:color="auto"/>
          </w:divBdr>
        </w:div>
        <w:div w:id="1580165562">
          <w:marLeft w:val="1166"/>
          <w:marRight w:val="0"/>
          <w:marTop w:val="86"/>
          <w:marBottom w:val="0"/>
          <w:divBdr>
            <w:top w:val="none" w:sz="0" w:space="0" w:color="auto"/>
            <w:left w:val="none" w:sz="0" w:space="0" w:color="auto"/>
            <w:bottom w:val="none" w:sz="0" w:space="0" w:color="auto"/>
            <w:right w:val="none" w:sz="0" w:space="0" w:color="auto"/>
          </w:divBdr>
        </w:div>
        <w:div w:id="1658606705">
          <w:marLeft w:val="1166"/>
          <w:marRight w:val="0"/>
          <w:marTop w:val="86"/>
          <w:marBottom w:val="0"/>
          <w:divBdr>
            <w:top w:val="none" w:sz="0" w:space="0" w:color="auto"/>
            <w:left w:val="none" w:sz="0" w:space="0" w:color="auto"/>
            <w:bottom w:val="none" w:sz="0" w:space="0" w:color="auto"/>
            <w:right w:val="none" w:sz="0" w:space="0" w:color="auto"/>
          </w:divBdr>
        </w:div>
        <w:div w:id="1722095270">
          <w:marLeft w:val="547"/>
          <w:marRight w:val="0"/>
          <w:marTop w:val="86"/>
          <w:marBottom w:val="0"/>
          <w:divBdr>
            <w:top w:val="none" w:sz="0" w:space="0" w:color="auto"/>
            <w:left w:val="none" w:sz="0" w:space="0" w:color="auto"/>
            <w:bottom w:val="none" w:sz="0" w:space="0" w:color="auto"/>
            <w:right w:val="none" w:sz="0" w:space="0" w:color="auto"/>
          </w:divBdr>
        </w:div>
        <w:div w:id="1793552600">
          <w:marLeft w:val="1166"/>
          <w:marRight w:val="0"/>
          <w:marTop w:val="86"/>
          <w:marBottom w:val="0"/>
          <w:divBdr>
            <w:top w:val="none" w:sz="0" w:space="0" w:color="auto"/>
            <w:left w:val="none" w:sz="0" w:space="0" w:color="auto"/>
            <w:bottom w:val="none" w:sz="0" w:space="0" w:color="auto"/>
            <w:right w:val="none" w:sz="0" w:space="0" w:color="auto"/>
          </w:divBdr>
        </w:div>
      </w:divsChild>
    </w:div>
    <w:div w:id="256408997">
      <w:bodyDiv w:val="1"/>
      <w:marLeft w:val="0"/>
      <w:marRight w:val="0"/>
      <w:marTop w:val="0"/>
      <w:marBottom w:val="0"/>
      <w:divBdr>
        <w:top w:val="none" w:sz="0" w:space="0" w:color="auto"/>
        <w:left w:val="none" w:sz="0" w:space="0" w:color="auto"/>
        <w:bottom w:val="none" w:sz="0" w:space="0" w:color="auto"/>
        <w:right w:val="none" w:sz="0" w:space="0" w:color="auto"/>
      </w:divBdr>
      <w:divsChild>
        <w:div w:id="1333988663">
          <w:marLeft w:val="0"/>
          <w:marRight w:val="0"/>
          <w:marTop w:val="120"/>
          <w:marBottom w:val="240"/>
          <w:divBdr>
            <w:top w:val="none" w:sz="0" w:space="0" w:color="auto"/>
            <w:left w:val="none" w:sz="0" w:space="0" w:color="auto"/>
            <w:bottom w:val="none" w:sz="0" w:space="0" w:color="auto"/>
            <w:right w:val="none" w:sz="0" w:space="0" w:color="auto"/>
          </w:divBdr>
        </w:div>
      </w:divsChild>
    </w:div>
    <w:div w:id="256987685">
      <w:bodyDiv w:val="1"/>
      <w:marLeft w:val="0"/>
      <w:marRight w:val="0"/>
      <w:marTop w:val="0"/>
      <w:marBottom w:val="0"/>
      <w:divBdr>
        <w:top w:val="none" w:sz="0" w:space="0" w:color="auto"/>
        <w:left w:val="none" w:sz="0" w:space="0" w:color="auto"/>
        <w:bottom w:val="none" w:sz="0" w:space="0" w:color="auto"/>
        <w:right w:val="none" w:sz="0" w:space="0" w:color="auto"/>
      </w:divBdr>
      <w:divsChild>
        <w:div w:id="1633368008">
          <w:marLeft w:val="547"/>
          <w:marRight w:val="0"/>
          <w:marTop w:val="86"/>
          <w:marBottom w:val="0"/>
          <w:divBdr>
            <w:top w:val="none" w:sz="0" w:space="0" w:color="auto"/>
            <w:left w:val="none" w:sz="0" w:space="0" w:color="auto"/>
            <w:bottom w:val="none" w:sz="0" w:space="0" w:color="auto"/>
            <w:right w:val="none" w:sz="0" w:space="0" w:color="auto"/>
          </w:divBdr>
        </w:div>
        <w:div w:id="1907376521">
          <w:marLeft w:val="547"/>
          <w:marRight w:val="0"/>
          <w:marTop w:val="86"/>
          <w:marBottom w:val="0"/>
          <w:divBdr>
            <w:top w:val="none" w:sz="0" w:space="0" w:color="auto"/>
            <w:left w:val="none" w:sz="0" w:space="0" w:color="auto"/>
            <w:bottom w:val="none" w:sz="0" w:space="0" w:color="auto"/>
            <w:right w:val="none" w:sz="0" w:space="0" w:color="auto"/>
          </w:divBdr>
        </w:div>
        <w:div w:id="281305961">
          <w:marLeft w:val="547"/>
          <w:marRight w:val="0"/>
          <w:marTop w:val="86"/>
          <w:marBottom w:val="0"/>
          <w:divBdr>
            <w:top w:val="none" w:sz="0" w:space="0" w:color="auto"/>
            <w:left w:val="none" w:sz="0" w:space="0" w:color="auto"/>
            <w:bottom w:val="none" w:sz="0" w:space="0" w:color="auto"/>
            <w:right w:val="none" w:sz="0" w:space="0" w:color="auto"/>
          </w:divBdr>
        </w:div>
        <w:div w:id="2110469331">
          <w:marLeft w:val="547"/>
          <w:marRight w:val="0"/>
          <w:marTop w:val="86"/>
          <w:marBottom w:val="0"/>
          <w:divBdr>
            <w:top w:val="none" w:sz="0" w:space="0" w:color="auto"/>
            <w:left w:val="none" w:sz="0" w:space="0" w:color="auto"/>
            <w:bottom w:val="none" w:sz="0" w:space="0" w:color="auto"/>
            <w:right w:val="none" w:sz="0" w:space="0" w:color="auto"/>
          </w:divBdr>
        </w:div>
        <w:div w:id="84495387">
          <w:marLeft w:val="1166"/>
          <w:marRight w:val="0"/>
          <w:marTop w:val="86"/>
          <w:marBottom w:val="0"/>
          <w:divBdr>
            <w:top w:val="none" w:sz="0" w:space="0" w:color="auto"/>
            <w:left w:val="none" w:sz="0" w:space="0" w:color="auto"/>
            <w:bottom w:val="none" w:sz="0" w:space="0" w:color="auto"/>
            <w:right w:val="none" w:sz="0" w:space="0" w:color="auto"/>
          </w:divBdr>
        </w:div>
        <w:div w:id="1380784644">
          <w:marLeft w:val="1166"/>
          <w:marRight w:val="0"/>
          <w:marTop w:val="86"/>
          <w:marBottom w:val="0"/>
          <w:divBdr>
            <w:top w:val="none" w:sz="0" w:space="0" w:color="auto"/>
            <w:left w:val="none" w:sz="0" w:space="0" w:color="auto"/>
            <w:bottom w:val="none" w:sz="0" w:space="0" w:color="auto"/>
            <w:right w:val="none" w:sz="0" w:space="0" w:color="auto"/>
          </w:divBdr>
        </w:div>
      </w:divsChild>
    </w:div>
    <w:div w:id="272783898">
      <w:bodyDiv w:val="1"/>
      <w:marLeft w:val="0"/>
      <w:marRight w:val="0"/>
      <w:marTop w:val="0"/>
      <w:marBottom w:val="0"/>
      <w:divBdr>
        <w:top w:val="none" w:sz="0" w:space="0" w:color="auto"/>
        <w:left w:val="none" w:sz="0" w:space="0" w:color="auto"/>
        <w:bottom w:val="none" w:sz="0" w:space="0" w:color="auto"/>
        <w:right w:val="none" w:sz="0" w:space="0" w:color="auto"/>
      </w:divBdr>
    </w:div>
    <w:div w:id="279145732">
      <w:bodyDiv w:val="1"/>
      <w:marLeft w:val="0"/>
      <w:marRight w:val="0"/>
      <w:marTop w:val="0"/>
      <w:marBottom w:val="0"/>
      <w:divBdr>
        <w:top w:val="none" w:sz="0" w:space="0" w:color="auto"/>
        <w:left w:val="none" w:sz="0" w:space="0" w:color="auto"/>
        <w:bottom w:val="none" w:sz="0" w:space="0" w:color="auto"/>
        <w:right w:val="none" w:sz="0" w:space="0" w:color="auto"/>
      </w:divBdr>
    </w:div>
    <w:div w:id="314771207">
      <w:bodyDiv w:val="1"/>
      <w:marLeft w:val="0"/>
      <w:marRight w:val="0"/>
      <w:marTop w:val="0"/>
      <w:marBottom w:val="0"/>
      <w:divBdr>
        <w:top w:val="none" w:sz="0" w:space="0" w:color="auto"/>
        <w:left w:val="none" w:sz="0" w:space="0" w:color="auto"/>
        <w:bottom w:val="none" w:sz="0" w:space="0" w:color="auto"/>
        <w:right w:val="none" w:sz="0" w:space="0" w:color="auto"/>
      </w:divBdr>
      <w:divsChild>
        <w:div w:id="1853177095">
          <w:marLeft w:val="547"/>
          <w:marRight w:val="0"/>
          <w:marTop w:val="96"/>
          <w:marBottom w:val="0"/>
          <w:divBdr>
            <w:top w:val="none" w:sz="0" w:space="0" w:color="auto"/>
            <w:left w:val="none" w:sz="0" w:space="0" w:color="auto"/>
            <w:bottom w:val="none" w:sz="0" w:space="0" w:color="auto"/>
            <w:right w:val="none" w:sz="0" w:space="0" w:color="auto"/>
          </w:divBdr>
        </w:div>
        <w:div w:id="1205413393">
          <w:marLeft w:val="1166"/>
          <w:marRight w:val="0"/>
          <w:marTop w:val="96"/>
          <w:marBottom w:val="0"/>
          <w:divBdr>
            <w:top w:val="none" w:sz="0" w:space="0" w:color="auto"/>
            <w:left w:val="none" w:sz="0" w:space="0" w:color="auto"/>
            <w:bottom w:val="none" w:sz="0" w:space="0" w:color="auto"/>
            <w:right w:val="none" w:sz="0" w:space="0" w:color="auto"/>
          </w:divBdr>
        </w:div>
        <w:div w:id="1205020515">
          <w:marLeft w:val="1166"/>
          <w:marRight w:val="0"/>
          <w:marTop w:val="96"/>
          <w:marBottom w:val="0"/>
          <w:divBdr>
            <w:top w:val="none" w:sz="0" w:space="0" w:color="auto"/>
            <w:left w:val="none" w:sz="0" w:space="0" w:color="auto"/>
            <w:bottom w:val="none" w:sz="0" w:space="0" w:color="auto"/>
            <w:right w:val="none" w:sz="0" w:space="0" w:color="auto"/>
          </w:divBdr>
        </w:div>
        <w:div w:id="1722635793">
          <w:marLeft w:val="1166"/>
          <w:marRight w:val="0"/>
          <w:marTop w:val="96"/>
          <w:marBottom w:val="0"/>
          <w:divBdr>
            <w:top w:val="none" w:sz="0" w:space="0" w:color="auto"/>
            <w:left w:val="none" w:sz="0" w:space="0" w:color="auto"/>
            <w:bottom w:val="none" w:sz="0" w:space="0" w:color="auto"/>
            <w:right w:val="none" w:sz="0" w:space="0" w:color="auto"/>
          </w:divBdr>
        </w:div>
        <w:div w:id="125664082">
          <w:marLeft w:val="547"/>
          <w:marRight w:val="0"/>
          <w:marTop w:val="96"/>
          <w:marBottom w:val="0"/>
          <w:divBdr>
            <w:top w:val="none" w:sz="0" w:space="0" w:color="auto"/>
            <w:left w:val="none" w:sz="0" w:space="0" w:color="auto"/>
            <w:bottom w:val="none" w:sz="0" w:space="0" w:color="auto"/>
            <w:right w:val="none" w:sz="0" w:space="0" w:color="auto"/>
          </w:divBdr>
        </w:div>
      </w:divsChild>
    </w:div>
    <w:div w:id="316880068">
      <w:bodyDiv w:val="1"/>
      <w:marLeft w:val="0"/>
      <w:marRight w:val="0"/>
      <w:marTop w:val="0"/>
      <w:marBottom w:val="0"/>
      <w:divBdr>
        <w:top w:val="none" w:sz="0" w:space="0" w:color="auto"/>
        <w:left w:val="none" w:sz="0" w:space="0" w:color="auto"/>
        <w:bottom w:val="none" w:sz="0" w:space="0" w:color="auto"/>
        <w:right w:val="none" w:sz="0" w:space="0" w:color="auto"/>
      </w:divBdr>
      <w:divsChild>
        <w:div w:id="11303031">
          <w:marLeft w:val="547"/>
          <w:marRight w:val="0"/>
          <w:marTop w:val="240"/>
          <w:marBottom w:val="0"/>
          <w:divBdr>
            <w:top w:val="none" w:sz="0" w:space="0" w:color="auto"/>
            <w:left w:val="none" w:sz="0" w:space="0" w:color="auto"/>
            <w:bottom w:val="none" w:sz="0" w:space="0" w:color="auto"/>
            <w:right w:val="none" w:sz="0" w:space="0" w:color="auto"/>
          </w:divBdr>
        </w:div>
      </w:divsChild>
    </w:div>
    <w:div w:id="396515528">
      <w:bodyDiv w:val="1"/>
      <w:marLeft w:val="0"/>
      <w:marRight w:val="0"/>
      <w:marTop w:val="0"/>
      <w:marBottom w:val="0"/>
      <w:divBdr>
        <w:top w:val="none" w:sz="0" w:space="0" w:color="auto"/>
        <w:left w:val="none" w:sz="0" w:space="0" w:color="auto"/>
        <w:bottom w:val="none" w:sz="0" w:space="0" w:color="auto"/>
        <w:right w:val="none" w:sz="0" w:space="0" w:color="auto"/>
      </w:divBdr>
    </w:div>
    <w:div w:id="431704879">
      <w:bodyDiv w:val="1"/>
      <w:marLeft w:val="0"/>
      <w:marRight w:val="0"/>
      <w:marTop w:val="0"/>
      <w:marBottom w:val="0"/>
      <w:divBdr>
        <w:top w:val="none" w:sz="0" w:space="0" w:color="auto"/>
        <w:left w:val="none" w:sz="0" w:space="0" w:color="auto"/>
        <w:bottom w:val="none" w:sz="0" w:space="0" w:color="auto"/>
        <w:right w:val="none" w:sz="0" w:space="0" w:color="auto"/>
      </w:divBdr>
    </w:div>
    <w:div w:id="431776904">
      <w:bodyDiv w:val="1"/>
      <w:marLeft w:val="0"/>
      <w:marRight w:val="0"/>
      <w:marTop w:val="0"/>
      <w:marBottom w:val="0"/>
      <w:divBdr>
        <w:top w:val="none" w:sz="0" w:space="0" w:color="auto"/>
        <w:left w:val="none" w:sz="0" w:space="0" w:color="auto"/>
        <w:bottom w:val="none" w:sz="0" w:space="0" w:color="auto"/>
        <w:right w:val="none" w:sz="0" w:space="0" w:color="auto"/>
      </w:divBdr>
    </w:div>
    <w:div w:id="436174158">
      <w:bodyDiv w:val="1"/>
      <w:marLeft w:val="0"/>
      <w:marRight w:val="0"/>
      <w:marTop w:val="0"/>
      <w:marBottom w:val="0"/>
      <w:divBdr>
        <w:top w:val="none" w:sz="0" w:space="0" w:color="auto"/>
        <w:left w:val="none" w:sz="0" w:space="0" w:color="auto"/>
        <w:bottom w:val="none" w:sz="0" w:space="0" w:color="auto"/>
        <w:right w:val="none" w:sz="0" w:space="0" w:color="auto"/>
      </w:divBdr>
      <w:divsChild>
        <w:div w:id="342050889">
          <w:marLeft w:val="547"/>
          <w:marRight w:val="0"/>
          <w:marTop w:val="96"/>
          <w:marBottom w:val="0"/>
          <w:divBdr>
            <w:top w:val="none" w:sz="0" w:space="0" w:color="auto"/>
            <w:left w:val="none" w:sz="0" w:space="0" w:color="auto"/>
            <w:bottom w:val="none" w:sz="0" w:space="0" w:color="auto"/>
            <w:right w:val="none" w:sz="0" w:space="0" w:color="auto"/>
          </w:divBdr>
        </w:div>
        <w:div w:id="1396247361">
          <w:marLeft w:val="547"/>
          <w:marRight w:val="0"/>
          <w:marTop w:val="96"/>
          <w:marBottom w:val="0"/>
          <w:divBdr>
            <w:top w:val="none" w:sz="0" w:space="0" w:color="auto"/>
            <w:left w:val="none" w:sz="0" w:space="0" w:color="auto"/>
            <w:bottom w:val="none" w:sz="0" w:space="0" w:color="auto"/>
            <w:right w:val="none" w:sz="0" w:space="0" w:color="auto"/>
          </w:divBdr>
        </w:div>
        <w:div w:id="1521967655">
          <w:marLeft w:val="1166"/>
          <w:marRight w:val="0"/>
          <w:marTop w:val="96"/>
          <w:marBottom w:val="0"/>
          <w:divBdr>
            <w:top w:val="none" w:sz="0" w:space="0" w:color="auto"/>
            <w:left w:val="none" w:sz="0" w:space="0" w:color="auto"/>
            <w:bottom w:val="none" w:sz="0" w:space="0" w:color="auto"/>
            <w:right w:val="none" w:sz="0" w:space="0" w:color="auto"/>
          </w:divBdr>
        </w:div>
        <w:div w:id="1918202769">
          <w:marLeft w:val="1166"/>
          <w:marRight w:val="0"/>
          <w:marTop w:val="96"/>
          <w:marBottom w:val="0"/>
          <w:divBdr>
            <w:top w:val="none" w:sz="0" w:space="0" w:color="auto"/>
            <w:left w:val="none" w:sz="0" w:space="0" w:color="auto"/>
            <w:bottom w:val="none" w:sz="0" w:space="0" w:color="auto"/>
            <w:right w:val="none" w:sz="0" w:space="0" w:color="auto"/>
          </w:divBdr>
        </w:div>
        <w:div w:id="1515535765">
          <w:marLeft w:val="1166"/>
          <w:marRight w:val="0"/>
          <w:marTop w:val="96"/>
          <w:marBottom w:val="0"/>
          <w:divBdr>
            <w:top w:val="none" w:sz="0" w:space="0" w:color="auto"/>
            <w:left w:val="none" w:sz="0" w:space="0" w:color="auto"/>
            <w:bottom w:val="none" w:sz="0" w:space="0" w:color="auto"/>
            <w:right w:val="none" w:sz="0" w:space="0" w:color="auto"/>
          </w:divBdr>
        </w:div>
        <w:div w:id="1309745322">
          <w:marLeft w:val="1166"/>
          <w:marRight w:val="0"/>
          <w:marTop w:val="96"/>
          <w:marBottom w:val="0"/>
          <w:divBdr>
            <w:top w:val="none" w:sz="0" w:space="0" w:color="auto"/>
            <w:left w:val="none" w:sz="0" w:space="0" w:color="auto"/>
            <w:bottom w:val="none" w:sz="0" w:space="0" w:color="auto"/>
            <w:right w:val="none" w:sz="0" w:space="0" w:color="auto"/>
          </w:divBdr>
        </w:div>
      </w:divsChild>
    </w:div>
    <w:div w:id="485240817">
      <w:bodyDiv w:val="1"/>
      <w:marLeft w:val="0"/>
      <w:marRight w:val="0"/>
      <w:marTop w:val="0"/>
      <w:marBottom w:val="0"/>
      <w:divBdr>
        <w:top w:val="none" w:sz="0" w:space="0" w:color="auto"/>
        <w:left w:val="none" w:sz="0" w:space="0" w:color="auto"/>
        <w:bottom w:val="none" w:sz="0" w:space="0" w:color="auto"/>
        <w:right w:val="none" w:sz="0" w:space="0" w:color="auto"/>
      </w:divBdr>
      <w:divsChild>
        <w:div w:id="836267518">
          <w:marLeft w:val="0"/>
          <w:marRight w:val="0"/>
          <w:marTop w:val="240"/>
          <w:marBottom w:val="240"/>
          <w:divBdr>
            <w:top w:val="none" w:sz="0" w:space="0" w:color="auto"/>
            <w:left w:val="none" w:sz="0" w:space="0" w:color="auto"/>
            <w:bottom w:val="none" w:sz="0" w:space="0" w:color="auto"/>
            <w:right w:val="none" w:sz="0" w:space="0" w:color="auto"/>
          </w:divBdr>
        </w:div>
        <w:div w:id="1578321159">
          <w:marLeft w:val="0"/>
          <w:marRight w:val="0"/>
          <w:marTop w:val="240"/>
          <w:marBottom w:val="240"/>
          <w:divBdr>
            <w:top w:val="none" w:sz="0" w:space="0" w:color="auto"/>
            <w:left w:val="none" w:sz="0" w:space="0" w:color="auto"/>
            <w:bottom w:val="none" w:sz="0" w:space="0" w:color="auto"/>
            <w:right w:val="none" w:sz="0" w:space="0" w:color="auto"/>
          </w:divBdr>
        </w:div>
        <w:div w:id="1501848447">
          <w:marLeft w:val="0"/>
          <w:marRight w:val="0"/>
          <w:marTop w:val="240"/>
          <w:marBottom w:val="240"/>
          <w:divBdr>
            <w:top w:val="none" w:sz="0" w:space="0" w:color="auto"/>
            <w:left w:val="none" w:sz="0" w:space="0" w:color="auto"/>
            <w:bottom w:val="none" w:sz="0" w:space="0" w:color="auto"/>
            <w:right w:val="none" w:sz="0" w:space="0" w:color="auto"/>
          </w:divBdr>
        </w:div>
        <w:div w:id="1464614430">
          <w:marLeft w:val="0"/>
          <w:marRight w:val="0"/>
          <w:marTop w:val="240"/>
          <w:marBottom w:val="240"/>
          <w:divBdr>
            <w:top w:val="none" w:sz="0" w:space="0" w:color="auto"/>
            <w:left w:val="none" w:sz="0" w:space="0" w:color="auto"/>
            <w:bottom w:val="none" w:sz="0" w:space="0" w:color="auto"/>
            <w:right w:val="none" w:sz="0" w:space="0" w:color="auto"/>
          </w:divBdr>
        </w:div>
        <w:div w:id="1100098869">
          <w:marLeft w:val="0"/>
          <w:marRight w:val="0"/>
          <w:marTop w:val="240"/>
          <w:marBottom w:val="240"/>
          <w:divBdr>
            <w:top w:val="none" w:sz="0" w:space="0" w:color="auto"/>
            <w:left w:val="none" w:sz="0" w:space="0" w:color="auto"/>
            <w:bottom w:val="none" w:sz="0" w:space="0" w:color="auto"/>
            <w:right w:val="none" w:sz="0" w:space="0" w:color="auto"/>
          </w:divBdr>
        </w:div>
        <w:div w:id="2130975276">
          <w:marLeft w:val="0"/>
          <w:marRight w:val="0"/>
          <w:marTop w:val="240"/>
          <w:marBottom w:val="240"/>
          <w:divBdr>
            <w:top w:val="none" w:sz="0" w:space="0" w:color="auto"/>
            <w:left w:val="none" w:sz="0" w:space="0" w:color="auto"/>
            <w:bottom w:val="none" w:sz="0" w:space="0" w:color="auto"/>
            <w:right w:val="none" w:sz="0" w:space="0" w:color="auto"/>
          </w:divBdr>
        </w:div>
      </w:divsChild>
    </w:div>
    <w:div w:id="496193773">
      <w:bodyDiv w:val="1"/>
      <w:marLeft w:val="0"/>
      <w:marRight w:val="0"/>
      <w:marTop w:val="0"/>
      <w:marBottom w:val="0"/>
      <w:divBdr>
        <w:top w:val="none" w:sz="0" w:space="0" w:color="auto"/>
        <w:left w:val="none" w:sz="0" w:space="0" w:color="auto"/>
        <w:bottom w:val="none" w:sz="0" w:space="0" w:color="auto"/>
        <w:right w:val="none" w:sz="0" w:space="0" w:color="auto"/>
      </w:divBdr>
    </w:div>
    <w:div w:id="500897314">
      <w:bodyDiv w:val="1"/>
      <w:marLeft w:val="0"/>
      <w:marRight w:val="0"/>
      <w:marTop w:val="0"/>
      <w:marBottom w:val="0"/>
      <w:divBdr>
        <w:top w:val="none" w:sz="0" w:space="0" w:color="auto"/>
        <w:left w:val="none" w:sz="0" w:space="0" w:color="auto"/>
        <w:bottom w:val="none" w:sz="0" w:space="0" w:color="auto"/>
        <w:right w:val="none" w:sz="0" w:space="0" w:color="auto"/>
      </w:divBdr>
      <w:divsChild>
        <w:div w:id="788202630">
          <w:marLeft w:val="547"/>
          <w:marRight w:val="0"/>
          <w:marTop w:val="96"/>
          <w:marBottom w:val="0"/>
          <w:divBdr>
            <w:top w:val="none" w:sz="0" w:space="0" w:color="auto"/>
            <w:left w:val="none" w:sz="0" w:space="0" w:color="auto"/>
            <w:bottom w:val="none" w:sz="0" w:space="0" w:color="auto"/>
            <w:right w:val="none" w:sz="0" w:space="0" w:color="auto"/>
          </w:divBdr>
        </w:div>
      </w:divsChild>
    </w:div>
    <w:div w:id="518394712">
      <w:bodyDiv w:val="1"/>
      <w:marLeft w:val="0"/>
      <w:marRight w:val="0"/>
      <w:marTop w:val="0"/>
      <w:marBottom w:val="0"/>
      <w:divBdr>
        <w:top w:val="none" w:sz="0" w:space="0" w:color="auto"/>
        <w:left w:val="none" w:sz="0" w:space="0" w:color="auto"/>
        <w:bottom w:val="none" w:sz="0" w:space="0" w:color="auto"/>
        <w:right w:val="none" w:sz="0" w:space="0" w:color="auto"/>
      </w:divBdr>
    </w:div>
    <w:div w:id="536772545">
      <w:bodyDiv w:val="1"/>
      <w:marLeft w:val="0"/>
      <w:marRight w:val="0"/>
      <w:marTop w:val="0"/>
      <w:marBottom w:val="0"/>
      <w:divBdr>
        <w:top w:val="none" w:sz="0" w:space="0" w:color="auto"/>
        <w:left w:val="none" w:sz="0" w:space="0" w:color="auto"/>
        <w:bottom w:val="none" w:sz="0" w:space="0" w:color="auto"/>
        <w:right w:val="none" w:sz="0" w:space="0" w:color="auto"/>
      </w:divBdr>
      <w:divsChild>
        <w:div w:id="1763836962">
          <w:marLeft w:val="547"/>
          <w:marRight w:val="0"/>
          <w:marTop w:val="144"/>
          <w:marBottom w:val="0"/>
          <w:divBdr>
            <w:top w:val="none" w:sz="0" w:space="0" w:color="auto"/>
            <w:left w:val="none" w:sz="0" w:space="0" w:color="auto"/>
            <w:bottom w:val="none" w:sz="0" w:space="0" w:color="auto"/>
            <w:right w:val="none" w:sz="0" w:space="0" w:color="auto"/>
          </w:divBdr>
        </w:div>
        <w:div w:id="553076929">
          <w:marLeft w:val="547"/>
          <w:marRight w:val="0"/>
          <w:marTop w:val="144"/>
          <w:marBottom w:val="0"/>
          <w:divBdr>
            <w:top w:val="none" w:sz="0" w:space="0" w:color="auto"/>
            <w:left w:val="none" w:sz="0" w:space="0" w:color="auto"/>
            <w:bottom w:val="none" w:sz="0" w:space="0" w:color="auto"/>
            <w:right w:val="none" w:sz="0" w:space="0" w:color="auto"/>
          </w:divBdr>
        </w:div>
      </w:divsChild>
    </w:div>
    <w:div w:id="565145059">
      <w:bodyDiv w:val="1"/>
      <w:marLeft w:val="0"/>
      <w:marRight w:val="0"/>
      <w:marTop w:val="0"/>
      <w:marBottom w:val="0"/>
      <w:divBdr>
        <w:top w:val="none" w:sz="0" w:space="0" w:color="auto"/>
        <w:left w:val="none" w:sz="0" w:space="0" w:color="auto"/>
        <w:bottom w:val="none" w:sz="0" w:space="0" w:color="auto"/>
        <w:right w:val="none" w:sz="0" w:space="0" w:color="auto"/>
      </w:divBdr>
    </w:div>
    <w:div w:id="653603446">
      <w:bodyDiv w:val="1"/>
      <w:marLeft w:val="0"/>
      <w:marRight w:val="0"/>
      <w:marTop w:val="0"/>
      <w:marBottom w:val="0"/>
      <w:divBdr>
        <w:top w:val="none" w:sz="0" w:space="0" w:color="auto"/>
        <w:left w:val="none" w:sz="0" w:space="0" w:color="auto"/>
        <w:bottom w:val="none" w:sz="0" w:space="0" w:color="auto"/>
        <w:right w:val="none" w:sz="0" w:space="0" w:color="auto"/>
      </w:divBdr>
    </w:div>
    <w:div w:id="696079160">
      <w:bodyDiv w:val="1"/>
      <w:marLeft w:val="0"/>
      <w:marRight w:val="0"/>
      <w:marTop w:val="0"/>
      <w:marBottom w:val="0"/>
      <w:divBdr>
        <w:top w:val="none" w:sz="0" w:space="0" w:color="auto"/>
        <w:left w:val="none" w:sz="0" w:space="0" w:color="auto"/>
        <w:bottom w:val="none" w:sz="0" w:space="0" w:color="auto"/>
        <w:right w:val="none" w:sz="0" w:space="0" w:color="auto"/>
      </w:divBdr>
      <w:divsChild>
        <w:div w:id="1274289315">
          <w:marLeft w:val="547"/>
          <w:marRight w:val="0"/>
          <w:marTop w:val="106"/>
          <w:marBottom w:val="0"/>
          <w:divBdr>
            <w:top w:val="none" w:sz="0" w:space="0" w:color="auto"/>
            <w:left w:val="none" w:sz="0" w:space="0" w:color="auto"/>
            <w:bottom w:val="none" w:sz="0" w:space="0" w:color="auto"/>
            <w:right w:val="none" w:sz="0" w:space="0" w:color="auto"/>
          </w:divBdr>
        </w:div>
        <w:div w:id="1770537964">
          <w:marLeft w:val="547"/>
          <w:marRight w:val="0"/>
          <w:marTop w:val="106"/>
          <w:marBottom w:val="0"/>
          <w:divBdr>
            <w:top w:val="none" w:sz="0" w:space="0" w:color="auto"/>
            <w:left w:val="none" w:sz="0" w:space="0" w:color="auto"/>
            <w:bottom w:val="none" w:sz="0" w:space="0" w:color="auto"/>
            <w:right w:val="none" w:sz="0" w:space="0" w:color="auto"/>
          </w:divBdr>
        </w:div>
        <w:div w:id="74321303">
          <w:marLeft w:val="547"/>
          <w:marRight w:val="0"/>
          <w:marTop w:val="106"/>
          <w:marBottom w:val="0"/>
          <w:divBdr>
            <w:top w:val="none" w:sz="0" w:space="0" w:color="auto"/>
            <w:left w:val="none" w:sz="0" w:space="0" w:color="auto"/>
            <w:bottom w:val="none" w:sz="0" w:space="0" w:color="auto"/>
            <w:right w:val="none" w:sz="0" w:space="0" w:color="auto"/>
          </w:divBdr>
        </w:div>
        <w:div w:id="401609423">
          <w:marLeft w:val="1166"/>
          <w:marRight w:val="0"/>
          <w:marTop w:val="106"/>
          <w:marBottom w:val="0"/>
          <w:divBdr>
            <w:top w:val="none" w:sz="0" w:space="0" w:color="auto"/>
            <w:left w:val="none" w:sz="0" w:space="0" w:color="auto"/>
            <w:bottom w:val="none" w:sz="0" w:space="0" w:color="auto"/>
            <w:right w:val="none" w:sz="0" w:space="0" w:color="auto"/>
          </w:divBdr>
        </w:div>
        <w:div w:id="936865491">
          <w:marLeft w:val="1166"/>
          <w:marRight w:val="0"/>
          <w:marTop w:val="101"/>
          <w:marBottom w:val="0"/>
          <w:divBdr>
            <w:top w:val="none" w:sz="0" w:space="0" w:color="auto"/>
            <w:left w:val="none" w:sz="0" w:space="0" w:color="auto"/>
            <w:bottom w:val="none" w:sz="0" w:space="0" w:color="auto"/>
            <w:right w:val="none" w:sz="0" w:space="0" w:color="auto"/>
          </w:divBdr>
        </w:div>
        <w:div w:id="887229182">
          <w:marLeft w:val="1166"/>
          <w:marRight w:val="0"/>
          <w:marTop w:val="106"/>
          <w:marBottom w:val="0"/>
          <w:divBdr>
            <w:top w:val="none" w:sz="0" w:space="0" w:color="auto"/>
            <w:left w:val="none" w:sz="0" w:space="0" w:color="auto"/>
            <w:bottom w:val="none" w:sz="0" w:space="0" w:color="auto"/>
            <w:right w:val="none" w:sz="0" w:space="0" w:color="auto"/>
          </w:divBdr>
        </w:div>
        <w:div w:id="2111272611">
          <w:marLeft w:val="547"/>
          <w:marRight w:val="0"/>
          <w:marTop w:val="101"/>
          <w:marBottom w:val="0"/>
          <w:divBdr>
            <w:top w:val="none" w:sz="0" w:space="0" w:color="auto"/>
            <w:left w:val="none" w:sz="0" w:space="0" w:color="auto"/>
            <w:bottom w:val="none" w:sz="0" w:space="0" w:color="auto"/>
            <w:right w:val="none" w:sz="0" w:space="0" w:color="auto"/>
          </w:divBdr>
        </w:div>
        <w:div w:id="1174490081">
          <w:marLeft w:val="547"/>
          <w:marRight w:val="0"/>
          <w:marTop w:val="101"/>
          <w:marBottom w:val="0"/>
          <w:divBdr>
            <w:top w:val="none" w:sz="0" w:space="0" w:color="auto"/>
            <w:left w:val="none" w:sz="0" w:space="0" w:color="auto"/>
            <w:bottom w:val="none" w:sz="0" w:space="0" w:color="auto"/>
            <w:right w:val="none" w:sz="0" w:space="0" w:color="auto"/>
          </w:divBdr>
        </w:div>
        <w:div w:id="1994987486">
          <w:marLeft w:val="547"/>
          <w:marRight w:val="0"/>
          <w:marTop w:val="101"/>
          <w:marBottom w:val="0"/>
          <w:divBdr>
            <w:top w:val="none" w:sz="0" w:space="0" w:color="auto"/>
            <w:left w:val="none" w:sz="0" w:space="0" w:color="auto"/>
            <w:bottom w:val="none" w:sz="0" w:space="0" w:color="auto"/>
            <w:right w:val="none" w:sz="0" w:space="0" w:color="auto"/>
          </w:divBdr>
        </w:div>
      </w:divsChild>
    </w:div>
    <w:div w:id="713193215">
      <w:bodyDiv w:val="1"/>
      <w:marLeft w:val="0"/>
      <w:marRight w:val="0"/>
      <w:marTop w:val="0"/>
      <w:marBottom w:val="0"/>
      <w:divBdr>
        <w:top w:val="none" w:sz="0" w:space="0" w:color="auto"/>
        <w:left w:val="none" w:sz="0" w:space="0" w:color="auto"/>
        <w:bottom w:val="none" w:sz="0" w:space="0" w:color="auto"/>
        <w:right w:val="none" w:sz="0" w:space="0" w:color="auto"/>
      </w:divBdr>
    </w:div>
    <w:div w:id="752354575">
      <w:bodyDiv w:val="1"/>
      <w:marLeft w:val="0"/>
      <w:marRight w:val="0"/>
      <w:marTop w:val="0"/>
      <w:marBottom w:val="0"/>
      <w:divBdr>
        <w:top w:val="none" w:sz="0" w:space="0" w:color="auto"/>
        <w:left w:val="none" w:sz="0" w:space="0" w:color="auto"/>
        <w:bottom w:val="none" w:sz="0" w:space="0" w:color="auto"/>
        <w:right w:val="none" w:sz="0" w:space="0" w:color="auto"/>
      </w:divBdr>
    </w:div>
    <w:div w:id="755051799">
      <w:bodyDiv w:val="1"/>
      <w:marLeft w:val="0"/>
      <w:marRight w:val="0"/>
      <w:marTop w:val="0"/>
      <w:marBottom w:val="0"/>
      <w:divBdr>
        <w:top w:val="none" w:sz="0" w:space="0" w:color="auto"/>
        <w:left w:val="none" w:sz="0" w:space="0" w:color="auto"/>
        <w:bottom w:val="none" w:sz="0" w:space="0" w:color="auto"/>
        <w:right w:val="none" w:sz="0" w:space="0" w:color="auto"/>
      </w:divBdr>
      <w:divsChild>
        <w:div w:id="1081410183">
          <w:marLeft w:val="547"/>
          <w:marRight w:val="0"/>
          <w:marTop w:val="264"/>
          <w:marBottom w:val="0"/>
          <w:divBdr>
            <w:top w:val="none" w:sz="0" w:space="0" w:color="auto"/>
            <w:left w:val="none" w:sz="0" w:space="0" w:color="auto"/>
            <w:bottom w:val="none" w:sz="0" w:space="0" w:color="auto"/>
            <w:right w:val="none" w:sz="0" w:space="0" w:color="auto"/>
          </w:divBdr>
        </w:div>
        <w:div w:id="1500734393">
          <w:marLeft w:val="1166"/>
          <w:marRight w:val="0"/>
          <w:marTop w:val="264"/>
          <w:marBottom w:val="0"/>
          <w:divBdr>
            <w:top w:val="none" w:sz="0" w:space="0" w:color="auto"/>
            <w:left w:val="none" w:sz="0" w:space="0" w:color="auto"/>
            <w:bottom w:val="none" w:sz="0" w:space="0" w:color="auto"/>
            <w:right w:val="none" w:sz="0" w:space="0" w:color="auto"/>
          </w:divBdr>
        </w:div>
        <w:div w:id="602033320">
          <w:marLeft w:val="1166"/>
          <w:marRight w:val="0"/>
          <w:marTop w:val="264"/>
          <w:marBottom w:val="0"/>
          <w:divBdr>
            <w:top w:val="none" w:sz="0" w:space="0" w:color="auto"/>
            <w:left w:val="none" w:sz="0" w:space="0" w:color="auto"/>
            <w:bottom w:val="none" w:sz="0" w:space="0" w:color="auto"/>
            <w:right w:val="none" w:sz="0" w:space="0" w:color="auto"/>
          </w:divBdr>
        </w:div>
        <w:div w:id="75130018">
          <w:marLeft w:val="1166"/>
          <w:marRight w:val="0"/>
          <w:marTop w:val="264"/>
          <w:marBottom w:val="0"/>
          <w:divBdr>
            <w:top w:val="none" w:sz="0" w:space="0" w:color="auto"/>
            <w:left w:val="none" w:sz="0" w:space="0" w:color="auto"/>
            <w:bottom w:val="none" w:sz="0" w:space="0" w:color="auto"/>
            <w:right w:val="none" w:sz="0" w:space="0" w:color="auto"/>
          </w:divBdr>
        </w:div>
        <w:div w:id="372119237">
          <w:marLeft w:val="1166"/>
          <w:marRight w:val="0"/>
          <w:marTop w:val="264"/>
          <w:marBottom w:val="0"/>
          <w:divBdr>
            <w:top w:val="none" w:sz="0" w:space="0" w:color="auto"/>
            <w:left w:val="none" w:sz="0" w:space="0" w:color="auto"/>
            <w:bottom w:val="none" w:sz="0" w:space="0" w:color="auto"/>
            <w:right w:val="none" w:sz="0" w:space="0" w:color="auto"/>
          </w:divBdr>
        </w:div>
        <w:div w:id="772019059">
          <w:marLeft w:val="1166"/>
          <w:marRight w:val="0"/>
          <w:marTop w:val="264"/>
          <w:marBottom w:val="0"/>
          <w:divBdr>
            <w:top w:val="none" w:sz="0" w:space="0" w:color="auto"/>
            <w:left w:val="none" w:sz="0" w:space="0" w:color="auto"/>
            <w:bottom w:val="none" w:sz="0" w:space="0" w:color="auto"/>
            <w:right w:val="none" w:sz="0" w:space="0" w:color="auto"/>
          </w:divBdr>
        </w:div>
      </w:divsChild>
    </w:div>
    <w:div w:id="772238692">
      <w:bodyDiv w:val="1"/>
      <w:marLeft w:val="0"/>
      <w:marRight w:val="0"/>
      <w:marTop w:val="0"/>
      <w:marBottom w:val="0"/>
      <w:divBdr>
        <w:top w:val="none" w:sz="0" w:space="0" w:color="auto"/>
        <w:left w:val="none" w:sz="0" w:space="0" w:color="auto"/>
        <w:bottom w:val="none" w:sz="0" w:space="0" w:color="auto"/>
        <w:right w:val="none" w:sz="0" w:space="0" w:color="auto"/>
      </w:divBdr>
    </w:div>
    <w:div w:id="826017891">
      <w:bodyDiv w:val="1"/>
      <w:marLeft w:val="0"/>
      <w:marRight w:val="0"/>
      <w:marTop w:val="0"/>
      <w:marBottom w:val="0"/>
      <w:divBdr>
        <w:top w:val="none" w:sz="0" w:space="0" w:color="auto"/>
        <w:left w:val="none" w:sz="0" w:space="0" w:color="auto"/>
        <w:bottom w:val="none" w:sz="0" w:space="0" w:color="auto"/>
        <w:right w:val="none" w:sz="0" w:space="0" w:color="auto"/>
      </w:divBdr>
      <w:divsChild>
        <w:div w:id="1398240399">
          <w:marLeft w:val="547"/>
          <w:marRight w:val="0"/>
          <w:marTop w:val="125"/>
          <w:marBottom w:val="0"/>
          <w:divBdr>
            <w:top w:val="none" w:sz="0" w:space="0" w:color="auto"/>
            <w:left w:val="none" w:sz="0" w:space="0" w:color="auto"/>
            <w:bottom w:val="none" w:sz="0" w:space="0" w:color="auto"/>
            <w:right w:val="none" w:sz="0" w:space="0" w:color="auto"/>
          </w:divBdr>
        </w:div>
        <w:div w:id="1659532131">
          <w:marLeft w:val="547"/>
          <w:marRight w:val="0"/>
          <w:marTop w:val="125"/>
          <w:marBottom w:val="0"/>
          <w:divBdr>
            <w:top w:val="none" w:sz="0" w:space="0" w:color="auto"/>
            <w:left w:val="none" w:sz="0" w:space="0" w:color="auto"/>
            <w:bottom w:val="none" w:sz="0" w:space="0" w:color="auto"/>
            <w:right w:val="none" w:sz="0" w:space="0" w:color="auto"/>
          </w:divBdr>
        </w:div>
      </w:divsChild>
    </w:div>
    <w:div w:id="878130725">
      <w:bodyDiv w:val="1"/>
      <w:marLeft w:val="0"/>
      <w:marRight w:val="0"/>
      <w:marTop w:val="0"/>
      <w:marBottom w:val="0"/>
      <w:divBdr>
        <w:top w:val="none" w:sz="0" w:space="0" w:color="auto"/>
        <w:left w:val="none" w:sz="0" w:space="0" w:color="auto"/>
        <w:bottom w:val="none" w:sz="0" w:space="0" w:color="auto"/>
        <w:right w:val="none" w:sz="0" w:space="0" w:color="auto"/>
      </w:divBdr>
      <w:divsChild>
        <w:div w:id="1404448420">
          <w:marLeft w:val="547"/>
          <w:marRight w:val="0"/>
          <w:marTop w:val="96"/>
          <w:marBottom w:val="0"/>
          <w:divBdr>
            <w:top w:val="none" w:sz="0" w:space="0" w:color="auto"/>
            <w:left w:val="none" w:sz="0" w:space="0" w:color="auto"/>
            <w:bottom w:val="none" w:sz="0" w:space="0" w:color="auto"/>
            <w:right w:val="none" w:sz="0" w:space="0" w:color="auto"/>
          </w:divBdr>
        </w:div>
        <w:div w:id="1757676979">
          <w:marLeft w:val="547"/>
          <w:marRight w:val="0"/>
          <w:marTop w:val="96"/>
          <w:marBottom w:val="0"/>
          <w:divBdr>
            <w:top w:val="none" w:sz="0" w:space="0" w:color="auto"/>
            <w:left w:val="none" w:sz="0" w:space="0" w:color="auto"/>
            <w:bottom w:val="none" w:sz="0" w:space="0" w:color="auto"/>
            <w:right w:val="none" w:sz="0" w:space="0" w:color="auto"/>
          </w:divBdr>
        </w:div>
      </w:divsChild>
    </w:div>
    <w:div w:id="881019174">
      <w:bodyDiv w:val="1"/>
      <w:marLeft w:val="0"/>
      <w:marRight w:val="0"/>
      <w:marTop w:val="0"/>
      <w:marBottom w:val="0"/>
      <w:divBdr>
        <w:top w:val="none" w:sz="0" w:space="0" w:color="auto"/>
        <w:left w:val="none" w:sz="0" w:space="0" w:color="auto"/>
        <w:bottom w:val="none" w:sz="0" w:space="0" w:color="auto"/>
        <w:right w:val="none" w:sz="0" w:space="0" w:color="auto"/>
      </w:divBdr>
    </w:div>
    <w:div w:id="886137454">
      <w:bodyDiv w:val="1"/>
      <w:marLeft w:val="0"/>
      <w:marRight w:val="0"/>
      <w:marTop w:val="0"/>
      <w:marBottom w:val="0"/>
      <w:divBdr>
        <w:top w:val="none" w:sz="0" w:space="0" w:color="auto"/>
        <w:left w:val="none" w:sz="0" w:space="0" w:color="auto"/>
        <w:bottom w:val="none" w:sz="0" w:space="0" w:color="auto"/>
        <w:right w:val="none" w:sz="0" w:space="0" w:color="auto"/>
      </w:divBdr>
      <w:divsChild>
        <w:div w:id="265308947">
          <w:marLeft w:val="547"/>
          <w:marRight w:val="0"/>
          <w:marTop w:val="154"/>
          <w:marBottom w:val="0"/>
          <w:divBdr>
            <w:top w:val="none" w:sz="0" w:space="0" w:color="auto"/>
            <w:left w:val="none" w:sz="0" w:space="0" w:color="auto"/>
            <w:bottom w:val="none" w:sz="0" w:space="0" w:color="auto"/>
            <w:right w:val="none" w:sz="0" w:space="0" w:color="auto"/>
          </w:divBdr>
        </w:div>
      </w:divsChild>
    </w:div>
    <w:div w:id="893586680">
      <w:bodyDiv w:val="1"/>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547"/>
          <w:marRight w:val="0"/>
          <w:marTop w:val="240"/>
          <w:marBottom w:val="0"/>
          <w:divBdr>
            <w:top w:val="none" w:sz="0" w:space="0" w:color="auto"/>
            <w:left w:val="none" w:sz="0" w:space="0" w:color="auto"/>
            <w:bottom w:val="none" w:sz="0" w:space="0" w:color="auto"/>
            <w:right w:val="none" w:sz="0" w:space="0" w:color="auto"/>
          </w:divBdr>
        </w:div>
      </w:divsChild>
    </w:div>
    <w:div w:id="916399565">
      <w:bodyDiv w:val="1"/>
      <w:marLeft w:val="0"/>
      <w:marRight w:val="0"/>
      <w:marTop w:val="0"/>
      <w:marBottom w:val="0"/>
      <w:divBdr>
        <w:top w:val="none" w:sz="0" w:space="0" w:color="auto"/>
        <w:left w:val="none" w:sz="0" w:space="0" w:color="auto"/>
        <w:bottom w:val="none" w:sz="0" w:space="0" w:color="auto"/>
        <w:right w:val="none" w:sz="0" w:space="0" w:color="auto"/>
      </w:divBdr>
      <w:divsChild>
        <w:div w:id="2015910732">
          <w:marLeft w:val="547"/>
          <w:marRight w:val="0"/>
          <w:marTop w:val="106"/>
          <w:marBottom w:val="0"/>
          <w:divBdr>
            <w:top w:val="none" w:sz="0" w:space="0" w:color="auto"/>
            <w:left w:val="none" w:sz="0" w:space="0" w:color="auto"/>
            <w:bottom w:val="none" w:sz="0" w:space="0" w:color="auto"/>
            <w:right w:val="none" w:sz="0" w:space="0" w:color="auto"/>
          </w:divBdr>
        </w:div>
        <w:div w:id="144393975">
          <w:marLeft w:val="547"/>
          <w:marRight w:val="0"/>
          <w:marTop w:val="106"/>
          <w:marBottom w:val="0"/>
          <w:divBdr>
            <w:top w:val="none" w:sz="0" w:space="0" w:color="auto"/>
            <w:left w:val="none" w:sz="0" w:space="0" w:color="auto"/>
            <w:bottom w:val="none" w:sz="0" w:space="0" w:color="auto"/>
            <w:right w:val="none" w:sz="0" w:space="0" w:color="auto"/>
          </w:divBdr>
        </w:div>
        <w:div w:id="760414696">
          <w:marLeft w:val="547"/>
          <w:marRight w:val="0"/>
          <w:marTop w:val="106"/>
          <w:marBottom w:val="0"/>
          <w:divBdr>
            <w:top w:val="none" w:sz="0" w:space="0" w:color="auto"/>
            <w:left w:val="none" w:sz="0" w:space="0" w:color="auto"/>
            <w:bottom w:val="none" w:sz="0" w:space="0" w:color="auto"/>
            <w:right w:val="none" w:sz="0" w:space="0" w:color="auto"/>
          </w:divBdr>
        </w:div>
      </w:divsChild>
    </w:div>
    <w:div w:id="957443897">
      <w:bodyDiv w:val="1"/>
      <w:marLeft w:val="0"/>
      <w:marRight w:val="0"/>
      <w:marTop w:val="0"/>
      <w:marBottom w:val="0"/>
      <w:divBdr>
        <w:top w:val="none" w:sz="0" w:space="0" w:color="auto"/>
        <w:left w:val="none" w:sz="0" w:space="0" w:color="auto"/>
        <w:bottom w:val="none" w:sz="0" w:space="0" w:color="auto"/>
        <w:right w:val="none" w:sz="0" w:space="0" w:color="auto"/>
      </w:divBdr>
    </w:div>
    <w:div w:id="964849758">
      <w:bodyDiv w:val="1"/>
      <w:marLeft w:val="0"/>
      <w:marRight w:val="0"/>
      <w:marTop w:val="0"/>
      <w:marBottom w:val="0"/>
      <w:divBdr>
        <w:top w:val="none" w:sz="0" w:space="0" w:color="auto"/>
        <w:left w:val="none" w:sz="0" w:space="0" w:color="auto"/>
        <w:bottom w:val="none" w:sz="0" w:space="0" w:color="auto"/>
        <w:right w:val="none" w:sz="0" w:space="0" w:color="auto"/>
      </w:divBdr>
    </w:div>
    <w:div w:id="978269022">
      <w:bodyDiv w:val="1"/>
      <w:marLeft w:val="0"/>
      <w:marRight w:val="0"/>
      <w:marTop w:val="0"/>
      <w:marBottom w:val="0"/>
      <w:divBdr>
        <w:top w:val="none" w:sz="0" w:space="0" w:color="auto"/>
        <w:left w:val="none" w:sz="0" w:space="0" w:color="auto"/>
        <w:bottom w:val="none" w:sz="0" w:space="0" w:color="auto"/>
        <w:right w:val="none" w:sz="0" w:space="0" w:color="auto"/>
      </w:divBdr>
    </w:div>
    <w:div w:id="980772729">
      <w:bodyDiv w:val="1"/>
      <w:marLeft w:val="0"/>
      <w:marRight w:val="0"/>
      <w:marTop w:val="0"/>
      <w:marBottom w:val="0"/>
      <w:divBdr>
        <w:top w:val="none" w:sz="0" w:space="0" w:color="auto"/>
        <w:left w:val="none" w:sz="0" w:space="0" w:color="auto"/>
        <w:bottom w:val="none" w:sz="0" w:space="0" w:color="auto"/>
        <w:right w:val="none" w:sz="0" w:space="0" w:color="auto"/>
      </w:divBdr>
    </w:div>
    <w:div w:id="1032995029">
      <w:bodyDiv w:val="1"/>
      <w:marLeft w:val="0"/>
      <w:marRight w:val="0"/>
      <w:marTop w:val="0"/>
      <w:marBottom w:val="0"/>
      <w:divBdr>
        <w:top w:val="none" w:sz="0" w:space="0" w:color="auto"/>
        <w:left w:val="none" w:sz="0" w:space="0" w:color="auto"/>
        <w:bottom w:val="none" w:sz="0" w:space="0" w:color="auto"/>
        <w:right w:val="none" w:sz="0" w:space="0" w:color="auto"/>
      </w:divBdr>
      <w:divsChild>
        <w:div w:id="280842693">
          <w:marLeft w:val="1166"/>
          <w:marRight w:val="0"/>
          <w:marTop w:val="86"/>
          <w:marBottom w:val="0"/>
          <w:divBdr>
            <w:top w:val="none" w:sz="0" w:space="0" w:color="auto"/>
            <w:left w:val="none" w:sz="0" w:space="0" w:color="auto"/>
            <w:bottom w:val="none" w:sz="0" w:space="0" w:color="auto"/>
            <w:right w:val="none" w:sz="0" w:space="0" w:color="auto"/>
          </w:divBdr>
        </w:div>
        <w:div w:id="525948989">
          <w:marLeft w:val="547"/>
          <w:marRight w:val="0"/>
          <w:marTop w:val="86"/>
          <w:marBottom w:val="0"/>
          <w:divBdr>
            <w:top w:val="none" w:sz="0" w:space="0" w:color="auto"/>
            <w:left w:val="none" w:sz="0" w:space="0" w:color="auto"/>
            <w:bottom w:val="none" w:sz="0" w:space="0" w:color="auto"/>
            <w:right w:val="none" w:sz="0" w:space="0" w:color="auto"/>
          </w:divBdr>
        </w:div>
        <w:div w:id="594897065">
          <w:marLeft w:val="1166"/>
          <w:marRight w:val="0"/>
          <w:marTop w:val="86"/>
          <w:marBottom w:val="0"/>
          <w:divBdr>
            <w:top w:val="none" w:sz="0" w:space="0" w:color="auto"/>
            <w:left w:val="none" w:sz="0" w:space="0" w:color="auto"/>
            <w:bottom w:val="none" w:sz="0" w:space="0" w:color="auto"/>
            <w:right w:val="none" w:sz="0" w:space="0" w:color="auto"/>
          </w:divBdr>
        </w:div>
        <w:div w:id="716317104">
          <w:marLeft w:val="1166"/>
          <w:marRight w:val="0"/>
          <w:marTop w:val="86"/>
          <w:marBottom w:val="0"/>
          <w:divBdr>
            <w:top w:val="none" w:sz="0" w:space="0" w:color="auto"/>
            <w:left w:val="none" w:sz="0" w:space="0" w:color="auto"/>
            <w:bottom w:val="none" w:sz="0" w:space="0" w:color="auto"/>
            <w:right w:val="none" w:sz="0" w:space="0" w:color="auto"/>
          </w:divBdr>
        </w:div>
        <w:div w:id="903443191">
          <w:marLeft w:val="1166"/>
          <w:marRight w:val="0"/>
          <w:marTop w:val="86"/>
          <w:marBottom w:val="0"/>
          <w:divBdr>
            <w:top w:val="none" w:sz="0" w:space="0" w:color="auto"/>
            <w:left w:val="none" w:sz="0" w:space="0" w:color="auto"/>
            <w:bottom w:val="none" w:sz="0" w:space="0" w:color="auto"/>
            <w:right w:val="none" w:sz="0" w:space="0" w:color="auto"/>
          </w:divBdr>
        </w:div>
        <w:div w:id="983117089">
          <w:marLeft w:val="547"/>
          <w:marRight w:val="0"/>
          <w:marTop w:val="86"/>
          <w:marBottom w:val="0"/>
          <w:divBdr>
            <w:top w:val="none" w:sz="0" w:space="0" w:color="auto"/>
            <w:left w:val="none" w:sz="0" w:space="0" w:color="auto"/>
            <w:bottom w:val="none" w:sz="0" w:space="0" w:color="auto"/>
            <w:right w:val="none" w:sz="0" w:space="0" w:color="auto"/>
          </w:divBdr>
        </w:div>
        <w:div w:id="1010329244">
          <w:marLeft w:val="1166"/>
          <w:marRight w:val="0"/>
          <w:marTop w:val="86"/>
          <w:marBottom w:val="0"/>
          <w:divBdr>
            <w:top w:val="none" w:sz="0" w:space="0" w:color="auto"/>
            <w:left w:val="none" w:sz="0" w:space="0" w:color="auto"/>
            <w:bottom w:val="none" w:sz="0" w:space="0" w:color="auto"/>
            <w:right w:val="none" w:sz="0" w:space="0" w:color="auto"/>
          </w:divBdr>
        </w:div>
        <w:div w:id="1286737095">
          <w:marLeft w:val="1166"/>
          <w:marRight w:val="0"/>
          <w:marTop w:val="86"/>
          <w:marBottom w:val="0"/>
          <w:divBdr>
            <w:top w:val="none" w:sz="0" w:space="0" w:color="auto"/>
            <w:left w:val="none" w:sz="0" w:space="0" w:color="auto"/>
            <w:bottom w:val="none" w:sz="0" w:space="0" w:color="auto"/>
            <w:right w:val="none" w:sz="0" w:space="0" w:color="auto"/>
          </w:divBdr>
        </w:div>
        <w:div w:id="1688558077">
          <w:marLeft w:val="1166"/>
          <w:marRight w:val="0"/>
          <w:marTop w:val="86"/>
          <w:marBottom w:val="0"/>
          <w:divBdr>
            <w:top w:val="none" w:sz="0" w:space="0" w:color="auto"/>
            <w:left w:val="none" w:sz="0" w:space="0" w:color="auto"/>
            <w:bottom w:val="none" w:sz="0" w:space="0" w:color="auto"/>
            <w:right w:val="none" w:sz="0" w:space="0" w:color="auto"/>
          </w:divBdr>
        </w:div>
        <w:div w:id="1768310839">
          <w:marLeft w:val="1166"/>
          <w:marRight w:val="0"/>
          <w:marTop w:val="86"/>
          <w:marBottom w:val="0"/>
          <w:divBdr>
            <w:top w:val="none" w:sz="0" w:space="0" w:color="auto"/>
            <w:left w:val="none" w:sz="0" w:space="0" w:color="auto"/>
            <w:bottom w:val="none" w:sz="0" w:space="0" w:color="auto"/>
            <w:right w:val="none" w:sz="0" w:space="0" w:color="auto"/>
          </w:divBdr>
        </w:div>
        <w:div w:id="2001424704">
          <w:marLeft w:val="547"/>
          <w:marRight w:val="0"/>
          <w:marTop w:val="86"/>
          <w:marBottom w:val="0"/>
          <w:divBdr>
            <w:top w:val="none" w:sz="0" w:space="0" w:color="auto"/>
            <w:left w:val="none" w:sz="0" w:space="0" w:color="auto"/>
            <w:bottom w:val="none" w:sz="0" w:space="0" w:color="auto"/>
            <w:right w:val="none" w:sz="0" w:space="0" w:color="auto"/>
          </w:divBdr>
        </w:div>
        <w:div w:id="2111510631">
          <w:marLeft w:val="547"/>
          <w:marRight w:val="0"/>
          <w:marTop w:val="86"/>
          <w:marBottom w:val="0"/>
          <w:divBdr>
            <w:top w:val="none" w:sz="0" w:space="0" w:color="auto"/>
            <w:left w:val="none" w:sz="0" w:space="0" w:color="auto"/>
            <w:bottom w:val="none" w:sz="0" w:space="0" w:color="auto"/>
            <w:right w:val="none" w:sz="0" w:space="0" w:color="auto"/>
          </w:divBdr>
        </w:div>
      </w:divsChild>
    </w:div>
    <w:div w:id="1038746671">
      <w:bodyDiv w:val="1"/>
      <w:marLeft w:val="0"/>
      <w:marRight w:val="0"/>
      <w:marTop w:val="0"/>
      <w:marBottom w:val="0"/>
      <w:divBdr>
        <w:top w:val="none" w:sz="0" w:space="0" w:color="auto"/>
        <w:left w:val="none" w:sz="0" w:space="0" w:color="auto"/>
        <w:bottom w:val="none" w:sz="0" w:space="0" w:color="auto"/>
        <w:right w:val="none" w:sz="0" w:space="0" w:color="auto"/>
      </w:divBdr>
    </w:div>
    <w:div w:id="1078943241">
      <w:bodyDiv w:val="1"/>
      <w:marLeft w:val="0"/>
      <w:marRight w:val="0"/>
      <w:marTop w:val="0"/>
      <w:marBottom w:val="0"/>
      <w:divBdr>
        <w:top w:val="none" w:sz="0" w:space="0" w:color="auto"/>
        <w:left w:val="none" w:sz="0" w:space="0" w:color="auto"/>
        <w:bottom w:val="none" w:sz="0" w:space="0" w:color="auto"/>
        <w:right w:val="none" w:sz="0" w:space="0" w:color="auto"/>
      </w:divBdr>
      <w:divsChild>
        <w:div w:id="1791777673">
          <w:marLeft w:val="547"/>
          <w:marRight w:val="0"/>
          <w:marTop w:val="96"/>
          <w:marBottom w:val="0"/>
          <w:divBdr>
            <w:top w:val="none" w:sz="0" w:space="0" w:color="auto"/>
            <w:left w:val="none" w:sz="0" w:space="0" w:color="auto"/>
            <w:bottom w:val="none" w:sz="0" w:space="0" w:color="auto"/>
            <w:right w:val="none" w:sz="0" w:space="0" w:color="auto"/>
          </w:divBdr>
        </w:div>
      </w:divsChild>
    </w:div>
    <w:div w:id="1175152609">
      <w:bodyDiv w:val="1"/>
      <w:marLeft w:val="0"/>
      <w:marRight w:val="0"/>
      <w:marTop w:val="0"/>
      <w:marBottom w:val="0"/>
      <w:divBdr>
        <w:top w:val="none" w:sz="0" w:space="0" w:color="auto"/>
        <w:left w:val="none" w:sz="0" w:space="0" w:color="auto"/>
        <w:bottom w:val="none" w:sz="0" w:space="0" w:color="auto"/>
        <w:right w:val="none" w:sz="0" w:space="0" w:color="auto"/>
      </w:divBdr>
      <w:divsChild>
        <w:div w:id="629165688">
          <w:marLeft w:val="547"/>
          <w:marRight w:val="0"/>
          <w:marTop w:val="154"/>
          <w:marBottom w:val="0"/>
          <w:divBdr>
            <w:top w:val="none" w:sz="0" w:space="0" w:color="auto"/>
            <w:left w:val="none" w:sz="0" w:space="0" w:color="auto"/>
            <w:bottom w:val="none" w:sz="0" w:space="0" w:color="auto"/>
            <w:right w:val="none" w:sz="0" w:space="0" w:color="auto"/>
          </w:divBdr>
        </w:div>
        <w:div w:id="1811091756">
          <w:marLeft w:val="547"/>
          <w:marRight w:val="0"/>
          <w:marTop w:val="154"/>
          <w:marBottom w:val="0"/>
          <w:divBdr>
            <w:top w:val="none" w:sz="0" w:space="0" w:color="auto"/>
            <w:left w:val="none" w:sz="0" w:space="0" w:color="auto"/>
            <w:bottom w:val="none" w:sz="0" w:space="0" w:color="auto"/>
            <w:right w:val="none" w:sz="0" w:space="0" w:color="auto"/>
          </w:divBdr>
        </w:div>
      </w:divsChild>
    </w:div>
    <w:div w:id="1206405941">
      <w:bodyDiv w:val="1"/>
      <w:marLeft w:val="0"/>
      <w:marRight w:val="0"/>
      <w:marTop w:val="0"/>
      <w:marBottom w:val="0"/>
      <w:divBdr>
        <w:top w:val="none" w:sz="0" w:space="0" w:color="auto"/>
        <w:left w:val="none" w:sz="0" w:space="0" w:color="auto"/>
        <w:bottom w:val="none" w:sz="0" w:space="0" w:color="auto"/>
        <w:right w:val="none" w:sz="0" w:space="0" w:color="auto"/>
      </w:divBdr>
      <w:divsChild>
        <w:div w:id="683092091">
          <w:marLeft w:val="547"/>
          <w:marRight w:val="0"/>
          <w:marTop w:val="96"/>
          <w:marBottom w:val="0"/>
          <w:divBdr>
            <w:top w:val="none" w:sz="0" w:space="0" w:color="auto"/>
            <w:left w:val="none" w:sz="0" w:space="0" w:color="auto"/>
            <w:bottom w:val="none" w:sz="0" w:space="0" w:color="auto"/>
            <w:right w:val="none" w:sz="0" w:space="0" w:color="auto"/>
          </w:divBdr>
        </w:div>
        <w:div w:id="429008287">
          <w:marLeft w:val="547"/>
          <w:marRight w:val="0"/>
          <w:marTop w:val="96"/>
          <w:marBottom w:val="0"/>
          <w:divBdr>
            <w:top w:val="none" w:sz="0" w:space="0" w:color="auto"/>
            <w:left w:val="none" w:sz="0" w:space="0" w:color="auto"/>
            <w:bottom w:val="none" w:sz="0" w:space="0" w:color="auto"/>
            <w:right w:val="none" w:sz="0" w:space="0" w:color="auto"/>
          </w:divBdr>
        </w:div>
      </w:divsChild>
    </w:div>
    <w:div w:id="1210414837">
      <w:bodyDiv w:val="1"/>
      <w:marLeft w:val="0"/>
      <w:marRight w:val="0"/>
      <w:marTop w:val="0"/>
      <w:marBottom w:val="0"/>
      <w:divBdr>
        <w:top w:val="none" w:sz="0" w:space="0" w:color="auto"/>
        <w:left w:val="none" w:sz="0" w:space="0" w:color="auto"/>
        <w:bottom w:val="none" w:sz="0" w:space="0" w:color="auto"/>
        <w:right w:val="none" w:sz="0" w:space="0" w:color="auto"/>
      </w:divBdr>
      <w:divsChild>
        <w:div w:id="2069649697">
          <w:marLeft w:val="547"/>
          <w:marRight w:val="0"/>
          <w:marTop w:val="96"/>
          <w:marBottom w:val="0"/>
          <w:divBdr>
            <w:top w:val="none" w:sz="0" w:space="0" w:color="auto"/>
            <w:left w:val="none" w:sz="0" w:space="0" w:color="auto"/>
            <w:bottom w:val="none" w:sz="0" w:space="0" w:color="auto"/>
            <w:right w:val="none" w:sz="0" w:space="0" w:color="auto"/>
          </w:divBdr>
        </w:div>
        <w:div w:id="49425305">
          <w:marLeft w:val="547"/>
          <w:marRight w:val="0"/>
          <w:marTop w:val="96"/>
          <w:marBottom w:val="0"/>
          <w:divBdr>
            <w:top w:val="none" w:sz="0" w:space="0" w:color="auto"/>
            <w:left w:val="none" w:sz="0" w:space="0" w:color="auto"/>
            <w:bottom w:val="none" w:sz="0" w:space="0" w:color="auto"/>
            <w:right w:val="none" w:sz="0" w:space="0" w:color="auto"/>
          </w:divBdr>
        </w:div>
        <w:div w:id="52892069">
          <w:marLeft w:val="547"/>
          <w:marRight w:val="0"/>
          <w:marTop w:val="96"/>
          <w:marBottom w:val="0"/>
          <w:divBdr>
            <w:top w:val="none" w:sz="0" w:space="0" w:color="auto"/>
            <w:left w:val="none" w:sz="0" w:space="0" w:color="auto"/>
            <w:bottom w:val="none" w:sz="0" w:space="0" w:color="auto"/>
            <w:right w:val="none" w:sz="0" w:space="0" w:color="auto"/>
          </w:divBdr>
        </w:div>
        <w:div w:id="485055433">
          <w:marLeft w:val="547"/>
          <w:marRight w:val="0"/>
          <w:marTop w:val="96"/>
          <w:marBottom w:val="0"/>
          <w:divBdr>
            <w:top w:val="none" w:sz="0" w:space="0" w:color="auto"/>
            <w:left w:val="none" w:sz="0" w:space="0" w:color="auto"/>
            <w:bottom w:val="none" w:sz="0" w:space="0" w:color="auto"/>
            <w:right w:val="none" w:sz="0" w:space="0" w:color="auto"/>
          </w:divBdr>
        </w:div>
      </w:divsChild>
    </w:div>
    <w:div w:id="1235046208">
      <w:bodyDiv w:val="1"/>
      <w:marLeft w:val="0"/>
      <w:marRight w:val="0"/>
      <w:marTop w:val="0"/>
      <w:marBottom w:val="0"/>
      <w:divBdr>
        <w:top w:val="none" w:sz="0" w:space="0" w:color="auto"/>
        <w:left w:val="none" w:sz="0" w:space="0" w:color="auto"/>
        <w:bottom w:val="none" w:sz="0" w:space="0" w:color="auto"/>
        <w:right w:val="none" w:sz="0" w:space="0" w:color="auto"/>
      </w:divBdr>
    </w:div>
    <w:div w:id="1260795859">
      <w:bodyDiv w:val="1"/>
      <w:marLeft w:val="0"/>
      <w:marRight w:val="0"/>
      <w:marTop w:val="0"/>
      <w:marBottom w:val="0"/>
      <w:divBdr>
        <w:top w:val="none" w:sz="0" w:space="0" w:color="auto"/>
        <w:left w:val="none" w:sz="0" w:space="0" w:color="auto"/>
        <w:bottom w:val="none" w:sz="0" w:space="0" w:color="auto"/>
        <w:right w:val="none" w:sz="0" w:space="0" w:color="auto"/>
      </w:divBdr>
      <w:divsChild>
        <w:div w:id="520171424">
          <w:marLeft w:val="547"/>
          <w:marRight w:val="0"/>
          <w:marTop w:val="96"/>
          <w:marBottom w:val="0"/>
          <w:divBdr>
            <w:top w:val="none" w:sz="0" w:space="0" w:color="auto"/>
            <w:left w:val="none" w:sz="0" w:space="0" w:color="auto"/>
            <w:bottom w:val="none" w:sz="0" w:space="0" w:color="auto"/>
            <w:right w:val="none" w:sz="0" w:space="0" w:color="auto"/>
          </w:divBdr>
        </w:div>
        <w:div w:id="200359509">
          <w:marLeft w:val="547"/>
          <w:marRight w:val="0"/>
          <w:marTop w:val="96"/>
          <w:marBottom w:val="0"/>
          <w:divBdr>
            <w:top w:val="none" w:sz="0" w:space="0" w:color="auto"/>
            <w:left w:val="none" w:sz="0" w:space="0" w:color="auto"/>
            <w:bottom w:val="none" w:sz="0" w:space="0" w:color="auto"/>
            <w:right w:val="none" w:sz="0" w:space="0" w:color="auto"/>
          </w:divBdr>
        </w:div>
        <w:div w:id="954292000">
          <w:marLeft w:val="547"/>
          <w:marRight w:val="0"/>
          <w:marTop w:val="96"/>
          <w:marBottom w:val="0"/>
          <w:divBdr>
            <w:top w:val="none" w:sz="0" w:space="0" w:color="auto"/>
            <w:left w:val="none" w:sz="0" w:space="0" w:color="auto"/>
            <w:bottom w:val="none" w:sz="0" w:space="0" w:color="auto"/>
            <w:right w:val="none" w:sz="0" w:space="0" w:color="auto"/>
          </w:divBdr>
        </w:div>
        <w:div w:id="1879583590">
          <w:marLeft w:val="547"/>
          <w:marRight w:val="0"/>
          <w:marTop w:val="96"/>
          <w:marBottom w:val="0"/>
          <w:divBdr>
            <w:top w:val="none" w:sz="0" w:space="0" w:color="auto"/>
            <w:left w:val="none" w:sz="0" w:space="0" w:color="auto"/>
            <w:bottom w:val="none" w:sz="0" w:space="0" w:color="auto"/>
            <w:right w:val="none" w:sz="0" w:space="0" w:color="auto"/>
          </w:divBdr>
        </w:div>
        <w:div w:id="345788247">
          <w:marLeft w:val="547"/>
          <w:marRight w:val="0"/>
          <w:marTop w:val="96"/>
          <w:marBottom w:val="0"/>
          <w:divBdr>
            <w:top w:val="none" w:sz="0" w:space="0" w:color="auto"/>
            <w:left w:val="none" w:sz="0" w:space="0" w:color="auto"/>
            <w:bottom w:val="none" w:sz="0" w:space="0" w:color="auto"/>
            <w:right w:val="none" w:sz="0" w:space="0" w:color="auto"/>
          </w:divBdr>
        </w:div>
      </w:divsChild>
    </w:div>
    <w:div w:id="1296448477">
      <w:bodyDiv w:val="1"/>
      <w:marLeft w:val="0"/>
      <w:marRight w:val="0"/>
      <w:marTop w:val="0"/>
      <w:marBottom w:val="0"/>
      <w:divBdr>
        <w:top w:val="none" w:sz="0" w:space="0" w:color="auto"/>
        <w:left w:val="none" w:sz="0" w:space="0" w:color="auto"/>
        <w:bottom w:val="none" w:sz="0" w:space="0" w:color="auto"/>
        <w:right w:val="none" w:sz="0" w:space="0" w:color="auto"/>
      </w:divBdr>
      <w:divsChild>
        <w:div w:id="1975796775">
          <w:marLeft w:val="547"/>
          <w:marRight w:val="0"/>
          <w:marTop w:val="130"/>
          <w:marBottom w:val="0"/>
          <w:divBdr>
            <w:top w:val="none" w:sz="0" w:space="0" w:color="auto"/>
            <w:left w:val="none" w:sz="0" w:space="0" w:color="auto"/>
            <w:bottom w:val="none" w:sz="0" w:space="0" w:color="auto"/>
            <w:right w:val="none" w:sz="0" w:space="0" w:color="auto"/>
          </w:divBdr>
        </w:div>
        <w:div w:id="919216256">
          <w:marLeft w:val="547"/>
          <w:marRight w:val="0"/>
          <w:marTop w:val="130"/>
          <w:marBottom w:val="0"/>
          <w:divBdr>
            <w:top w:val="none" w:sz="0" w:space="0" w:color="auto"/>
            <w:left w:val="none" w:sz="0" w:space="0" w:color="auto"/>
            <w:bottom w:val="none" w:sz="0" w:space="0" w:color="auto"/>
            <w:right w:val="none" w:sz="0" w:space="0" w:color="auto"/>
          </w:divBdr>
        </w:div>
      </w:divsChild>
    </w:div>
    <w:div w:id="1308239069">
      <w:bodyDiv w:val="1"/>
      <w:marLeft w:val="0"/>
      <w:marRight w:val="0"/>
      <w:marTop w:val="0"/>
      <w:marBottom w:val="0"/>
      <w:divBdr>
        <w:top w:val="none" w:sz="0" w:space="0" w:color="auto"/>
        <w:left w:val="none" w:sz="0" w:space="0" w:color="auto"/>
        <w:bottom w:val="none" w:sz="0" w:space="0" w:color="auto"/>
        <w:right w:val="none" w:sz="0" w:space="0" w:color="auto"/>
      </w:divBdr>
    </w:div>
    <w:div w:id="1366060360">
      <w:bodyDiv w:val="1"/>
      <w:marLeft w:val="0"/>
      <w:marRight w:val="0"/>
      <w:marTop w:val="0"/>
      <w:marBottom w:val="0"/>
      <w:divBdr>
        <w:top w:val="none" w:sz="0" w:space="0" w:color="auto"/>
        <w:left w:val="none" w:sz="0" w:space="0" w:color="auto"/>
        <w:bottom w:val="none" w:sz="0" w:space="0" w:color="auto"/>
        <w:right w:val="none" w:sz="0" w:space="0" w:color="auto"/>
      </w:divBdr>
      <w:divsChild>
        <w:div w:id="1851139150">
          <w:marLeft w:val="0"/>
          <w:marRight w:val="0"/>
          <w:marTop w:val="0"/>
          <w:marBottom w:val="0"/>
          <w:divBdr>
            <w:top w:val="none" w:sz="0" w:space="0" w:color="auto"/>
            <w:left w:val="none" w:sz="0" w:space="0" w:color="auto"/>
            <w:bottom w:val="none" w:sz="0" w:space="0" w:color="auto"/>
            <w:right w:val="none" w:sz="0" w:space="0" w:color="auto"/>
          </w:divBdr>
          <w:divsChild>
            <w:div w:id="1833721185">
              <w:marLeft w:val="0"/>
              <w:marRight w:val="0"/>
              <w:marTop w:val="0"/>
              <w:marBottom w:val="0"/>
              <w:divBdr>
                <w:top w:val="none" w:sz="0" w:space="0" w:color="auto"/>
                <w:left w:val="none" w:sz="0" w:space="0" w:color="auto"/>
                <w:bottom w:val="none" w:sz="0" w:space="0" w:color="auto"/>
                <w:right w:val="none" w:sz="0" w:space="0" w:color="auto"/>
              </w:divBdr>
              <w:divsChild>
                <w:div w:id="92285064">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1390152797">
      <w:bodyDiv w:val="1"/>
      <w:marLeft w:val="0"/>
      <w:marRight w:val="0"/>
      <w:marTop w:val="0"/>
      <w:marBottom w:val="0"/>
      <w:divBdr>
        <w:top w:val="none" w:sz="0" w:space="0" w:color="auto"/>
        <w:left w:val="none" w:sz="0" w:space="0" w:color="auto"/>
        <w:bottom w:val="none" w:sz="0" w:space="0" w:color="auto"/>
        <w:right w:val="none" w:sz="0" w:space="0" w:color="auto"/>
      </w:divBdr>
    </w:div>
    <w:div w:id="1392577156">
      <w:bodyDiv w:val="1"/>
      <w:marLeft w:val="0"/>
      <w:marRight w:val="0"/>
      <w:marTop w:val="0"/>
      <w:marBottom w:val="0"/>
      <w:divBdr>
        <w:top w:val="none" w:sz="0" w:space="0" w:color="auto"/>
        <w:left w:val="none" w:sz="0" w:space="0" w:color="auto"/>
        <w:bottom w:val="none" w:sz="0" w:space="0" w:color="auto"/>
        <w:right w:val="none" w:sz="0" w:space="0" w:color="auto"/>
      </w:divBdr>
      <w:divsChild>
        <w:div w:id="512573726">
          <w:marLeft w:val="547"/>
          <w:marRight w:val="0"/>
          <w:marTop w:val="144"/>
          <w:marBottom w:val="0"/>
          <w:divBdr>
            <w:top w:val="none" w:sz="0" w:space="0" w:color="auto"/>
            <w:left w:val="none" w:sz="0" w:space="0" w:color="auto"/>
            <w:bottom w:val="none" w:sz="0" w:space="0" w:color="auto"/>
            <w:right w:val="none" w:sz="0" w:space="0" w:color="auto"/>
          </w:divBdr>
        </w:div>
        <w:div w:id="631666724">
          <w:marLeft w:val="547"/>
          <w:marRight w:val="0"/>
          <w:marTop w:val="144"/>
          <w:marBottom w:val="0"/>
          <w:divBdr>
            <w:top w:val="none" w:sz="0" w:space="0" w:color="auto"/>
            <w:left w:val="none" w:sz="0" w:space="0" w:color="auto"/>
            <w:bottom w:val="none" w:sz="0" w:space="0" w:color="auto"/>
            <w:right w:val="none" w:sz="0" w:space="0" w:color="auto"/>
          </w:divBdr>
        </w:div>
        <w:div w:id="415052899">
          <w:marLeft w:val="547"/>
          <w:marRight w:val="0"/>
          <w:marTop w:val="144"/>
          <w:marBottom w:val="0"/>
          <w:divBdr>
            <w:top w:val="none" w:sz="0" w:space="0" w:color="auto"/>
            <w:left w:val="none" w:sz="0" w:space="0" w:color="auto"/>
            <w:bottom w:val="none" w:sz="0" w:space="0" w:color="auto"/>
            <w:right w:val="none" w:sz="0" w:space="0" w:color="auto"/>
          </w:divBdr>
        </w:div>
      </w:divsChild>
    </w:div>
    <w:div w:id="1393700698">
      <w:bodyDiv w:val="1"/>
      <w:marLeft w:val="0"/>
      <w:marRight w:val="0"/>
      <w:marTop w:val="0"/>
      <w:marBottom w:val="0"/>
      <w:divBdr>
        <w:top w:val="none" w:sz="0" w:space="0" w:color="auto"/>
        <w:left w:val="none" w:sz="0" w:space="0" w:color="auto"/>
        <w:bottom w:val="none" w:sz="0" w:space="0" w:color="auto"/>
        <w:right w:val="none" w:sz="0" w:space="0" w:color="auto"/>
      </w:divBdr>
      <w:divsChild>
        <w:div w:id="1496528155">
          <w:marLeft w:val="547"/>
          <w:marRight w:val="0"/>
          <w:marTop w:val="77"/>
          <w:marBottom w:val="0"/>
          <w:divBdr>
            <w:top w:val="none" w:sz="0" w:space="0" w:color="auto"/>
            <w:left w:val="none" w:sz="0" w:space="0" w:color="auto"/>
            <w:bottom w:val="none" w:sz="0" w:space="0" w:color="auto"/>
            <w:right w:val="none" w:sz="0" w:space="0" w:color="auto"/>
          </w:divBdr>
        </w:div>
        <w:div w:id="315648650">
          <w:marLeft w:val="547"/>
          <w:marRight w:val="0"/>
          <w:marTop w:val="77"/>
          <w:marBottom w:val="0"/>
          <w:divBdr>
            <w:top w:val="none" w:sz="0" w:space="0" w:color="auto"/>
            <w:left w:val="none" w:sz="0" w:space="0" w:color="auto"/>
            <w:bottom w:val="none" w:sz="0" w:space="0" w:color="auto"/>
            <w:right w:val="none" w:sz="0" w:space="0" w:color="auto"/>
          </w:divBdr>
        </w:div>
        <w:div w:id="977950806">
          <w:marLeft w:val="547"/>
          <w:marRight w:val="0"/>
          <w:marTop w:val="77"/>
          <w:marBottom w:val="0"/>
          <w:divBdr>
            <w:top w:val="none" w:sz="0" w:space="0" w:color="auto"/>
            <w:left w:val="none" w:sz="0" w:space="0" w:color="auto"/>
            <w:bottom w:val="none" w:sz="0" w:space="0" w:color="auto"/>
            <w:right w:val="none" w:sz="0" w:space="0" w:color="auto"/>
          </w:divBdr>
        </w:div>
        <w:div w:id="1207985792">
          <w:marLeft w:val="547"/>
          <w:marRight w:val="0"/>
          <w:marTop w:val="77"/>
          <w:marBottom w:val="0"/>
          <w:divBdr>
            <w:top w:val="none" w:sz="0" w:space="0" w:color="auto"/>
            <w:left w:val="none" w:sz="0" w:space="0" w:color="auto"/>
            <w:bottom w:val="none" w:sz="0" w:space="0" w:color="auto"/>
            <w:right w:val="none" w:sz="0" w:space="0" w:color="auto"/>
          </w:divBdr>
        </w:div>
      </w:divsChild>
    </w:div>
    <w:div w:id="1404914172">
      <w:bodyDiv w:val="1"/>
      <w:marLeft w:val="0"/>
      <w:marRight w:val="0"/>
      <w:marTop w:val="0"/>
      <w:marBottom w:val="0"/>
      <w:divBdr>
        <w:top w:val="none" w:sz="0" w:space="0" w:color="auto"/>
        <w:left w:val="none" w:sz="0" w:space="0" w:color="auto"/>
        <w:bottom w:val="none" w:sz="0" w:space="0" w:color="auto"/>
        <w:right w:val="none" w:sz="0" w:space="0" w:color="auto"/>
      </w:divBdr>
    </w:div>
    <w:div w:id="1412191268">
      <w:bodyDiv w:val="1"/>
      <w:marLeft w:val="0"/>
      <w:marRight w:val="0"/>
      <w:marTop w:val="0"/>
      <w:marBottom w:val="0"/>
      <w:divBdr>
        <w:top w:val="none" w:sz="0" w:space="0" w:color="auto"/>
        <w:left w:val="none" w:sz="0" w:space="0" w:color="auto"/>
        <w:bottom w:val="none" w:sz="0" w:space="0" w:color="auto"/>
        <w:right w:val="none" w:sz="0" w:space="0" w:color="auto"/>
      </w:divBdr>
      <w:divsChild>
        <w:div w:id="1836069880">
          <w:marLeft w:val="0"/>
          <w:marRight w:val="0"/>
          <w:marTop w:val="290"/>
          <w:marBottom w:val="0"/>
          <w:divBdr>
            <w:top w:val="none" w:sz="0" w:space="0" w:color="auto"/>
            <w:left w:val="none" w:sz="0" w:space="0" w:color="auto"/>
            <w:bottom w:val="none" w:sz="0" w:space="0" w:color="auto"/>
            <w:right w:val="none" w:sz="0" w:space="0" w:color="auto"/>
          </w:divBdr>
        </w:div>
        <w:div w:id="1458135088">
          <w:marLeft w:val="1325"/>
          <w:marRight w:val="0"/>
          <w:marTop w:val="290"/>
          <w:marBottom w:val="0"/>
          <w:divBdr>
            <w:top w:val="none" w:sz="0" w:space="0" w:color="auto"/>
            <w:left w:val="none" w:sz="0" w:space="0" w:color="auto"/>
            <w:bottom w:val="none" w:sz="0" w:space="0" w:color="auto"/>
            <w:right w:val="none" w:sz="0" w:space="0" w:color="auto"/>
          </w:divBdr>
        </w:div>
        <w:div w:id="1245065275">
          <w:marLeft w:val="1325"/>
          <w:marRight w:val="0"/>
          <w:marTop w:val="290"/>
          <w:marBottom w:val="0"/>
          <w:divBdr>
            <w:top w:val="none" w:sz="0" w:space="0" w:color="auto"/>
            <w:left w:val="none" w:sz="0" w:space="0" w:color="auto"/>
            <w:bottom w:val="none" w:sz="0" w:space="0" w:color="auto"/>
            <w:right w:val="none" w:sz="0" w:space="0" w:color="auto"/>
          </w:divBdr>
        </w:div>
      </w:divsChild>
    </w:div>
    <w:div w:id="1414669147">
      <w:bodyDiv w:val="1"/>
      <w:marLeft w:val="0"/>
      <w:marRight w:val="0"/>
      <w:marTop w:val="0"/>
      <w:marBottom w:val="0"/>
      <w:divBdr>
        <w:top w:val="none" w:sz="0" w:space="0" w:color="auto"/>
        <w:left w:val="none" w:sz="0" w:space="0" w:color="auto"/>
        <w:bottom w:val="none" w:sz="0" w:space="0" w:color="auto"/>
        <w:right w:val="none" w:sz="0" w:space="0" w:color="auto"/>
      </w:divBdr>
    </w:div>
    <w:div w:id="1436444148">
      <w:bodyDiv w:val="1"/>
      <w:marLeft w:val="0"/>
      <w:marRight w:val="0"/>
      <w:marTop w:val="0"/>
      <w:marBottom w:val="0"/>
      <w:divBdr>
        <w:top w:val="none" w:sz="0" w:space="0" w:color="auto"/>
        <w:left w:val="none" w:sz="0" w:space="0" w:color="auto"/>
        <w:bottom w:val="none" w:sz="0" w:space="0" w:color="auto"/>
        <w:right w:val="none" w:sz="0" w:space="0" w:color="auto"/>
      </w:divBdr>
      <w:divsChild>
        <w:div w:id="273247757">
          <w:marLeft w:val="547"/>
          <w:marRight w:val="0"/>
          <w:marTop w:val="130"/>
          <w:marBottom w:val="0"/>
          <w:divBdr>
            <w:top w:val="none" w:sz="0" w:space="0" w:color="auto"/>
            <w:left w:val="none" w:sz="0" w:space="0" w:color="auto"/>
            <w:bottom w:val="none" w:sz="0" w:space="0" w:color="auto"/>
            <w:right w:val="none" w:sz="0" w:space="0" w:color="auto"/>
          </w:divBdr>
        </w:div>
        <w:div w:id="127819078">
          <w:marLeft w:val="547"/>
          <w:marRight w:val="0"/>
          <w:marTop w:val="130"/>
          <w:marBottom w:val="0"/>
          <w:divBdr>
            <w:top w:val="none" w:sz="0" w:space="0" w:color="auto"/>
            <w:left w:val="none" w:sz="0" w:space="0" w:color="auto"/>
            <w:bottom w:val="none" w:sz="0" w:space="0" w:color="auto"/>
            <w:right w:val="none" w:sz="0" w:space="0" w:color="auto"/>
          </w:divBdr>
        </w:div>
        <w:div w:id="1582057045">
          <w:marLeft w:val="547"/>
          <w:marRight w:val="0"/>
          <w:marTop w:val="130"/>
          <w:marBottom w:val="0"/>
          <w:divBdr>
            <w:top w:val="none" w:sz="0" w:space="0" w:color="auto"/>
            <w:left w:val="none" w:sz="0" w:space="0" w:color="auto"/>
            <w:bottom w:val="none" w:sz="0" w:space="0" w:color="auto"/>
            <w:right w:val="none" w:sz="0" w:space="0" w:color="auto"/>
          </w:divBdr>
        </w:div>
      </w:divsChild>
    </w:div>
    <w:div w:id="1451319340">
      <w:bodyDiv w:val="1"/>
      <w:marLeft w:val="0"/>
      <w:marRight w:val="0"/>
      <w:marTop w:val="0"/>
      <w:marBottom w:val="0"/>
      <w:divBdr>
        <w:top w:val="none" w:sz="0" w:space="0" w:color="auto"/>
        <w:left w:val="none" w:sz="0" w:space="0" w:color="auto"/>
        <w:bottom w:val="none" w:sz="0" w:space="0" w:color="auto"/>
        <w:right w:val="none" w:sz="0" w:space="0" w:color="auto"/>
      </w:divBdr>
      <w:divsChild>
        <w:div w:id="617219244">
          <w:marLeft w:val="0"/>
          <w:marRight w:val="0"/>
          <w:marTop w:val="211"/>
          <w:marBottom w:val="0"/>
          <w:divBdr>
            <w:top w:val="none" w:sz="0" w:space="0" w:color="auto"/>
            <w:left w:val="none" w:sz="0" w:space="0" w:color="auto"/>
            <w:bottom w:val="none" w:sz="0" w:space="0" w:color="auto"/>
            <w:right w:val="none" w:sz="0" w:space="0" w:color="auto"/>
          </w:divBdr>
        </w:div>
        <w:div w:id="1755593167">
          <w:marLeft w:val="0"/>
          <w:marRight w:val="0"/>
          <w:marTop w:val="211"/>
          <w:marBottom w:val="0"/>
          <w:divBdr>
            <w:top w:val="none" w:sz="0" w:space="0" w:color="auto"/>
            <w:left w:val="none" w:sz="0" w:space="0" w:color="auto"/>
            <w:bottom w:val="none" w:sz="0" w:space="0" w:color="auto"/>
            <w:right w:val="none" w:sz="0" w:space="0" w:color="auto"/>
          </w:divBdr>
        </w:div>
        <w:div w:id="460807359">
          <w:marLeft w:val="0"/>
          <w:marRight w:val="0"/>
          <w:marTop w:val="211"/>
          <w:marBottom w:val="0"/>
          <w:divBdr>
            <w:top w:val="none" w:sz="0" w:space="0" w:color="auto"/>
            <w:left w:val="none" w:sz="0" w:space="0" w:color="auto"/>
            <w:bottom w:val="none" w:sz="0" w:space="0" w:color="auto"/>
            <w:right w:val="none" w:sz="0" w:space="0" w:color="auto"/>
          </w:divBdr>
        </w:div>
        <w:div w:id="291248983">
          <w:marLeft w:val="0"/>
          <w:marRight w:val="0"/>
          <w:marTop w:val="211"/>
          <w:marBottom w:val="0"/>
          <w:divBdr>
            <w:top w:val="none" w:sz="0" w:space="0" w:color="auto"/>
            <w:left w:val="none" w:sz="0" w:space="0" w:color="auto"/>
            <w:bottom w:val="none" w:sz="0" w:space="0" w:color="auto"/>
            <w:right w:val="none" w:sz="0" w:space="0" w:color="auto"/>
          </w:divBdr>
        </w:div>
      </w:divsChild>
    </w:div>
    <w:div w:id="1461069089">
      <w:bodyDiv w:val="1"/>
      <w:marLeft w:val="0"/>
      <w:marRight w:val="0"/>
      <w:marTop w:val="0"/>
      <w:marBottom w:val="0"/>
      <w:divBdr>
        <w:top w:val="none" w:sz="0" w:space="0" w:color="auto"/>
        <w:left w:val="none" w:sz="0" w:space="0" w:color="auto"/>
        <w:bottom w:val="none" w:sz="0" w:space="0" w:color="auto"/>
        <w:right w:val="none" w:sz="0" w:space="0" w:color="auto"/>
      </w:divBdr>
      <w:divsChild>
        <w:div w:id="1022122209">
          <w:marLeft w:val="0"/>
          <w:marRight w:val="0"/>
          <w:marTop w:val="0"/>
          <w:marBottom w:val="0"/>
          <w:divBdr>
            <w:top w:val="none" w:sz="0" w:space="0" w:color="auto"/>
            <w:left w:val="none" w:sz="0" w:space="0" w:color="auto"/>
            <w:bottom w:val="none" w:sz="0" w:space="0" w:color="auto"/>
            <w:right w:val="none" w:sz="0" w:space="0" w:color="auto"/>
          </w:divBdr>
          <w:divsChild>
            <w:div w:id="1763065612">
              <w:marLeft w:val="0"/>
              <w:marRight w:val="0"/>
              <w:marTop w:val="0"/>
              <w:marBottom w:val="0"/>
              <w:divBdr>
                <w:top w:val="none" w:sz="0" w:space="0" w:color="auto"/>
                <w:left w:val="none" w:sz="0" w:space="0" w:color="auto"/>
                <w:bottom w:val="none" w:sz="0" w:space="0" w:color="auto"/>
                <w:right w:val="none" w:sz="0" w:space="0" w:color="auto"/>
              </w:divBdr>
              <w:divsChild>
                <w:div w:id="2016415985">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1473985091">
      <w:bodyDiv w:val="1"/>
      <w:marLeft w:val="0"/>
      <w:marRight w:val="0"/>
      <w:marTop w:val="0"/>
      <w:marBottom w:val="0"/>
      <w:divBdr>
        <w:top w:val="none" w:sz="0" w:space="0" w:color="auto"/>
        <w:left w:val="none" w:sz="0" w:space="0" w:color="auto"/>
        <w:bottom w:val="none" w:sz="0" w:space="0" w:color="auto"/>
        <w:right w:val="none" w:sz="0" w:space="0" w:color="auto"/>
      </w:divBdr>
    </w:div>
    <w:div w:id="1476945270">
      <w:bodyDiv w:val="1"/>
      <w:marLeft w:val="0"/>
      <w:marRight w:val="0"/>
      <w:marTop w:val="0"/>
      <w:marBottom w:val="0"/>
      <w:divBdr>
        <w:top w:val="none" w:sz="0" w:space="0" w:color="auto"/>
        <w:left w:val="none" w:sz="0" w:space="0" w:color="auto"/>
        <w:bottom w:val="none" w:sz="0" w:space="0" w:color="auto"/>
        <w:right w:val="none" w:sz="0" w:space="0" w:color="auto"/>
      </w:divBdr>
      <w:divsChild>
        <w:div w:id="266742304">
          <w:marLeft w:val="547"/>
          <w:marRight w:val="0"/>
          <w:marTop w:val="125"/>
          <w:marBottom w:val="0"/>
          <w:divBdr>
            <w:top w:val="none" w:sz="0" w:space="0" w:color="auto"/>
            <w:left w:val="none" w:sz="0" w:space="0" w:color="auto"/>
            <w:bottom w:val="none" w:sz="0" w:space="0" w:color="auto"/>
            <w:right w:val="none" w:sz="0" w:space="0" w:color="auto"/>
          </w:divBdr>
        </w:div>
        <w:div w:id="493181210">
          <w:marLeft w:val="547"/>
          <w:marRight w:val="0"/>
          <w:marTop w:val="125"/>
          <w:marBottom w:val="0"/>
          <w:divBdr>
            <w:top w:val="none" w:sz="0" w:space="0" w:color="auto"/>
            <w:left w:val="none" w:sz="0" w:space="0" w:color="auto"/>
            <w:bottom w:val="none" w:sz="0" w:space="0" w:color="auto"/>
            <w:right w:val="none" w:sz="0" w:space="0" w:color="auto"/>
          </w:divBdr>
        </w:div>
        <w:div w:id="789201079">
          <w:marLeft w:val="547"/>
          <w:marRight w:val="0"/>
          <w:marTop w:val="125"/>
          <w:marBottom w:val="0"/>
          <w:divBdr>
            <w:top w:val="none" w:sz="0" w:space="0" w:color="auto"/>
            <w:left w:val="none" w:sz="0" w:space="0" w:color="auto"/>
            <w:bottom w:val="none" w:sz="0" w:space="0" w:color="auto"/>
            <w:right w:val="none" w:sz="0" w:space="0" w:color="auto"/>
          </w:divBdr>
        </w:div>
        <w:div w:id="1975981034">
          <w:marLeft w:val="547"/>
          <w:marRight w:val="0"/>
          <w:marTop w:val="125"/>
          <w:marBottom w:val="0"/>
          <w:divBdr>
            <w:top w:val="none" w:sz="0" w:space="0" w:color="auto"/>
            <w:left w:val="none" w:sz="0" w:space="0" w:color="auto"/>
            <w:bottom w:val="none" w:sz="0" w:space="0" w:color="auto"/>
            <w:right w:val="none" w:sz="0" w:space="0" w:color="auto"/>
          </w:divBdr>
        </w:div>
      </w:divsChild>
    </w:div>
    <w:div w:id="1500998931">
      <w:bodyDiv w:val="1"/>
      <w:marLeft w:val="0"/>
      <w:marRight w:val="0"/>
      <w:marTop w:val="0"/>
      <w:marBottom w:val="0"/>
      <w:divBdr>
        <w:top w:val="none" w:sz="0" w:space="0" w:color="auto"/>
        <w:left w:val="none" w:sz="0" w:space="0" w:color="auto"/>
        <w:bottom w:val="none" w:sz="0" w:space="0" w:color="auto"/>
        <w:right w:val="none" w:sz="0" w:space="0" w:color="auto"/>
      </w:divBdr>
      <w:divsChild>
        <w:div w:id="657536424">
          <w:marLeft w:val="0"/>
          <w:marRight w:val="0"/>
          <w:marTop w:val="211"/>
          <w:marBottom w:val="0"/>
          <w:divBdr>
            <w:top w:val="none" w:sz="0" w:space="0" w:color="auto"/>
            <w:left w:val="none" w:sz="0" w:space="0" w:color="auto"/>
            <w:bottom w:val="none" w:sz="0" w:space="0" w:color="auto"/>
            <w:right w:val="none" w:sz="0" w:space="0" w:color="auto"/>
          </w:divBdr>
        </w:div>
        <w:div w:id="1931326">
          <w:marLeft w:val="0"/>
          <w:marRight w:val="0"/>
          <w:marTop w:val="211"/>
          <w:marBottom w:val="0"/>
          <w:divBdr>
            <w:top w:val="none" w:sz="0" w:space="0" w:color="auto"/>
            <w:left w:val="none" w:sz="0" w:space="0" w:color="auto"/>
            <w:bottom w:val="none" w:sz="0" w:space="0" w:color="auto"/>
            <w:right w:val="none" w:sz="0" w:space="0" w:color="auto"/>
          </w:divBdr>
        </w:div>
        <w:div w:id="1997608720">
          <w:marLeft w:val="0"/>
          <w:marRight w:val="0"/>
          <w:marTop w:val="211"/>
          <w:marBottom w:val="0"/>
          <w:divBdr>
            <w:top w:val="none" w:sz="0" w:space="0" w:color="auto"/>
            <w:left w:val="none" w:sz="0" w:space="0" w:color="auto"/>
            <w:bottom w:val="none" w:sz="0" w:space="0" w:color="auto"/>
            <w:right w:val="none" w:sz="0" w:space="0" w:color="auto"/>
          </w:divBdr>
        </w:div>
        <w:div w:id="35396345">
          <w:marLeft w:val="0"/>
          <w:marRight w:val="0"/>
          <w:marTop w:val="211"/>
          <w:marBottom w:val="0"/>
          <w:divBdr>
            <w:top w:val="none" w:sz="0" w:space="0" w:color="auto"/>
            <w:left w:val="none" w:sz="0" w:space="0" w:color="auto"/>
            <w:bottom w:val="none" w:sz="0" w:space="0" w:color="auto"/>
            <w:right w:val="none" w:sz="0" w:space="0" w:color="auto"/>
          </w:divBdr>
        </w:div>
      </w:divsChild>
    </w:div>
    <w:div w:id="1526939785">
      <w:bodyDiv w:val="1"/>
      <w:marLeft w:val="0"/>
      <w:marRight w:val="0"/>
      <w:marTop w:val="0"/>
      <w:marBottom w:val="0"/>
      <w:divBdr>
        <w:top w:val="none" w:sz="0" w:space="0" w:color="auto"/>
        <w:left w:val="none" w:sz="0" w:space="0" w:color="auto"/>
        <w:bottom w:val="none" w:sz="0" w:space="0" w:color="auto"/>
        <w:right w:val="none" w:sz="0" w:space="0" w:color="auto"/>
      </w:divBdr>
      <w:divsChild>
        <w:div w:id="1332290783">
          <w:marLeft w:val="547"/>
          <w:marRight w:val="0"/>
          <w:marTop w:val="96"/>
          <w:marBottom w:val="0"/>
          <w:divBdr>
            <w:top w:val="none" w:sz="0" w:space="0" w:color="auto"/>
            <w:left w:val="none" w:sz="0" w:space="0" w:color="auto"/>
            <w:bottom w:val="none" w:sz="0" w:space="0" w:color="auto"/>
            <w:right w:val="none" w:sz="0" w:space="0" w:color="auto"/>
          </w:divBdr>
        </w:div>
        <w:div w:id="778572992">
          <w:marLeft w:val="547"/>
          <w:marRight w:val="0"/>
          <w:marTop w:val="192"/>
          <w:marBottom w:val="192"/>
          <w:divBdr>
            <w:top w:val="none" w:sz="0" w:space="0" w:color="auto"/>
            <w:left w:val="none" w:sz="0" w:space="0" w:color="auto"/>
            <w:bottom w:val="none" w:sz="0" w:space="0" w:color="auto"/>
            <w:right w:val="none" w:sz="0" w:space="0" w:color="auto"/>
          </w:divBdr>
        </w:div>
        <w:div w:id="1284192430">
          <w:marLeft w:val="547"/>
          <w:marRight w:val="0"/>
          <w:marTop w:val="96"/>
          <w:marBottom w:val="0"/>
          <w:divBdr>
            <w:top w:val="none" w:sz="0" w:space="0" w:color="auto"/>
            <w:left w:val="none" w:sz="0" w:space="0" w:color="auto"/>
            <w:bottom w:val="none" w:sz="0" w:space="0" w:color="auto"/>
            <w:right w:val="none" w:sz="0" w:space="0" w:color="auto"/>
          </w:divBdr>
        </w:div>
        <w:div w:id="2112116164">
          <w:marLeft w:val="547"/>
          <w:marRight w:val="0"/>
          <w:marTop w:val="96"/>
          <w:marBottom w:val="0"/>
          <w:divBdr>
            <w:top w:val="none" w:sz="0" w:space="0" w:color="auto"/>
            <w:left w:val="none" w:sz="0" w:space="0" w:color="auto"/>
            <w:bottom w:val="none" w:sz="0" w:space="0" w:color="auto"/>
            <w:right w:val="none" w:sz="0" w:space="0" w:color="auto"/>
          </w:divBdr>
        </w:div>
        <w:div w:id="968778961">
          <w:marLeft w:val="547"/>
          <w:marRight w:val="0"/>
          <w:marTop w:val="240"/>
          <w:marBottom w:val="0"/>
          <w:divBdr>
            <w:top w:val="none" w:sz="0" w:space="0" w:color="auto"/>
            <w:left w:val="none" w:sz="0" w:space="0" w:color="auto"/>
            <w:bottom w:val="none" w:sz="0" w:space="0" w:color="auto"/>
            <w:right w:val="none" w:sz="0" w:space="0" w:color="auto"/>
          </w:divBdr>
        </w:div>
      </w:divsChild>
    </w:div>
    <w:div w:id="1571884830">
      <w:bodyDiv w:val="1"/>
      <w:marLeft w:val="0"/>
      <w:marRight w:val="0"/>
      <w:marTop w:val="0"/>
      <w:marBottom w:val="0"/>
      <w:divBdr>
        <w:top w:val="none" w:sz="0" w:space="0" w:color="auto"/>
        <w:left w:val="none" w:sz="0" w:space="0" w:color="auto"/>
        <w:bottom w:val="none" w:sz="0" w:space="0" w:color="auto"/>
        <w:right w:val="none" w:sz="0" w:space="0" w:color="auto"/>
      </w:divBdr>
    </w:div>
    <w:div w:id="1618105267">
      <w:bodyDiv w:val="1"/>
      <w:marLeft w:val="0"/>
      <w:marRight w:val="0"/>
      <w:marTop w:val="0"/>
      <w:marBottom w:val="0"/>
      <w:divBdr>
        <w:top w:val="none" w:sz="0" w:space="0" w:color="auto"/>
        <w:left w:val="none" w:sz="0" w:space="0" w:color="auto"/>
        <w:bottom w:val="none" w:sz="0" w:space="0" w:color="auto"/>
        <w:right w:val="none" w:sz="0" w:space="0" w:color="auto"/>
      </w:divBdr>
    </w:div>
    <w:div w:id="1638998034">
      <w:bodyDiv w:val="1"/>
      <w:marLeft w:val="0"/>
      <w:marRight w:val="0"/>
      <w:marTop w:val="0"/>
      <w:marBottom w:val="0"/>
      <w:divBdr>
        <w:top w:val="none" w:sz="0" w:space="0" w:color="auto"/>
        <w:left w:val="none" w:sz="0" w:space="0" w:color="auto"/>
        <w:bottom w:val="none" w:sz="0" w:space="0" w:color="auto"/>
        <w:right w:val="none" w:sz="0" w:space="0" w:color="auto"/>
      </w:divBdr>
      <w:divsChild>
        <w:div w:id="993753331">
          <w:marLeft w:val="547"/>
          <w:marRight w:val="0"/>
          <w:marTop w:val="144"/>
          <w:marBottom w:val="0"/>
          <w:divBdr>
            <w:top w:val="none" w:sz="0" w:space="0" w:color="auto"/>
            <w:left w:val="none" w:sz="0" w:space="0" w:color="auto"/>
            <w:bottom w:val="none" w:sz="0" w:space="0" w:color="auto"/>
            <w:right w:val="none" w:sz="0" w:space="0" w:color="auto"/>
          </w:divBdr>
        </w:div>
        <w:div w:id="925311951">
          <w:marLeft w:val="547"/>
          <w:marRight w:val="0"/>
          <w:marTop w:val="144"/>
          <w:marBottom w:val="0"/>
          <w:divBdr>
            <w:top w:val="none" w:sz="0" w:space="0" w:color="auto"/>
            <w:left w:val="none" w:sz="0" w:space="0" w:color="auto"/>
            <w:bottom w:val="none" w:sz="0" w:space="0" w:color="auto"/>
            <w:right w:val="none" w:sz="0" w:space="0" w:color="auto"/>
          </w:divBdr>
        </w:div>
      </w:divsChild>
    </w:div>
    <w:div w:id="1666399659">
      <w:bodyDiv w:val="1"/>
      <w:marLeft w:val="0"/>
      <w:marRight w:val="0"/>
      <w:marTop w:val="0"/>
      <w:marBottom w:val="0"/>
      <w:divBdr>
        <w:top w:val="none" w:sz="0" w:space="0" w:color="auto"/>
        <w:left w:val="none" w:sz="0" w:space="0" w:color="auto"/>
        <w:bottom w:val="none" w:sz="0" w:space="0" w:color="auto"/>
        <w:right w:val="none" w:sz="0" w:space="0" w:color="auto"/>
      </w:divBdr>
    </w:div>
    <w:div w:id="1666743807">
      <w:bodyDiv w:val="1"/>
      <w:marLeft w:val="0"/>
      <w:marRight w:val="0"/>
      <w:marTop w:val="0"/>
      <w:marBottom w:val="0"/>
      <w:divBdr>
        <w:top w:val="none" w:sz="0" w:space="0" w:color="auto"/>
        <w:left w:val="none" w:sz="0" w:space="0" w:color="auto"/>
        <w:bottom w:val="none" w:sz="0" w:space="0" w:color="auto"/>
        <w:right w:val="none" w:sz="0" w:space="0" w:color="auto"/>
      </w:divBdr>
    </w:div>
    <w:div w:id="1716537457">
      <w:bodyDiv w:val="1"/>
      <w:marLeft w:val="0"/>
      <w:marRight w:val="0"/>
      <w:marTop w:val="0"/>
      <w:marBottom w:val="0"/>
      <w:divBdr>
        <w:top w:val="none" w:sz="0" w:space="0" w:color="auto"/>
        <w:left w:val="none" w:sz="0" w:space="0" w:color="auto"/>
        <w:bottom w:val="none" w:sz="0" w:space="0" w:color="auto"/>
        <w:right w:val="none" w:sz="0" w:space="0" w:color="auto"/>
      </w:divBdr>
      <w:divsChild>
        <w:div w:id="1689286680">
          <w:marLeft w:val="547"/>
          <w:marRight w:val="0"/>
          <w:marTop w:val="67"/>
          <w:marBottom w:val="0"/>
          <w:divBdr>
            <w:top w:val="none" w:sz="0" w:space="0" w:color="auto"/>
            <w:left w:val="none" w:sz="0" w:space="0" w:color="auto"/>
            <w:bottom w:val="none" w:sz="0" w:space="0" w:color="auto"/>
            <w:right w:val="none" w:sz="0" w:space="0" w:color="auto"/>
          </w:divBdr>
        </w:div>
      </w:divsChild>
    </w:div>
    <w:div w:id="1722165472">
      <w:bodyDiv w:val="1"/>
      <w:marLeft w:val="0"/>
      <w:marRight w:val="0"/>
      <w:marTop w:val="0"/>
      <w:marBottom w:val="0"/>
      <w:divBdr>
        <w:top w:val="none" w:sz="0" w:space="0" w:color="auto"/>
        <w:left w:val="none" w:sz="0" w:space="0" w:color="auto"/>
        <w:bottom w:val="none" w:sz="0" w:space="0" w:color="auto"/>
        <w:right w:val="none" w:sz="0" w:space="0" w:color="auto"/>
      </w:divBdr>
      <w:divsChild>
        <w:div w:id="1983652429">
          <w:marLeft w:val="547"/>
          <w:marRight w:val="0"/>
          <w:marTop w:val="115"/>
          <w:marBottom w:val="0"/>
          <w:divBdr>
            <w:top w:val="none" w:sz="0" w:space="0" w:color="auto"/>
            <w:left w:val="none" w:sz="0" w:space="0" w:color="auto"/>
            <w:bottom w:val="none" w:sz="0" w:space="0" w:color="auto"/>
            <w:right w:val="none" w:sz="0" w:space="0" w:color="auto"/>
          </w:divBdr>
        </w:div>
        <w:div w:id="1971132544">
          <w:marLeft w:val="547"/>
          <w:marRight w:val="0"/>
          <w:marTop w:val="115"/>
          <w:marBottom w:val="0"/>
          <w:divBdr>
            <w:top w:val="none" w:sz="0" w:space="0" w:color="auto"/>
            <w:left w:val="none" w:sz="0" w:space="0" w:color="auto"/>
            <w:bottom w:val="none" w:sz="0" w:space="0" w:color="auto"/>
            <w:right w:val="none" w:sz="0" w:space="0" w:color="auto"/>
          </w:divBdr>
        </w:div>
        <w:div w:id="1749570972">
          <w:marLeft w:val="547"/>
          <w:marRight w:val="0"/>
          <w:marTop w:val="115"/>
          <w:marBottom w:val="0"/>
          <w:divBdr>
            <w:top w:val="none" w:sz="0" w:space="0" w:color="auto"/>
            <w:left w:val="none" w:sz="0" w:space="0" w:color="auto"/>
            <w:bottom w:val="none" w:sz="0" w:space="0" w:color="auto"/>
            <w:right w:val="none" w:sz="0" w:space="0" w:color="auto"/>
          </w:divBdr>
        </w:div>
      </w:divsChild>
    </w:div>
    <w:div w:id="1747459813">
      <w:bodyDiv w:val="1"/>
      <w:marLeft w:val="0"/>
      <w:marRight w:val="0"/>
      <w:marTop w:val="0"/>
      <w:marBottom w:val="0"/>
      <w:divBdr>
        <w:top w:val="none" w:sz="0" w:space="0" w:color="auto"/>
        <w:left w:val="none" w:sz="0" w:space="0" w:color="auto"/>
        <w:bottom w:val="none" w:sz="0" w:space="0" w:color="auto"/>
        <w:right w:val="none" w:sz="0" w:space="0" w:color="auto"/>
      </w:divBdr>
      <w:divsChild>
        <w:div w:id="1293440295">
          <w:marLeft w:val="547"/>
          <w:marRight w:val="0"/>
          <w:marTop w:val="264"/>
          <w:marBottom w:val="0"/>
          <w:divBdr>
            <w:top w:val="none" w:sz="0" w:space="0" w:color="auto"/>
            <w:left w:val="none" w:sz="0" w:space="0" w:color="auto"/>
            <w:bottom w:val="none" w:sz="0" w:space="0" w:color="auto"/>
            <w:right w:val="none" w:sz="0" w:space="0" w:color="auto"/>
          </w:divBdr>
        </w:div>
        <w:div w:id="713306785">
          <w:marLeft w:val="547"/>
          <w:marRight w:val="0"/>
          <w:marTop w:val="264"/>
          <w:marBottom w:val="0"/>
          <w:divBdr>
            <w:top w:val="none" w:sz="0" w:space="0" w:color="auto"/>
            <w:left w:val="none" w:sz="0" w:space="0" w:color="auto"/>
            <w:bottom w:val="none" w:sz="0" w:space="0" w:color="auto"/>
            <w:right w:val="none" w:sz="0" w:space="0" w:color="auto"/>
          </w:divBdr>
        </w:div>
      </w:divsChild>
    </w:div>
    <w:div w:id="1747921767">
      <w:bodyDiv w:val="1"/>
      <w:marLeft w:val="0"/>
      <w:marRight w:val="0"/>
      <w:marTop w:val="0"/>
      <w:marBottom w:val="0"/>
      <w:divBdr>
        <w:top w:val="none" w:sz="0" w:space="0" w:color="auto"/>
        <w:left w:val="none" w:sz="0" w:space="0" w:color="auto"/>
        <w:bottom w:val="none" w:sz="0" w:space="0" w:color="auto"/>
        <w:right w:val="none" w:sz="0" w:space="0" w:color="auto"/>
      </w:divBdr>
      <w:divsChild>
        <w:div w:id="363137808">
          <w:marLeft w:val="547"/>
          <w:marRight w:val="0"/>
          <w:marTop w:val="96"/>
          <w:marBottom w:val="0"/>
          <w:divBdr>
            <w:top w:val="none" w:sz="0" w:space="0" w:color="auto"/>
            <w:left w:val="none" w:sz="0" w:space="0" w:color="auto"/>
            <w:bottom w:val="none" w:sz="0" w:space="0" w:color="auto"/>
            <w:right w:val="none" w:sz="0" w:space="0" w:color="auto"/>
          </w:divBdr>
        </w:div>
        <w:div w:id="1247769233">
          <w:marLeft w:val="1166"/>
          <w:marRight w:val="0"/>
          <w:marTop w:val="86"/>
          <w:marBottom w:val="0"/>
          <w:divBdr>
            <w:top w:val="none" w:sz="0" w:space="0" w:color="auto"/>
            <w:left w:val="none" w:sz="0" w:space="0" w:color="auto"/>
            <w:bottom w:val="none" w:sz="0" w:space="0" w:color="auto"/>
            <w:right w:val="none" w:sz="0" w:space="0" w:color="auto"/>
          </w:divBdr>
        </w:div>
        <w:div w:id="1670670419">
          <w:marLeft w:val="1166"/>
          <w:marRight w:val="0"/>
          <w:marTop w:val="86"/>
          <w:marBottom w:val="0"/>
          <w:divBdr>
            <w:top w:val="none" w:sz="0" w:space="0" w:color="auto"/>
            <w:left w:val="none" w:sz="0" w:space="0" w:color="auto"/>
            <w:bottom w:val="none" w:sz="0" w:space="0" w:color="auto"/>
            <w:right w:val="none" w:sz="0" w:space="0" w:color="auto"/>
          </w:divBdr>
        </w:div>
      </w:divsChild>
    </w:div>
    <w:div w:id="1833595164">
      <w:bodyDiv w:val="1"/>
      <w:marLeft w:val="0"/>
      <w:marRight w:val="0"/>
      <w:marTop w:val="0"/>
      <w:marBottom w:val="0"/>
      <w:divBdr>
        <w:top w:val="none" w:sz="0" w:space="0" w:color="auto"/>
        <w:left w:val="none" w:sz="0" w:space="0" w:color="auto"/>
        <w:bottom w:val="none" w:sz="0" w:space="0" w:color="auto"/>
        <w:right w:val="none" w:sz="0" w:space="0" w:color="auto"/>
      </w:divBdr>
      <w:divsChild>
        <w:div w:id="1355379905">
          <w:marLeft w:val="547"/>
          <w:marRight w:val="0"/>
          <w:marTop w:val="134"/>
          <w:marBottom w:val="0"/>
          <w:divBdr>
            <w:top w:val="none" w:sz="0" w:space="0" w:color="auto"/>
            <w:left w:val="none" w:sz="0" w:space="0" w:color="auto"/>
            <w:bottom w:val="none" w:sz="0" w:space="0" w:color="auto"/>
            <w:right w:val="none" w:sz="0" w:space="0" w:color="auto"/>
          </w:divBdr>
        </w:div>
        <w:div w:id="1102338222">
          <w:marLeft w:val="547"/>
          <w:marRight w:val="0"/>
          <w:marTop w:val="134"/>
          <w:marBottom w:val="0"/>
          <w:divBdr>
            <w:top w:val="none" w:sz="0" w:space="0" w:color="auto"/>
            <w:left w:val="none" w:sz="0" w:space="0" w:color="auto"/>
            <w:bottom w:val="none" w:sz="0" w:space="0" w:color="auto"/>
            <w:right w:val="none" w:sz="0" w:space="0" w:color="auto"/>
          </w:divBdr>
        </w:div>
        <w:div w:id="870194061">
          <w:marLeft w:val="547"/>
          <w:marRight w:val="0"/>
          <w:marTop w:val="134"/>
          <w:marBottom w:val="0"/>
          <w:divBdr>
            <w:top w:val="none" w:sz="0" w:space="0" w:color="auto"/>
            <w:left w:val="none" w:sz="0" w:space="0" w:color="auto"/>
            <w:bottom w:val="none" w:sz="0" w:space="0" w:color="auto"/>
            <w:right w:val="none" w:sz="0" w:space="0" w:color="auto"/>
          </w:divBdr>
        </w:div>
      </w:divsChild>
    </w:div>
    <w:div w:id="1914268008">
      <w:bodyDiv w:val="1"/>
      <w:marLeft w:val="0"/>
      <w:marRight w:val="0"/>
      <w:marTop w:val="0"/>
      <w:marBottom w:val="0"/>
      <w:divBdr>
        <w:top w:val="none" w:sz="0" w:space="0" w:color="auto"/>
        <w:left w:val="none" w:sz="0" w:space="0" w:color="auto"/>
        <w:bottom w:val="none" w:sz="0" w:space="0" w:color="auto"/>
        <w:right w:val="none" w:sz="0" w:space="0" w:color="auto"/>
      </w:divBdr>
      <w:divsChild>
        <w:div w:id="1212182822">
          <w:marLeft w:val="547"/>
          <w:marRight w:val="0"/>
          <w:marTop w:val="86"/>
          <w:marBottom w:val="0"/>
          <w:divBdr>
            <w:top w:val="none" w:sz="0" w:space="0" w:color="auto"/>
            <w:left w:val="none" w:sz="0" w:space="0" w:color="auto"/>
            <w:bottom w:val="none" w:sz="0" w:space="0" w:color="auto"/>
            <w:right w:val="none" w:sz="0" w:space="0" w:color="auto"/>
          </w:divBdr>
        </w:div>
        <w:div w:id="1536965104">
          <w:marLeft w:val="547"/>
          <w:marRight w:val="0"/>
          <w:marTop w:val="86"/>
          <w:marBottom w:val="0"/>
          <w:divBdr>
            <w:top w:val="none" w:sz="0" w:space="0" w:color="auto"/>
            <w:left w:val="none" w:sz="0" w:space="0" w:color="auto"/>
            <w:bottom w:val="none" w:sz="0" w:space="0" w:color="auto"/>
            <w:right w:val="none" w:sz="0" w:space="0" w:color="auto"/>
          </w:divBdr>
        </w:div>
        <w:div w:id="1949002834">
          <w:marLeft w:val="547"/>
          <w:marRight w:val="0"/>
          <w:marTop w:val="86"/>
          <w:marBottom w:val="0"/>
          <w:divBdr>
            <w:top w:val="none" w:sz="0" w:space="0" w:color="auto"/>
            <w:left w:val="none" w:sz="0" w:space="0" w:color="auto"/>
            <w:bottom w:val="none" w:sz="0" w:space="0" w:color="auto"/>
            <w:right w:val="none" w:sz="0" w:space="0" w:color="auto"/>
          </w:divBdr>
        </w:div>
        <w:div w:id="2011325580">
          <w:marLeft w:val="547"/>
          <w:marRight w:val="0"/>
          <w:marTop w:val="86"/>
          <w:marBottom w:val="0"/>
          <w:divBdr>
            <w:top w:val="none" w:sz="0" w:space="0" w:color="auto"/>
            <w:left w:val="none" w:sz="0" w:space="0" w:color="auto"/>
            <w:bottom w:val="none" w:sz="0" w:space="0" w:color="auto"/>
            <w:right w:val="none" w:sz="0" w:space="0" w:color="auto"/>
          </w:divBdr>
        </w:div>
        <w:div w:id="1304656795">
          <w:marLeft w:val="1166"/>
          <w:marRight w:val="0"/>
          <w:marTop w:val="86"/>
          <w:marBottom w:val="0"/>
          <w:divBdr>
            <w:top w:val="none" w:sz="0" w:space="0" w:color="auto"/>
            <w:left w:val="none" w:sz="0" w:space="0" w:color="auto"/>
            <w:bottom w:val="none" w:sz="0" w:space="0" w:color="auto"/>
            <w:right w:val="none" w:sz="0" w:space="0" w:color="auto"/>
          </w:divBdr>
        </w:div>
        <w:div w:id="172039523">
          <w:marLeft w:val="1166"/>
          <w:marRight w:val="0"/>
          <w:marTop w:val="86"/>
          <w:marBottom w:val="0"/>
          <w:divBdr>
            <w:top w:val="none" w:sz="0" w:space="0" w:color="auto"/>
            <w:left w:val="none" w:sz="0" w:space="0" w:color="auto"/>
            <w:bottom w:val="none" w:sz="0" w:space="0" w:color="auto"/>
            <w:right w:val="none" w:sz="0" w:space="0" w:color="auto"/>
          </w:divBdr>
        </w:div>
      </w:divsChild>
    </w:div>
    <w:div w:id="1921521501">
      <w:bodyDiv w:val="1"/>
      <w:marLeft w:val="0"/>
      <w:marRight w:val="0"/>
      <w:marTop w:val="0"/>
      <w:marBottom w:val="0"/>
      <w:divBdr>
        <w:top w:val="none" w:sz="0" w:space="0" w:color="auto"/>
        <w:left w:val="none" w:sz="0" w:space="0" w:color="auto"/>
        <w:bottom w:val="none" w:sz="0" w:space="0" w:color="auto"/>
        <w:right w:val="none" w:sz="0" w:space="0" w:color="auto"/>
      </w:divBdr>
      <w:divsChild>
        <w:div w:id="651255517">
          <w:marLeft w:val="547"/>
          <w:marRight w:val="0"/>
          <w:marTop w:val="115"/>
          <w:marBottom w:val="0"/>
          <w:divBdr>
            <w:top w:val="none" w:sz="0" w:space="0" w:color="auto"/>
            <w:left w:val="none" w:sz="0" w:space="0" w:color="auto"/>
            <w:bottom w:val="none" w:sz="0" w:space="0" w:color="auto"/>
            <w:right w:val="none" w:sz="0" w:space="0" w:color="auto"/>
          </w:divBdr>
        </w:div>
        <w:div w:id="1849952412">
          <w:marLeft w:val="547"/>
          <w:marRight w:val="0"/>
          <w:marTop w:val="115"/>
          <w:marBottom w:val="0"/>
          <w:divBdr>
            <w:top w:val="none" w:sz="0" w:space="0" w:color="auto"/>
            <w:left w:val="none" w:sz="0" w:space="0" w:color="auto"/>
            <w:bottom w:val="none" w:sz="0" w:space="0" w:color="auto"/>
            <w:right w:val="none" w:sz="0" w:space="0" w:color="auto"/>
          </w:divBdr>
        </w:div>
        <w:div w:id="1300380597">
          <w:marLeft w:val="547"/>
          <w:marRight w:val="0"/>
          <w:marTop w:val="115"/>
          <w:marBottom w:val="0"/>
          <w:divBdr>
            <w:top w:val="none" w:sz="0" w:space="0" w:color="auto"/>
            <w:left w:val="none" w:sz="0" w:space="0" w:color="auto"/>
            <w:bottom w:val="none" w:sz="0" w:space="0" w:color="auto"/>
            <w:right w:val="none" w:sz="0" w:space="0" w:color="auto"/>
          </w:divBdr>
        </w:div>
        <w:div w:id="604383605">
          <w:marLeft w:val="547"/>
          <w:marRight w:val="0"/>
          <w:marTop w:val="115"/>
          <w:marBottom w:val="0"/>
          <w:divBdr>
            <w:top w:val="none" w:sz="0" w:space="0" w:color="auto"/>
            <w:left w:val="none" w:sz="0" w:space="0" w:color="auto"/>
            <w:bottom w:val="none" w:sz="0" w:space="0" w:color="auto"/>
            <w:right w:val="none" w:sz="0" w:space="0" w:color="auto"/>
          </w:divBdr>
        </w:div>
      </w:divsChild>
    </w:div>
    <w:div w:id="1925339911">
      <w:bodyDiv w:val="1"/>
      <w:marLeft w:val="0"/>
      <w:marRight w:val="0"/>
      <w:marTop w:val="0"/>
      <w:marBottom w:val="0"/>
      <w:divBdr>
        <w:top w:val="none" w:sz="0" w:space="0" w:color="auto"/>
        <w:left w:val="none" w:sz="0" w:space="0" w:color="auto"/>
        <w:bottom w:val="none" w:sz="0" w:space="0" w:color="auto"/>
        <w:right w:val="none" w:sz="0" w:space="0" w:color="auto"/>
      </w:divBdr>
      <w:divsChild>
        <w:div w:id="1122579318">
          <w:marLeft w:val="547"/>
          <w:marRight w:val="0"/>
          <w:marTop w:val="125"/>
          <w:marBottom w:val="0"/>
          <w:divBdr>
            <w:top w:val="none" w:sz="0" w:space="0" w:color="auto"/>
            <w:left w:val="none" w:sz="0" w:space="0" w:color="auto"/>
            <w:bottom w:val="none" w:sz="0" w:space="0" w:color="auto"/>
            <w:right w:val="none" w:sz="0" w:space="0" w:color="auto"/>
          </w:divBdr>
        </w:div>
        <w:div w:id="1147236409">
          <w:marLeft w:val="547"/>
          <w:marRight w:val="0"/>
          <w:marTop w:val="125"/>
          <w:marBottom w:val="0"/>
          <w:divBdr>
            <w:top w:val="none" w:sz="0" w:space="0" w:color="auto"/>
            <w:left w:val="none" w:sz="0" w:space="0" w:color="auto"/>
            <w:bottom w:val="none" w:sz="0" w:space="0" w:color="auto"/>
            <w:right w:val="none" w:sz="0" w:space="0" w:color="auto"/>
          </w:divBdr>
        </w:div>
        <w:div w:id="1171523424">
          <w:marLeft w:val="547"/>
          <w:marRight w:val="0"/>
          <w:marTop w:val="125"/>
          <w:marBottom w:val="0"/>
          <w:divBdr>
            <w:top w:val="none" w:sz="0" w:space="0" w:color="auto"/>
            <w:left w:val="none" w:sz="0" w:space="0" w:color="auto"/>
            <w:bottom w:val="none" w:sz="0" w:space="0" w:color="auto"/>
            <w:right w:val="none" w:sz="0" w:space="0" w:color="auto"/>
          </w:divBdr>
        </w:div>
      </w:divsChild>
    </w:div>
    <w:div w:id="1965890067">
      <w:bodyDiv w:val="1"/>
      <w:marLeft w:val="0"/>
      <w:marRight w:val="0"/>
      <w:marTop w:val="0"/>
      <w:marBottom w:val="0"/>
      <w:divBdr>
        <w:top w:val="none" w:sz="0" w:space="0" w:color="auto"/>
        <w:left w:val="none" w:sz="0" w:space="0" w:color="auto"/>
        <w:bottom w:val="none" w:sz="0" w:space="0" w:color="auto"/>
        <w:right w:val="none" w:sz="0" w:space="0" w:color="auto"/>
      </w:divBdr>
      <w:divsChild>
        <w:div w:id="269628957">
          <w:marLeft w:val="547"/>
          <w:marRight w:val="0"/>
          <w:marTop w:val="144"/>
          <w:marBottom w:val="0"/>
          <w:divBdr>
            <w:top w:val="none" w:sz="0" w:space="0" w:color="auto"/>
            <w:left w:val="none" w:sz="0" w:space="0" w:color="auto"/>
            <w:bottom w:val="none" w:sz="0" w:space="0" w:color="auto"/>
            <w:right w:val="none" w:sz="0" w:space="0" w:color="auto"/>
          </w:divBdr>
        </w:div>
        <w:div w:id="469786087">
          <w:marLeft w:val="547"/>
          <w:marRight w:val="0"/>
          <w:marTop w:val="144"/>
          <w:marBottom w:val="0"/>
          <w:divBdr>
            <w:top w:val="none" w:sz="0" w:space="0" w:color="auto"/>
            <w:left w:val="none" w:sz="0" w:space="0" w:color="auto"/>
            <w:bottom w:val="none" w:sz="0" w:space="0" w:color="auto"/>
            <w:right w:val="none" w:sz="0" w:space="0" w:color="auto"/>
          </w:divBdr>
        </w:div>
        <w:div w:id="4868494">
          <w:marLeft w:val="547"/>
          <w:marRight w:val="0"/>
          <w:marTop w:val="144"/>
          <w:marBottom w:val="0"/>
          <w:divBdr>
            <w:top w:val="none" w:sz="0" w:space="0" w:color="auto"/>
            <w:left w:val="none" w:sz="0" w:space="0" w:color="auto"/>
            <w:bottom w:val="none" w:sz="0" w:space="0" w:color="auto"/>
            <w:right w:val="none" w:sz="0" w:space="0" w:color="auto"/>
          </w:divBdr>
        </w:div>
      </w:divsChild>
    </w:div>
    <w:div w:id="1974479241">
      <w:bodyDiv w:val="1"/>
      <w:marLeft w:val="0"/>
      <w:marRight w:val="0"/>
      <w:marTop w:val="0"/>
      <w:marBottom w:val="0"/>
      <w:divBdr>
        <w:top w:val="none" w:sz="0" w:space="0" w:color="auto"/>
        <w:left w:val="none" w:sz="0" w:space="0" w:color="auto"/>
        <w:bottom w:val="none" w:sz="0" w:space="0" w:color="auto"/>
        <w:right w:val="none" w:sz="0" w:space="0" w:color="auto"/>
      </w:divBdr>
      <w:divsChild>
        <w:div w:id="719062700">
          <w:marLeft w:val="547"/>
          <w:marRight w:val="0"/>
          <w:marTop w:val="96"/>
          <w:marBottom w:val="0"/>
          <w:divBdr>
            <w:top w:val="none" w:sz="0" w:space="0" w:color="auto"/>
            <w:left w:val="none" w:sz="0" w:space="0" w:color="auto"/>
            <w:bottom w:val="none" w:sz="0" w:space="0" w:color="auto"/>
            <w:right w:val="none" w:sz="0" w:space="0" w:color="auto"/>
          </w:divBdr>
        </w:div>
      </w:divsChild>
    </w:div>
    <w:div w:id="1982343051">
      <w:bodyDiv w:val="1"/>
      <w:marLeft w:val="0"/>
      <w:marRight w:val="0"/>
      <w:marTop w:val="0"/>
      <w:marBottom w:val="0"/>
      <w:divBdr>
        <w:top w:val="none" w:sz="0" w:space="0" w:color="auto"/>
        <w:left w:val="none" w:sz="0" w:space="0" w:color="auto"/>
        <w:bottom w:val="none" w:sz="0" w:space="0" w:color="auto"/>
        <w:right w:val="none" w:sz="0" w:space="0" w:color="auto"/>
      </w:divBdr>
    </w:div>
    <w:div w:id="2005821354">
      <w:bodyDiv w:val="1"/>
      <w:marLeft w:val="0"/>
      <w:marRight w:val="0"/>
      <w:marTop w:val="0"/>
      <w:marBottom w:val="0"/>
      <w:divBdr>
        <w:top w:val="none" w:sz="0" w:space="0" w:color="auto"/>
        <w:left w:val="none" w:sz="0" w:space="0" w:color="auto"/>
        <w:bottom w:val="none" w:sz="0" w:space="0" w:color="auto"/>
        <w:right w:val="none" w:sz="0" w:space="0" w:color="auto"/>
      </w:divBdr>
    </w:div>
    <w:div w:id="2009552512">
      <w:bodyDiv w:val="1"/>
      <w:marLeft w:val="0"/>
      <w:marRight w:val="0"/>
      <w:marTop w:val="0"/>
      <w:marBottom w:val="0"/>
      <w:divBdr>
        <w:top w:val="none" w:sz="0" w:space="0" w:color="auto"/>
        <w:left w:val="none" w:sz="0" w:space="0" w:color="auto"/>
        <w:bottom w:val="none" w:sz="0" w:space="0" w:color="auto"/>
        <w:right w:val="none" w:sz="0" w:space="0" w:color="auto"/>
      </w:divBdr>
      <w:divsChild>
        <w:div w:id="1654069539">
          <w:marLeft w:val="547"/>
          <w:marRight w:val="0"/>
          <w:marTop w:val="96"/>
          <w:marBottom w:val="0"/>
          <w:divBdr>
            <w:top w:val="none" w:sz="0" w:space="0" w:color="auto"/>
            <w:left w:val="none" w:sz="0" w:space="0" w:color="auto"/>
            <w:bottom w:val="none" w:sz="0" w:space="0" w:color="auto"/>
            <w:right w:val="none" w:sz="0" w:space="0" w:color="auto"/>
          </w:divBdr>
        </w:div>
        <w:div w:id="419058940">
          <w:marLeft w:val="547"/>
          <w:marRight w:val="0"/>
          <w:marTop w:val="96"/>
          <w:marBottom w:val="0"/>
          <w:divBdr>
            <w:top w:val="none" w:sz="0" w:space="0" w:color="auto"/>
            <w:left w:val="none" w:sz="0" w:space="0" w:color="auto"/>
            <w:bottom w:val="none" w:sz="0" w:space="0" w:color="auto"/>
            <w:right w:val="none" w:sz="0" w:space="0" w:color="auto"/>
          </w:divBdr>
        </w:div>
      </w:divsChild>
    </w:div>
    <w:div w:id="2089157215">
      <w:bodyDiv w:val="1"/>
      <w:marLeft w:val="0"/>
      <w:marRight w:val="0"/>
      <w:marTop w:val="0"/>
      <w:marBottom w:val="0"/>
      <w:divBdr>
        <w:top w:val="none" w:sz="0" w:space="0" w:color="auto"/>
        <w:left w:val="none" w:sz="0" w:space="0" w:color="auto"/>
        <w:bottom w:val="none" w:sz="0" w:space="0" w:color="auto"/>
        <w:right w:val="none" w:sz="0" w:space="0" w:color="auto"/>
      </w:divBdr>
      <w:divsChild>
        <w:div w:id="1610047359">
          <w:marLeft w:val="547"/>
          <w:marRight w:val="0"/>
          <w:marTop w:val="96"/>
          <w:marBottom w:val="0"/>
          <w:divBdr>
            <w:top w:val="none" w:sz="0" w:space="0" w:color="auto"/>
            <w:left w:val="none" w:sz="0" w:space="0" w:color="auto"/>
            <w:bottom w:val="none" w:sz="0" w:space="0" w:color="auto"/>
            <w:right w:val="none" w:sz="0" w:space="0" w:color="auto"/>
          </w:divBdr>
        </w:div>
        <w:div w:id="450780481">
          <w:marLeft w:val="547"/>
          <w:marRight w:val="0"/>
          <w:marTop w:val="96"/>
          <w:marBottom w:val="0"/>
          <w:divBdr>
            <w:top w:val="none" w:sz="0" w:space="0" w:color="auto"/>
            <w:left w:val="none" w:sz="0" w:space="0" w:color="auto"/>
            <w:bottom w:val="none" w:sz="0" w:space="0" w:color="auto"/>
            <w:right w:val="none" w:sz="0" w:space="0" w:color="auto"/>
          </w:divBdr>
        </w:div>
        <w:div w:id="287663381">
          <w:marLeft w:val="547"/>
          <w:marRight w:val="0"/>
          <w:marTop w:val="96"/>
          <w:marBottom w:val="0"/>
          <w:divBdr>
            <w:top w:val="none" w:sz="0" w:space="0" w:color="auto"/>
            <w:left w:val="none" w:sz="0" w:space="0" w:color="auto"/>
            <w:bottom w:val="none" w:sz="0" w:space="0" w:color="auto"/>
            <w:right w:val="none" w:sz="0" w:space="0" w:color="auto"/>
          </w:divBdr>
        </w:div>
        <w:div w:id="930428158">
          <w:marLeft w:val="547"/>
          <w:marRight w:val="0"/>
          <w:marTop w:val="96"/>
          <w:marBottom w:val="0"/>
          <w:divBdr>
            <w:top w:val="none" w:sz="0" w:space="0" w:color="auto"/>
            <w:left w:val="none" w:sz="0" w:space="0" w:color="auto"/>
            <w:bottom w:val="none" w:sz="0" w:space="0" w:color="auto"/>
            <w:right w:val="none" w:sz="0" w:space="0" w:color="auto"/>
          </w:divBdr>
        </w:div>
      </w:divsChild>
    </w:div>
    <w:div w:id="2105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hyperlink" Target="http://fx.sauder.ubc.ca/data.html" TargetMode="External"/><Relationship Id="rId21" Type="http://schemas.openxmlformats.org/officeDocument/2006/relationships/oleObject" Target="embeddings/oleObject3.bin"/><Relationship Id="rId42" Type="http://schemas.openxmlformats.org/officeDocument/2006/relationships/oleObject" Target="embeddings/oleObject13.bin"/><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7.bin"/><Relationship Id="rId84" Type="http://schemas.openxmlformats.org/officeDocument/2006/relationships/image" Target="media/image41.wmf"/><Relationship Id="rId89" Type="http://schemas.openxmlformats.org/officeDocument/2006/relationships/oleObject" Target="embeddings/oleObject37.bin"/><Relationship Id="rId112" Type="http://schemas.openxmlformats.org/officeDocument/2006/relationships/oleObject" Target="embeddings/oleObject47.bin"/><Relationship Id="rId133" Type="http://schemas.openxmlformats.org/officeDocument/2006/relationships/image" Target="media/image62.wmf"/><Relationship Id="rId138" Type="http://schemas.openxmlformats.org/officeDocument/2006/relationships/oleObject" Target="embeddings/oleObject59.bin"/><Relationship Id="rId154" Type="http://schemas.openxmlformats.org/officeDocument/2006/relationships/oleObject" Target="embeddings/oleObject66.bin"/><Relationship Id="rId159" Type="http://schemas.openxmlformats.org/officeDocument/2006/relationships/image" Target="media/image76.jpeg"/><Relationship Id="rId175" Type="http://schemas.openxmlformats.org/officeDocument/2006/relationships/footer" Target="footer1.xml"/><Relationship Id="rId170" Type="http://schemas.openxmlformats.org/officeDocument/2006/relationships/chart" Target="charts/chart5.xml"/><Relationship Id="rId16" Type="http://schemas.openxmlformats.org/officeDocument/2006/relationships/image" Target="media/image7.wmf"/><Relationship Id="rId107" Type="http://schemas.openxmlformats.org/officeDocument/2006/relationships/image" Target="media/image51.wmf"/><Relationship Id="rId11" Type="http://schemas.openxmlformats.org/officeDocument/2006/relationships/image" Target="media/image4.jpeg"/><Relationship Id="rId32" Type="http://schemas.openxmlformats.org/officeDocument/2006/relationships/image" Target="media/image15.wmf"/><Relationship Id="rId37" Type="http://schemas.openxmlformats.org/officeDocument/2006/relationships/image" Target="media/image18.wmf"/><Relationship Id="rId53" Type="http://schemas.openxmlformats.org/officeDocument/2006/relationships/oleObject" Target="embeddings/oleObject20.bin"/><Relationship Id="rId58" Type="http://schemas.openxmlformats.org/officeDocument/2006/relationships/image" Target="media/image27.wmf"/><Relationship Id="rId74" Type="http://schemas.openxmlformats.org/officeDocument/2006/relationships/image" Target="media/image36.wmf"/><Relationship Id="rId79" Type="http://schemas.openxmlformats.org/officeDocument/2006/relationships/oleObject" Target="embeddings/oleObject32.bin"/><Relationship Id="rId102" Type="http://schemas.openxmlformats.org/officeDocument/2006/relationships/image" Target="media/image49.wmf"/><Relationship Id="rId123" Type="http://schemas.openxmlformats.org/officeDocument/2006/relationships/oleObject" Target="embeddings/oleObject51.bin"/><Relationship Id="rId128" Type="http://schemas.openxmlformats.org/officeDocument/2006/relationships/image" Target="media/image60.wmf"/><Relationship Id="rId144"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chart" Target="charts/chart1.xml"/><Relationship Id="rId160" Type="http://schemas.openxmlformats.org/officeDocument/2006/relationships/image" Target="media/image77.jpeg"/><Relationship Id="rId165" Type="http://schemas.openxmlformats.org/officeDocument/2006/relationships/oleObject" Target="embeddings/oleObject71.bin"/><Relationship Id="rId22" Type="http://schemas.openxmlformats.org/officeDocument/2006/relationships/image" Target="media/image10.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image" Target="media/image55.wmf"/><Relationship Id="rId134" Type="http://schemas.openxmlformats.org/officeDocument/2006/relationships/oleObject" Target="embeddings/oleObject57.bin"/><Relationship Id="rId139" Type="http://schemas.openxmlformats.org/officeDocument/2006/relationships/image" Target="media/image65.jpeg"/><Relationship Id="rId80" Type="http://schemas.openxmlformats.org/officeDocument/2006/relationships/image" Target="media/image39.wmf"/><Relationship Id="rId85" Type="http://schemas.openxmlformats.org/officeDocument/2006/relationships/oleObject" Target="embeddings/oleObject35.bin"/><Relationship Id="rId150" Type="http://schemas.openxmlformats.org/officeDocument/2006/relationships/oleObject" Target="embeddings/oleObject64.bin"/><Relationship Id="rId155" Type="http://schemas.openxmlformats.org/officeDocument/2006/relationships/oleObject" Target="embeddings/oleObject67.bin"/><Relationship Id="rId171" Type="http://schemas.openxmlformats.org/officeDocument/2006/relationships/hyperlink" Target="http://fx.sauder.ubc.ca/data.html" TargetMode="External"/><Relationship Id="rId176" Type="http://schemas.openxmlformats.org/officeDocument/2006/relationships/fontTable" Target="fontTable.xml"/><Relationship Id="rId12" Type="http://schemas.openxmlformats.org/officeDocument/2006/relationships/image" Target="media/image5.jpeg"/><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oleObject" Target="embeddings/oleObject42.bin"/><Relationship Id="rId108" Type="http://schemas.openxmlformats.org/officeDocument/2006/relationships/oleObject" Target="embeddings/oleObject45.bin"/><Relationship Id="rId124" Type="http://schemas.openxmlformats.org/officeDocument/2006/relationships/image" Target="media/image58.wmf"/><Relationship Id="rId129" Type="http://schemas.openxmlformats.org/officeDocument/2006/relationships/oleObject" Target="embeddings/oleObject54.bin"/><Relationship Id="rId54" Type="http://schemas.openxmlformats.org/officeDocument/2006/relationships/image" Target="media/image25.wmf"/><Relationship Id="rId70" Type="http://schemas.openxmlformats.org/officeDocument/2006/relationships/oleObject" Target="embeddings/oleObject28.bin"/><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chart" Target="charts/chart2.xml"/><Relationship Id="rId140" Type="http://schemas.openxmlformats.org/officeDocument/2006/relationships/image" Target="media/image66.jpeg"/><Relationship Id="rId145" Type="http://schemas.openxmlformats.org/officeDocument/2006/relationships/image" Target="media/image69.wmf"/><Relationship Id="rId161" Type="http://schemas.openxmlformats.org/officeDocument/2006/relationships/image" Target="media/image78.wmf"/><Relationship Id="rId166"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oleObject" Target="embeddings/oleObject48.bin"/><Relationship Id="rId119" Type="http://schemas.openxmlformats.org/officeDocument/2006/relationships/oleObject" Target="embeddings/oleObject49.bin"/><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image" Target="media/image35.jpeg"/><Relationship Id="rId78" Type="http://schemas.openxmlformats.org/officeDocument/2006/relationships/image" Target="media/image38.wmf"/><Relationship Id="rId81" Type="http://schemas.openxmlformats.org/officeDocument/2006/relationships/oleObject" Target="embeddings/oleObject33.bin"/><Relationship Id="rId86" Type="http://schemas.openxmlformats.org/officeDocument/2006/relationships/image" Target="media/image42.wmf"/><Relationship Id="rId94" Type="http://schemas.openxmlformats.org/officeDocument/2006/relationships/image" Target="media/image46.jpeg"/><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7.wmf"/><Relationship Id="rId130" Type="http://schemas.openxmlformats.org/officeDocument/2006/relationships/oleObject" Target="embeddings/oleObject55.bin"/><Relationship Id="rId135" Type="http://schemas.openxmlformats.org/officeDocument/2006/relationships/image" Target="media/image63.wmf"/><Relationship Id="rId143" Type="http://schemas.openxmlformats.org/officeDocument/2006/relationships/image" Target="media/image68.wmf"/><Relationship Id="rId148" Type="http://schemas.openxmlformats.org/officeDocument/2006/relationships/oleObject" Target="embeddings/oleObject63.bin"/><Relationship Id="rId151" Type="http://schemas.openxmlformats.org/officeDocument/2006/relationships/image" Target="media/image72.wmf"/><Relationship Id="rId156" Type="http://schemas.openxmlformats.org/officeDocument/2006/relationships/image" Target="media/image74.wmf"/><Relationship Id="rId164" Type="http://schemas.openxmlformats.org/officeDocument/2006/relationships/image" Target="media/image79.wmf"/><Relationship Id="rId169" Type="http://schemas.openxmlformats.org/officeDocument/2006/relationships/oleObject" Target="embeddings/oleObject73.bin"/><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academic.reed.edu/economics/parker/s12/312/finalproj/PPP.pdf" TargetMode="External"/><Relationship Id="rId13" Type="http://schemas.openxmlformats.org/officeDocument/2006/relationships/image" Target="media/image6.jpeg"/><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2.wmf"/><Relationship Id="rId34" Type="http://schemas.openxmlformats.org/officeDocument/2006/relationships/image" Target="media/image16.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chart" Target="charts/chart3.xml"/><Relationship Id="rId104" Type="http://schemas.openxmlformats.org/officeDocument/2006/relationships/image" Target="media/image50.wmf"/><Relationship Id="rId120" Type="http://schemas.openxmlformats.org/officeDocument/2006/relationships/image" Target="media/image56.wmf"/><Relationship Id="rId125" Type="http://schemas.openxmlformats.org/officeDocument/2006/relationships/oleObject" Target="embeddings/oleObject52.bin"/><Relationship Id="rId141" Type="http://schemas.openxmlformats.org/officeDocument/2006/relationships/image" Target="media/image67.wmf"/><Relationship Id="rId146" Type="http://schemas.openxmlformats.org/officeDocument/2006/relationships/oleObject" Target="embeddings/oleObject62.bin"/><Relationship Id="rId167"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oleObject" Target="embeddings/oleObject16.bin"/><Relationship Id="rId66" Type="http://schemas.openxmlformats.org/officeDocument/2006/relationships/image" Target="media/image31.jpeg"/><Relationship Id="rId87" Type="http://schemas.openxmlformats.org/officeDocument/2006/relationships/oleObject" Target="embeddings/oleObject36.bin"/><Relationship Id="rId110" Type="http://schemas.openxmlformats.org/officeDocument/2006/relationships/oleObject" Target="embeddings/oleObject46.bin"/><Relationship Id="rId115" Type="http://schemas.openxmlformats.org/officeDocument/2006/relationships/chart" Target="charts/chart4.xml"/><Relationship Id="rId131" Type="http://schemas.openxmlformats.org/officeDocument/2006/relationships/image" Target="media/image61.wmf"/><Relationship Id="rId136" Type="http://schemas.openxmlformats.org/officeDocument/2006/relationships/oleObject" Target="embeddings/oleObject58.bin"/><Relationship Id="rId157" Type="http://schemas.openxmlformats.org/officeDocument/2006/relationships/oleObject" Target="embeddings/oleObject68.bin"/><Relationship Id="rId178" Type="http://schemas.microsoft.com/office/2007/relationships/stylesWithEffects" Target="stylesWithEffects.xml"/><Relationship Id="rId61" Type="http://schemas.openxmlformats.org/officeDocument/2006/relationships/oleObject" Target="embeddings/oleObject24.bin"/><Relationship Id="rId82" Type="http://schemas.openxmlformats.org/officeDocument/2006/relationships/image" Target="media/image40.wmf"/><Relationship Id="rId152" Type="http://schemas.openxmlformats.org/officeDocument/2006/relationships/oleObject" Target="embeddings/oleObject65.bin"/><Relationship Id="rId173" Type="http://schemas.openxmlformats.org/officeDocument/2006/relationships/hyperlink" Target="http://www.econlib.org/library/Enc/BalanceofPayments.html" TargetMode="External"/><Relationship Id="rId19"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10.bin"/><Relationship Id="rId56" Type="http://schemas.openxmlformats.org/officeDocument/2006/relationships/image" Target="media/image26.wmf"/><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oleObject" Target="embeddings/oleObject43.bin"/><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image" Target="media/image81.wmf"/><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7.wmf"/><Relationship Id="rId121" Type="http://schemas.openxmlformats.org/officeDocument/2006/relationships/oleObject" Target="embeddings/oleObject50.bin"/><Relationship Id="rId142" Type="http://schemas.openxmlformats.org/officeDocument/2006/relationships/oleObject" Target="embeddings/oleObject60.bin"/><Relationship Id="rId163" Type="http://schemas.openxmlformats.org/officeDocument/2006/relationships/oleObject" Target="embeddings/oleObject70.bin"/><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hyperlink" Target="http://www.oecd.or" TargetMode="External"/><Relationship Id="rId137" Type="http://schemas.openxmlformats.org/officeDocument/2006/relationships/image" Target="media/image64.wmf"/><Relationship Id="rId158" Type="http://schemas.openxmlformats.org/officeDocument/2006/relationships/image" Target="media/image75.jpeg"/><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image" Target="media/image29.wmf"/><Relationship Id="rId83" Type="http://schemas.openxmlformats.org/officeDocument/2006/relationships/oleObject" Target="embeddings/oleObject34.bin"/><Relationship Id="rId88" Type="http://schemas.openxmlformats.org/officeDocument/2006/relationships/image" Target="media/image43.wmf"/><Relationship Id="rId111" Type="http://schemas.openxmlformats.org/officeDocument/2006/relationships/image" Target="media/image53.wmf"/><Relationship Id="rId132" Type="http://schemas.openxmlformats.org/officeDocument/2006/relationships/oleObject" Target="embeddings/oleObject56.bin"/><Relationship Id="rId153" Type="http://schemas.openxmlformats.org/officeDocument/2006/relationships/image" Target="media/image73.wmf"/><Relationship Id="rId174" Type="http://schemas.openxmlformats.org/officeDocument/2006/relationships/hyperlink" Target="http://www.oecd.org" TargetMode="External"/><Relationship Id="rId15" Type="http://schemas.microsoft.com/office/2007/relationships/hdphoto" Target="media/hdphoto1.wdp"/><Relationship Id="rId36" Type="http://schemas.openxmlformats.org/officeDocument/2006/relationships/image" Target="media/image17.jpeg"/><Relationship Id="rId57" Type="http://schemas.openxmlformats.org/officeDocument/2006/relationships/oleObject" Target="embeddings/oleObject22.bin"/><Relationship Id="rId106" Type="http://schemas.openxmlformats.org/officeDocument/2006/relationships/oleObject" Target="embeddings/oleObject44.bin"/><Relationship Id="rId127" Type="http://schemas.openxmlformats.org/officeDocument/2006/relationships/oleObject" Target="embeddings/oleObject53.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BMfile2000-Jul2014%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BMfile2000-Jul201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wnloads\c4e91d64-f8c8-49d9-b2c0-35cd039dda4c.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948;&#953;&#945;&#966;&#959;&#961;&#945;%20&#960;&#955;&#951;&#952;&#969;&#961;&#953;&#963;&#956;&#959;&#965;%20&amp;%20&#963;&#965;&#957;&#945;&#955;%20&#953;&#963;&#959;&#964;&#953;&#956;&#953;&#9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rebim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200"/>
              <a:t>Κίνα:</a:t>
            </a:r>
            <a:r>
              <a:rPr lang="en-US" sz="1200"/>
              <a:t>  </a:t>
            </a:r>
            <a:r>
              <a:rPr lang="el-GR" sz="1200"/>
              <a:t>Ποσοστό Υποτίμησης</a:t>
            </a:r>
            <a:r>
              <a:rPr lang="en-US" sz="1200"/>
              <a:t> </a:t>
            </a:r>
            <a:r>
              <a:rPr lang="el-GR" sz="1200"/>
              <a:t>/</a:t>
            </a:r>
            <a:r>
              <a:rPr lang="en-US" sz="1200"/>
              <a:t> </a:t>
            </a:r>
            <a:r>
              <a:rPr lang="el-GR" sz="1200"/>
              <a:t>Ανατίμησης του Γουάν  σε σχέση με το αμερικάνικο δολάριο μέ βάση το Δείκτη </a:t>
            </a:r>
            <a:r>
              <a:rPr lang="en-US" sz="1200"/>
              <a:t>Big Mac</a:t>
            </a:r>
          </a:p>
        </c:rich>
      </c:tx>
    </c:title>
    <c:plotArea>
      <c:layout>
        <c:manualLayout>
          <c:layoutTarget val="inner"/>
          <c:xMode val="edge"/>
          <c:yMode val="edge"/>
          <c:x val="0.10014648890910299"/>
          <c:y val="0.16587665995844805"/>
          <c:w val="0.87337938353373723"/>
          <c:h val="0.72733475313104468"/>
        </c:manualLayout>
      </c:layout>
      <c:lineChart>
        <c:grouping val="standard"/>
        <c:ser>
          <c:idx val="0"/>
          <c:order val="0"/>
          <c:tx>
            <c:v>China  Under(-)/OvER(+) Valuation Against the Dollar, %</c:v>
          </c:tx>
          <c:cat>
            <c:numRef>
              <c:f>china!$B$2:$B$16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china!$C$2:$C$16</c:f>
              <c:numCache>
                <c:formatCode>0.00</c:formatCode>
                <c:ptCount val="15"/>
                <c:pt idx="0">
                  <c:v>-52.364455222587921</c:v>
                </c:pt>
                <c:pt idx="1">
                  <c:v>-52.927079767202983</c:v>
                </c:pt>
                <c:pt idx="2">
                  <c:v>-49.071648914498546</c:v>
                </c:pt>
                <c:pt idx="3">
                  <c:v>-55.879993582544493</c:v>
                </c:pt>
                <c:pt idx="4">
                  <c:v>-56.688322505413957</c:v>
                </c:pt>
                <c:pt idx="5">
                  <c:v>-58.540276581368587</c:v>
                </c:pt>
                <c:pt idx="6">
                  <c:v>-58.664533756608506</c:v>
                </c:pt>
                <c:pt idx="7">
                  <c:v>-57.581410816825105</c:v>
                </c:pt>
                <c:pt idx="8">
                  <c:v>-48.764990339126598</c:v>
                </c:pt>
                <c:pt idx="9">
                  <c:v>-48.755242287469237</c:v>
                </c:pt>
                <c:pt idx="10">
                  <c:v>-47.826966817950911</c:v>
                </c:pt>
                <c:pt idx="11">
                  <c:v>-44.081675106898459</c:v>
                </c:pt>
                <c:pt idx="12">
                  <c:v>-43.39192766175605</c:v>
                </c:pt>
                <c:pt idx="13">
                  <c:v>-42.757067901100946</c:v>
                </c:pt>
                <c:pt idx="14">
                  <c:v>-43.137558808255449</c:v>
                </c:pt>
              </c:numCache>
            </c:numRef>
          </c:val>
        </c:ser>
        <c:marker val="1"/>
        <c:axId val="165854208"/>
        <c:axId val="165864192"/>
      </c:lineChart>
      <c:catAx>
        <c:axId val="165854208"/>
        <c:scaling>
          <c:orientation val="minMax"/>
        </c:scaling>
        <c:axPos val="b"/>
        <c:numFmt formatCode="General" sourceLinked="1"/>
        <c:tickLblPos val="low"/>
        <c:crossAx val="165864192"/>
        <c:crosses val="autoZero"/>
        <c:auto val="1"/>
        <c:lblAlgn val="ctr"/>
        <c:lblOffset val="100"/>
      </c:catAx>
      <c:valAx>
        <c:axId val="165864192"/>
        <c:scaling>
          <c:orientation val="minMax"/>
          <c:min val="-60"/>
        </c:scaling>
        <c:axPos val="l"/>
        <c:majorGridlines/>
        <c:numFmt formatCode="0.00" sourceLinked="1"/>
        <c:tickLblPos val="nextTo"/>
        <c:crossAx val="165854208"/>
        <c:crosses val="autoZero"/>
        <c:crossBetween val="between"/>
      </c:valAx>
      <c:spPr>
        <a:noFill/>
        <a:ln w="25400">
          <a:noFill/>
        </a:ln>
      </c:spPr>
    </c:plotArea>
    <c:plotVisOnly val="1"/>
    <c:dispBlanksAs val="gap"/>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000"/>
              <a:t>Ιούλιος</a:t>
            </a:r>
            <a:r>
              <a:rPr lang="el-GR" sz="1000" baseline="0"/>
              <a:t> 2014: </a:t>
            </a:r>
            <a:r>
              <a:rPr lang="el-GR" sz="1000"/>
              <a:t>Ποσοστό Ανατίμησης</a:t>
            </a:r>
            <a:r>
              <a:rPr lang="el-GR" sz="1000" baseline="0"/>
              <a:t> ή </a:t>
            </a:r>
            <a:r>
              <a:rPr lang="el-GR" sz="1000"/>
              <a:t>Υποτίμησης</a:t>
            </a:r>
            <a:r>
              <a:rPr lang="en-US" sz="1000"/>
              <a:t> </a:t>
            </a:r>
            <a:r>
              <a:rPr lang="el-GR" sz="1000" baseline="0"/>
              <a:t>Εθνικών Νομισμάτων Έναντι του Αμερικάνικου Δολαρίου με Βάση το Δείκτη </a:t>
            </a:r>
            <a:r>
              <a:rPr lang="en-US" sz="1000" baseline="0"/>
              <a:t>Big Mac </a:t>
            </a:r>
            <a:r>
              <a:rPr lang="el-GR" sz="1000" baseline="0"/>
              <a:t>του </a:t>
            </a:r>
            <a:r>
              <a:rPr lang="en-US" sz="1000" baseline="0"/>
              <a:t>Economist</a:t>
            </a:r>
            <a:endParaRPr lang="en-US" sz="1000"/>
          </a:p>
        </c:rich>
      </c:tx>
    </c:title>
    <c:plotArea>
      <c:layout/>
      <c:barChart>
        <c:barDir val="bar"/>
        <c:grouping val="clustered"/>
        <c:ser>
          <c:idx val="0"/>
          <c:order val="0"/>
          <c:tx>
            <c:v>jmkhj,m</c:v>
          </c:tx>
          <c:spPr>
            <a:ln>
              <a:solidFill>
                <a:schemeClr val="tx1"/>
              </a:solidFill>
            </a:ln>
          </c:spPr>
          <c:dPt>
            <c:idx val="0"/>
            <c:spPr>
              <a:solidFill>
                <a:srgbClr val="C0504D">
                  <a:lumMod val="50000"/>
                </a:srgbClr>
              </a:solidFill>
              <a:ln>
                <a:solidFill>
                  <a:schemeClr val="tx1"/>
                </a:solidFill>
              </a:ln>
            </c:spPr>
          </c:dPt>
          <c:dPt>
            <c:idx val="1"/>
            <c:spPr>
              <a:solidFill>
                <a:schemeClr val="accent2">
                  <a:lumMod val="50000"/>
                </a:schemeClr>
              </a:solidFill>
              <a:ln>
                <a:solidFill>
                  <a:schemeClr val="tx1"/>
                </a:solidFill>
              </a:ln>
            </c:spPr>
          </c:dPt>
          <c:dPt>
            <c:idx val="2"/>
            <c:spPr>
              <a:solidFill>
                <a:srgbClr val="C0504D">
                  <a:lumMod val="75000"/>
                </a:srgbClr>
              </a:solidFill>
              <a:ln>
                <a:solidFill>
                  <a:schemeClr val="tx1"/>
                </a:solidFill>
              </a:ln>
            </c:spPr>
          </c:dPt>
          <c:dPt>
            <c:idx val="3"/>
            <c:spPr>
              <a:solidFill>
                <a:srgbClr val="F79646">
                  <a:lumMod val="75000"/>
                  <a:alpha val="83000"/>
                </a:srgbClr>
              </a:solidFill>
              <a:ln>
                <a:solidFill>
                  <a:schemeClr val="tx1"/>
                </a:solidFill>
              </a:ln>
            </c:spPr>
          </c:dPt>
          <c:dPt>
            <c:idx val="4"/>
            <c:spPr>
              <a:solidFill>
                <a:srgbClr val="F79646">
                  <a:lumMod val="75000"/>
                  <a:alpha val="75000"/>
                </a:srgbClr>
              </a:solidFill>
              <a:ln>
                <a:solidFill>
                  <a:schemeClr val="tx1"/>
                </a:solidFill>
              </a:ln>
            </c:spPr>
          </c:dPt>
          <c:dPt>
            <c:idx val="5"/>
            <c:spPr>
              <a:solidFill>
                <a:srgbClr val="FFC000"/>
              </a:solidFill>
              <a:ln>
                <a:solidFill>
                  <a:schemeClr val="tx1"/>
                </a:solidFill>
              </a:ln>
            </c:spPr>
          </c:dPt>
          <c:dPt>
            <c:idx val="6"/>
            <c:spPr>
              <a:solidFill>
                <a:srgbClr val="FFC000">
                  <a:alpha val="89000"/>
                </a:srgbClr>
              </a:solidFill>
              <a:ln>
                <a:solidFill>
                  <a:schemeClr val="tx1"/>
                </a:solidFill>
              </a:ln>
            </c:spPr>
          </c:dPt>
          <c:dPt>
            <c:idx val="7"/>
            <c:spPr>
              <a:solidFill>
                <a:srgbClr val="FFC000">
                  <a:alpha val="74000"/>
                </a:srgbClr>
              </a:solidFill>
              <a:ln>
                <a:solidFill>
                  <a:schemeClr val="tx1"/>
                </a:solidFill>
              </a:ln>
            </c:spPr>
          </c:dPt>
          <c:dPt>
            <c:idx val="8"/>
            <c:spPr>
              <a:solidFill>
                <a:srgbClr val="FFC000">
                  <a:alpha val="65000"/>
                </a:srgbClr>
              </a:solidFill>
              <a:ln>
                <a:solidFill>
                  <a:schemeClr val="tx1"/>
                </a:solidFill>
              </a:ln>
            </c:spPr>
          </c:dPt>
          <c:dPt>
            <c:idx val="9"/>
            <c:spPr>
              <a:solidFill>
                <a:srgbClr val="FFFF00">
                  <a:alpha val="50000"/>
                </a:srgbClr>
              </a:solidFill>
              <a:ln>
                <a:solidFill>
                  <a:schemeClr val="tx1"/>
                </a:solidFill>
              </a:ln>
            </c:spPr>
          </c:dPt>
          <c:dPt>
            <c:idx val="10"/>
            <c:spPr>
              <a:solidFill>
                <a:srgbClr val="FFFF00">
                  <a:alpha val="35000"/>
                </a:srgbClr>
              </a:solidFill>
              <a:ln>
                <a:solidFill>
                  <a:schemeClr val="tx1"/>
                </a:solidFill>
              </a:ln>
            </c:spPr>
          </c:dPt>
          <c:dPt>
            <c:idx val="11"/>
            <c:spPr>
              <a:solidFill>
                <a:srgbClr val="FFFF00">
                  <a:alpha val="29000"/>
                </a:srgbClr>
              </a:solidFill>
              <a:ln>
                <a:solidFill>
                  <a:schemeClr val="tx1"/>
                </a:solidFill>
              </a:ln>
            </c:spPr>
          </c:dPt>
          <c:dPt>
            <c:idx val="13"/>
            <c:spPr>
              <a:solidFill>
                <a:srgbClr val="4F81BD">
                  <a:lumMod val="60000"/>
                  <a:lumOff val="40000"/>
                  <a:alpha val="15000"/>
                </a:srgbClr>
              </a:solidFill>
              <a:ln>
                <a:solidFill>
                  <a:schemeClr val="tx1"/>
                </a:solidFill>
              </a:ln>
            </c:spPr>
          </c:dPt>
          <c:dPt>
            <c:idx val="14"/>
            <c:spPr>
              <a:solidFill>
                <a:srgbClr val="4F81BD">
                  <a:lumMod val="60000"/>
                  <a:lumOff val="40000"/>
                  <a:alpha val="29000"/>
                </a:srgbClr>
              </a:solidFill>
              <a:ln>
                <a:solidFill>
                  <a:schemeClr val="tx1"/>
                </a:solidFill>
              </a:ln>
            </c:spPr>
          </c:dPt>
          <c:dPt>
            <c:idx val="15"/>
            <c:spPr>
              <a:solidFill>
                <a:srgbClr val="4F81BD">
                  <a:lumMod val="60000"/>
                  <a:lumOff val="40000"/>
                  <a:alpha val="52000"/>
                </a:srgbClr>
              </a:solidFill>
              <a:ln>
                <a:solidFill>
                  <a:schemeClr val="tx1"/>
                </a:solidFill>
              </a:ln>
            </c:spPr>
          </c:dPt>
          <c:dPt>
            <c:idx val="16"/>
            <c:spPr>
              <a:solidFill>
                <a:srgbClr val="4BACC6">
                  <a:lumMod val="60000"/>
                  <a:lumOff val="40000"/>
                  <a:alpha val="80000"/>
                </a:srgbClr>
              </a:solidFill>
              <a:ln>
                <a:solidFill>
                  <a:schemeClr val="tx1"/>
                </a:solidFill>
              </a:ln>
            </c:spPr>
          </c:dPt>
          <c:dPt>
            <c:idx val="17"/>
            <c:spPr>
              <a:solidFill>
                <a:schemeClr val="accent5">
                  <a:lumMod val="60000"/>
                  <a:lumOff val="40000"/>
                </a:schemeClr>
              </a:solidFill>
              <a:ln>
                <a:solidFill>
                  <a:schemeClr val="tx1"/>
                </a:solidFill>
              </a:ln>
            </c:spPr>
          </c:dPt>
          <c:dPt>
            <c:idx val="18"/>
            <c:spPr>
              <a:solidFill>
                <a:srgbClr val="4BACC6">
                  <a:lumMod val="75000"/>
                  <a:alpha val="56000"/>
                </a:srgbClr>
              </a:solidFill>
              <a:ln>
                <a:solidFill>
                  <a:schemeClr val="tx1"/>
                </a:solidFill>
              </a:ln>
            </c:spPr>
          </c:dPt>
          <c:dPt>
            <c:idx val="19"/>
            <c:spPr>
              <a:solidFill>
                <a:srgbClr val="4BACC6">
                  <a:lumMod val="75000"/>
                  <a:alpha val="81000"/>
                </a:srgbClr>
              </a:solidFill>
              <a:ln>
                <a:solidFill>
                  <a:schemeClr val="tx1"/>
                </a:solidFill>
              </a:ln>
            </c:spPr>
          </c:dPt>
          <c:dPt>
            <c:idx val="20"/>
            <c:spPr>
              <a:solidFill>
                <a:srgbClr val="4F81BD">
                  <a:lumMod val="75000"/>
                  <a:alpha val="83000"/>
                </a:srgbClr>
              </a:solidFill>
              <a:ln>
                <a:solidFill>
                  <a:schemeClr val="tx1"/>
                </a:solidFill>
              </a:ln>
            </c:spPr>
          </c:dPt>
          <c:dPt>
            <c:idx val="21"/>
            <c:spPr>
              <a:solidFill>
                <a:srgbClr val="4F81BD">
                  <a:lumMod val="75000"/>
                </a:srgbClr>
              </a:solidFill>
              <a:ln>
                <a:solidFill>
                  <a:schemeClr val="tx1"/>
                </a:solidFill>
              </a:ln>
            </c:spPr>
          </c:dPt>
          <c:dPt>
            <c:idx val="22"/>
            <c:spPr>
              <a:solidFill>
                <a:srgbClr val="4F81BD">
                  <a:lumMod val="50000"/>
                  <a:alpha val="88000"/>
                </a:srgbClr>
              </a:solidFill>
              <a:ln>
                <a:solidFill>
                  <a:schemeClr val="tx1"/>
                </a:solidFill>
              </a:ln>
            </c:spPr>
          </c:dPt>
          <c:dPt>
            <c:idx val="23"/>
            <c:spPr>
              <a:solidFill>
                <a:schemeClr val="accent1">
                  <a:lumMod val="50000"/>
                </a:schemeClr>
              </a:solidFill>
              <a:ln>
                <a:solidFill>
                  <a:schemeClr val="tx1"/>
                </a:solidFill>
              </a:ln>
            </c:spPr>
          </c:dPt>
          <c:cat>
            <c:strRef>
              <c:f>Φύλλο1!$A$2:$A$25</c:f>
              <c:strCache>
                <c:ptCount val="24"/>
                <c:pt idx="0">
                  <c:v>Ουκρανία</c:v>
                </c:pt>
                <c:pt idx="1">
                  <c:v>Iνδία</c:v>
                </c:pt>
                <c:pt idx="2">
                  <c:v>Ρωσία</c:v>
                </c:pt>
                <c:pt idx="3">
                  <c:v>Αργεντινή</c:v>
                </c:pt>
                <c:pt idx="4">
                  <c:v>Κίνα</c:v>
                </c:pt>
                <c:pt idx="5">
                  <c:v>Μεξικό</c:v>
                </c:pt>
                <c:pt idx="6">
                  <c:v>Τσεχία</c:v>
                </c:pt>
                <c:pt idx="7">
                  <c:v>Ιαπωνία</c:v>
                </c:pt>
                <c:pt idx="8">
                  <c:v>Πορτογαλία</c:v>
                </c:pt>
                <c:pt idx="9">
                  <c:v>Ελλάδα</c:v>
                </c:pt>
                <c:pt idx="10">
                  <c:v>Τουρκία</c:v>
                </c:pt>
                <c:pt idx="11">
                  <c:v>Ιρλανδία</c:v>
                </c:pt>
                <c:pt idx="12">
                  <c:v>Η.Π.Α.</c:v>
                </c:pt>
                <c:pt idx="13">
                  <c:v>Ηνωμένο Βασίλειο</c:v>
                </c:pt>
                <c:pt idx="14">
                  <c:v>Γερμανία</c:v>
                </c:pt>
                <c:pt idx="15">
                  <c:v>Βέλγιο</c:v>
                </c:pt>
                <c:pt idx="16">
                  <c:v>Ισραήλ</c:v>
                </c:pt>
                <c:pt idx="17">
                  <c:v>Ιταλία</c:v>
                </c:pt>
                <c:pt idx="18">
                  <c:v>Γαλλία</c:v>
                </c:pt>
                <c:pt idx="19">
                  <c:v>Καναδάς</c:v>
                </c:pt>
                <c:pt idx="20">
                  <c:v>Βραζιλία</c:v>
                </c:pt>
                <c:pt idx="21">
                  <c:v>Σουηδία</c:v>
                </c:pt>
                <c:pt idx="22">
                  <c:v>Ελβετία</c:v>
                </c:pt>
                <c:pt idx="23">
                  <c:v>Νορβηγία</c:v>
                </c:pt>
              </c:strCache>
            </c:strRef>
          </c:cat>
          <c:val>
            <c:numRef>
              <c:f>Φύλλο1!$F$2:$F$25</c:f>
              <c:numCache>
                <c:formatCode>0.00</c:formatCode>
                <c:ptCount val="24"/>
                <c:pt idx="0">
                  <c:v>-66.089337639987448</c:v>
                </c:pt>
                <c:pt idx="1">
                  <c:v>-63.557554086283844</c:v>
                </c:pt>
                <c:pt idx="2">
                  <c:v>-46.720820263502802</c:v>
                </c:pt>
                <c:pt idx="3">
                  <c:v>-46.386386610000045</c:v>
                </c:pt>
                <c:pt idx="4">
                  <c:v>-43.137558808255463</c:v>
                </c:pt>
                <c:pt idx="5">
                  <c:v>-32.270711595228782</c:v>
                </c:pt>
                <c:pt idx="6">
                  <c:v>-27.935039734414687</c:v>
                </c:pt>
                <c:pt idx="7">
                  <c:v>-23.999101546135552</c:v>
                </c:pt>
                <c:pt idx="8">
                  <c:v>-15.765380604796675</c:v>
                </c:pt>
                <c:pt idx="9">
                  <c:v>-14.361470281543298</c:v>
                </c:pt>
                <c:pt idx="10">
                  <c:v>-7.7540798562958066</c:v>
                </c:pt>
                <c:pt idx="11">
                  <c:v>-2.0070594369134476</c:v>
                </c:pt>
                <c:pt idx="12">
                  <c:v>0</c:v>
                </c:pt>
                <c:pt idx="13">
                  <c:v>2.7140354535974982</c:v>
                </c:pt>
                <c:pt idx="14">
                  <c:v>3.0470177267987402</c:v>
                </c:pt>
                <c:pt idx="15">
                  <c:v>3.8893639207507857</c:v>
                </c:pt>
                <c:pt idx="16">
                  <c:v>6.9082850927514805</c:v>
                </c:pt>
                <c:pt idx="17">
                  <c:v>8.1010948905109395</c:v>
                </c:pt>
                <c:pt idx="18">
                  <c:v>9.5050052137643295</c:v>
                </c:pt>
                <c:pt idx="19">
                  <c:v>9.5130798956654772</c:v>
                </c:pt>
                <c:pt idx="20">
                  <c:v>22.110458537687339</c:v>
                </c:pt>
                <c:pt idx="21">
                  <c:v>24.166301082839951</c:v>
                </c:pt>
                <c:pt idx="22">
                  <c:v>42.361650359786672</c:v>
                </c:pt>
                <c:pt idx="23">
                  <c:v>61.789916905204279</c:v>
                </c:pt>
              </c:numCache>
            </c:numRef>
          </c:val>
        </c:ser>
        <c:axId val="59586816"/>
        <c:axId val="59596800"/>
      </c:barChart>
      <c:catAx>
        <c:axId val="59586816"/>
        <c:scaling>
          <c:orientation val="minMax"/>
        </c:scaling>
        <c:axPos val="l"/>
        <c:tickLblPos val="high"/>
        <c:crossAx val="59596800"/>
        <c:crosses val="autoZero"/>
        <c:auto val="1"/>
        <c:lblAlgn val="ctr"/>
        <c:lblOffset val="100"/>
      </c:catAx>
      <c:valAx>
        <c:axId val="59596800"/>
        <c:scaling>
          <c:orientation val="minMax"/>
          <c:max val="70"/>
          <c:min val="-70"/>
        </c:scaling>
        <c:axPos val="b"/>
        <c:majorGridlines/>
        <c:numFmt formatCode="0.00" sourceLinked="1"/>
        <c:tickLblPos val="high"/>
        <c:crossAx val="59586816"/>
        <c:crosses val="autoZero"/>
        <c:crossBetween val="between"/>
      </c:valAx>
      <c:spPr>
        <a:noFill/>
        <a:ln w="25400">
          <a:noFill/>
        </a:ln>
      </c:spPr>
    </c:plotArea>
    <c:plotVisOnly val="1"/>
    <c:dispBlanksAs val="gap"/>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plotArea>
      <c:layout>
        <c:manualLayout>
          <c:layoutTarget val="inner"/>
          <c:xMode val="edge"/>
          <c:yMode val="edge"/>
          <c:x val="8.2975929124101164E-2"/>
          <c:y val="0.11832893542462691"/>
          <c:w val="0.85836236083872297"/>
          <c:h val="0.74565085530528685"/>
        </c:manualLayout>
      </c:layout>
      <c:scatterChart>
        <c:scatterStyle val="lineMarker"/>
        <c:ser>
          <c:idx val="0"/>
          <c:order val="0"/>
          <c:spPr>
            <a:ln w="28575">
              <a:noFill/>
            </a:ln>
          </c:spPr>
          <c:dPt>
            <c:idx val="0"/>
            <c:marker>
              <c:spPr>
                <a:solidFill>
                  <a:schemeClr val="accent1">
                    <a:alpha val="99000"/>
                  </a:schemeClr>
                </a:solidFill>
              </c:spPr>
            </c:marker>
          </c:dPt>
          <c:dPt>
            <c:idx val="3"/>
            <c:marker>
              <c:spPr>
                <a:solidFill>
                  <a:srgbClr val="FF0000"/>
                </a:solidFill>
              </c:spPr>
            </c:marker>
          </c:dPt>
          <c:dPt>
            <c:idx val="16"/>
            <c:marker>
              <c:spPr>
                <a:solidFill>
                  <a:srgbClr val="FF0000"/>
                </a:solidFill>
              </c:spPr>
            </c:marker>
          </c:dPt>
          <c:dPt>
            <c:idx val="17"/>
            <c:marker>
              <c:spPr>
                <a:solidFill>
                  <a:srgbClr val="FF0000"/>
                </a:solidFill>
              </c:spPr>
            </c:marker>
          </c:dPt>
          <c:dPt>
            <c:idx val="21"/>
            <c:marker>
              <c:symbol val="diamond"/>
              <c:size val="7"/>
              <c:spPr>
                <a:solidFill>
                  <a:srgbClr val="FF0000"/>
                </a:solidFill>
              </c:spPr>
            </c:marker>
          </c:dPt>
          <c:dPt>
            <c:idx val="23"/>
            <c:marker>
              <c:spPr>
                <a:solidFill>
                  <a:srgbClr val="FF0000"/>
                </a:solidFill>
              </c:spPr>
            </c:marker>
          </c:dPt>
          <c:dPt>
            <c:idx val="25"/>
            <c:marker>
              <c:spPr>
                <a:solidFill>
                  <a:srgbClr val="FF0000"/>
                </a:solidFill>
              </c:spPr>
            </c:marker>
          </c:dPt>
          <c:dLbls>
            <c:dLbl>
              <c:idx val="0"/>
              <c:delete val="1"/>
            </c:dLbl>
            <c:dLbl>
              <c:idx val="1"/>
              <c:delete val="1"/>
            </c:dLbl>
            <c:dLbl>
              <c:idx val="2"/>
              <c:delete val="1"/>
            </c:dLbl>
            <c:dLbl>
              <c:idx val="3"/>
              <c:layout>
                <c:manualLayout>
                  <c:x val="1.2550824637910466E-2"/>
                  <c:y val="1.5713035870516185E-3"/>
                </c:manualLayout>
              </c:layout>
              <c:tx>
                <c:rich>
                  <a:bodyPr/>
                  <a:lstStyle/>
                  <a:p>
                    <a:r>
                      <a:rPr lang="el-GR" b="1">
                        <a:solidFill>
                          <a:sysClr val="windowText" lastClr="000000"/>
                        </a:solidFill>
                      </a:rPr>
                      <a:t>Καναδάς</a:t>
                    </a:r>
                    <a:endParaRPr lang="en-US" b="1">
                      <a:solidFill>
                        <a:sysClr val="windowText" lastClr="000000"/>
                      </a:solidFill>
                    </a:endParaRPr>
                  </a:p>
                </c:rich>
              </c:tx>
              <c:showVal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1.21925368617831E-2"/>
                  <c:y val="-5.5555555555555558E-3"/>
                </c:manualLayout>
              </c:layout>
              <c:tx>
                <c:rich>
                  <a:bodyPr/>
                  <a:lstStyle/>
                  <a:p>
                    <a:r>
                      <a:rPr lang="el-GR" b="1"/>
                      <a:t>Ελλάδα</a:t>
                    </a:r>
                    <a:endParaRPr lang="en-US" b="1"/>
                  </a:p>
                </c:rich>
              </c:tx>
              <c:showVal val="1"/>
            </c:dLbl>
            <c:dLbl>
              <c:idx val="12"/>
              <c:delete val="1"/>
            </c:dLbl>
            <c:dLbl>
              <c:idx val="13"/>
              <c:delete val="1"/>
            </c:dLbl>
            <c:dLbl>
              <c:idx val="14"/>
              <c:delete val="1"/>
            </c:dLbl>
            <c:dLbl>
              <c:idx val="15"/>
              <c:delete val="1"/>
            </c:dLbl>
            <c:dLbl>
              <c:idx val="16"/>
              <c:tx>
                <c:rich>
                  <a:bodyPr/>
                  <a:lstStyle/>
                  <a:p>
                    <a:r>
                      <a:rPr lang="el-GR" b="1"/>
                      <a:t>Ιαπωνία</a:t>
                    </a:r>
                    <a:endParaRPr lang="en-US" b="1"/>
                  </a:p>
                </c:rich>
              </c:tx>
              <c:showVal val="1"/>
            </c:dLbl>
            <c:dLbl>
              <c:idx val="17"/>
              <c:layout>
                <c:manualLayout>
                  <c:x val="-4.956629491945496E-2"/>
                  <c:y val="3.5746201966041141E-2"/>
                </c:manualLayout>
              </c:layout>
              <c:tx>
                <c:rich>
                  <a:bodyPr/>
                  <a:lstStyle/>
                  <a:p>
                    <a:r>
                      <a:rPr lang="el-GR" b="1"/>
                      <a:t>Μεξικό</a:t>
                    </a:r>
                    <a:endParaRPr lang="en-US" b="1"/>
                  </a:p>
                </c:rich>
              </c:tx>
              <c:showVal val="1"/>
            </c:dLbl>
            <c:dLbl>
              <c:idx val="18"/>
              <c:delete val="1"/>
            </c:dLbl>
            <c:dLbl>
              <c:idx val="19"/>
              <c:delete val="1"/>
            </c:dLbl>
            <c:dLbl>
              <c:idx val="20"/>
              <c:delete val="1"/>
            </c:dLbl>
            <c:dLbl>
              <c:idx val="21"/>
              <c:delete val="1"/>
            </c:dLbl>
            <c:dLbl>
              <c:idx val="22"/>
              <c:delete val="1"/>
            </c:dLbl>
            <c:dLbl>
              <c:idx val="23"/>
              <c:tx>
                <c:rich>
                  <a:bodyPr/>
                  <a:lstStyle/>
                  <a:p>
                    <a:r>
                      <a:rPr lang="el-GR" b="1"/>
                      <a:t>Σουηδία</a:t>
                    </a:r>
                    <a:endParaRPr lang="en-US" b="1"/>
                  </a:p>
                </c:rich>
              </c:tx>
              <c:showVal val="1"/>
            </c:dLbl>
            <c:dLbl>
              <c:idx val="24"/>
              <c:delete val="1"/>
            </c:dLbl>
            <c:dLbl>
              <c:idx val="25"/>
              <c:layout>
                <c:manualLayout>
                  <c:x val="-2.4424819473651074E-2"/>
                  <c:y val="6.0314304461942282E-2"/>
                </c:manualLayout>
              </c:layout>
              <c:tx>
                <c:rich>
                  <a:bodyPr/>
                  <a:lstStyle/>
                  <a:p>
                    <a:r>
                      <a:rPr lang="el-GR" b="1">
                        <a:solidFill>
                          <a:sysClr val="windowText" lastClr="000000"/>
                        </a:solidFill>
                      </a:rPr>
                      <a:t>Ηνωμένο Βασίλειο</a:t>
                    </a:r>
                    <a:endParaRPr lang="en-US" b="1">
                      <a:solidFill>
                        <a:sysClr val="windowText" lastClr="000000"/>
                      </a:solidFill>
                    </a:endParaRPr>
                  </a:p>
                </c:rich>
              </c:tx>
              <c:showVal val="1"/>
            </c:dLbl>
            <c:showVal val="1"/>
          </c:dLbls>
          <c:trendline>
            <c:spPr>
              <a:ln w="19050"/>
            </c:spPr>
            <c:trendlineType val="linear"/>
            <c:dispRSqr val="1"/>
            <c:dispEq val="1"/>
            <c:trendlineLbl>
              <c:layout>
                <c:manualLayout>
                  <c:x val="6.7062814588761413E-2"/>
                  <c:y val="-0.10573797025371832"/>
                </c:manualLayout>
              </c:layout>
              <c:tx>
                <c:rich>
                  <a:bodyPr/>
                  <a:lstStyle/>
                  <a:p>
                    <a:pPr>
                      <a:defRPr/>
                    </a:pPr>
                    <a:r>
                      <a:rPr lang="en-US"/>
                      <a:t>
R² = 0,6897</a:t>
                    </a:r>
                  </a:p>
                </c:rich>
              </c:tx>
              <c:numFmt formatCode="General" sourceLinked="0"/>
            </c:trendlineLbl>
          </c:trendline>
          <c:xVal>
            <c:numRef>
              <c:f>'GDP per head, US $, current pri'!$C$8:$C$33</c:f>
              <c:numCache>
                <c:formatCode>General</c:formatCode>
                <c:ptCount val="26"/>
                <c:pt idx="0">
                  <c:v>44211.256000000001</c:v>
                </c:pt>
                <c:pt idx="1">
                  <c:v>44176.405577679223</c:v>
                </c:pt>
                <c:pt idx="2">
                  <c:v>40665.566130780826</c:v>
                </c:pt>
                <c:pt idx="3">
                  <c:v>42600.7</c:v>
                </c:pt>
                <c:pt idx="4">
                  <c:v>21989.792968757862</c:v>
                </c:pt>
                <c:pt idx="5">
                  <c:v>27367.29261796418</c:v>
                </c:pt>
                <c:pt idx="6">
                  <c:v>42776.754953485011</c:v>
                </c:pt>
                <c:pt idx="7">
                  <c:v>24766.582617807057</c:v>
                </c:pt>
                <c:pt idx="8">
                  <c:v>38256.33547353738</c:v>
                </c:pt>
                <c:pt idx="9">
                  <c:v>37068.655511727433</c:v>
                </c:pt>
                <c:pt idx="10">
                  <c:v>42549.435121830407</c:v>
                </c:pt>
                <c:pt idx="11">
                  <c:v>23845.452000000001</c:v>
                </c:pt>
                <c:pt idx="12">
                  <c:v>22885.613231457894</c:v>
                </c:pt>
                <c:pt idx="13">
                  <c:v>42890.8</c:v>
                </c:pt>
                <c:pt idx="14">
                  <c:v>32774.206450662576</c:v>
                </c:pt>
                <c:pt idx="15">
                  <c:v>33618.466522552684</c:v>
                </c:pt>
                <c:pt idx="16">
                  <c:v>37453.256000000001</c:v>
                </c:pt>
                <c:pt idx="17">
                  <c:v>16952.892263731432</c:v>
                </c:pt>
                <c:pt idx="18">
                  <c:v>43415.58894592974</c:v>
                </c:pt>
                <c:pt idx="19">
                  <c:v>65515.157962830614</c:v>
                </c:pt>
                <c:pt idx="20">
                  <c:v>23228.229035423301</c:v>
                </c:pt>
                <c:pt idx="21">
                  <c:v>25842.597254654105</c:v>
                </c:pt>
                <c:pt idx="22">
                  <c:v>32613.610829919417</c:v>
                </c:pt>
                <c:pt idx="23">
                  <c:v>43497.437904506478</c:v>
                </c:pt>
                <c:pt idx="24">
                  <c:v>54133.063274652304</c:v>
                </c:pt>
                <c:pt idx="25">
                  <c:v>36202.414049366467</c:v>
                </c:pt>
              </c:numCache>
            </c:numRef>
          </c:xVal>
          <c:yVal>
            <c:numRef>
              <c:f>'GDP per head, US $, current pri'!$D$8:$D$33</c:f>
              <c:numCache>
                <c:formatCode>0.00</c:formatCode>
                <c:ptCount val="26"/>
                <c:pt idx="0">
                  <c:v>4.4735425000000024</c:v>
                </c:pt>
                <c:pt idx="1">
                  <c:v>4.5983654999999999</c:v>
                </c:pt>
                <c:pt idx="2">
                  <c:v>5.3579774999999898</c:v>
                </c:pt>
                <c:pt idx="3">
                  <c:v>5.013120984526287</c:v>
                </c:pt>
                <c:pt idx="4">
                  <c:v>3.6903773410831255</c:v>
                </c:pt>
                <c:pt idx="5">
                  <c:v>3.4732150780425792</c:v>
                </c:pt>
                <c:pt idx="6">
                  <c:v>5.1804995092158359</c:v>
                </c:pt>
                <c:pt idx="7">
                  <c:v>3.7980599999999987</c:v>
                </c:pt>
                <c:pt idx="8">
                  <c:v>5.5614449999999955</c:v>
                </c:pt>
                <c:pt idx="9">
                  <c:v>5.1545099999999868</c:v>
                </c:pt>
                <c:pt idx="10">
                  <c:v>4.9781714999999993</c:v>
                </c:pt>
                <c:pt idx="11">
                  <c:v>4.1371724999999975</c:v>
                </c:pt>
                <c:pt idx="12">
                  <c:v>3.8548246155652839</c:v>
                </c:pt>
                <c:pt idx="13">
                  <c:v>4.6933169999999897</c:v>
                </c:pt>
                <c:pt idx="14">
                  <c:v>5.0169141677655951</c:v>
                </c:pt>
                <c:pt idx="15">
                  <c:v>5.2223324999999985</c:v>
                </c:pt>
                <c:pt idx="16">
                  <c:v>2.9737637296752837</c:v>
                </c:pt>
                <c:pt idx="17">
                  <c:v>2.7751214115617602</c:v>
                </c:pt>
                <c:pt idx="18">
                  <c:v>4.6797525000000002</c:v>
                </c:pt>
                <c:pt idx="19">
                  <c:v>7.7954347984961307</c:v>
                </c:pt>
                <c:pt idx="20">
                  <c:v>2.9983053056967797</c:v>
                </c:pt>
                <c:pt idx="21">
                  <c:v>4.06935</c:v>
                </c:pt>
                <c:pt idx="22">
                  <c:v>4.9510425000000033</c:v>
                </c:pt>
                <c:pt idx="23">
                  <c:v>6.2875107173478035</c:v>
                </c:pt>
                <c:pt idx="24">
                  <c:v>7.1424646997417716</c:v>
                </c:pt>
                <c:pt idx="25">
                  <c:v>4.6267964999999975</c:v>
                </c:pt>
              </c:numCache>
            </c:numRef>
          </c:yVal>
        </c:ser>
        <c:axId val="59615872"/>
        <c:axId val="66146688"/>
      </c:scatterChart>
      <c:valAx>
        <c:axId val="59615872"/>
        <c:scaling>
          <c:orientation val="minMax"/>
        </c:scaling>
        <c:axPos val="b"/>
        <c:numFmt formatCode="General" sourceLinked="1"/>
        <c:tickLblPos val="nextTo"/>
        <c:spPr>
          <a:ln>
            <a:solidFill>
              <a:schemeClr val="tx1"/>
            </a:solidFill>
          </a:ln>
        </c:spPr>
        <c:crossAx val="66146688"/>
        <c:crosses val="autoZero"/>
        <c:crossBetween val="midCat"/>
      </c:valAx>
      <c:valAx>
        <c:axId val="66146688"/>
        <c:scaling>
          <c:orientation val="minMax"/>
        </c:scaling>
        <c:axPos val="l"/>
        <c:majorGridlines/>
        <c:numFmt formatCode="0.00" sourceLinked="1"/>
        <c:tickLblPos val="nextTo"/>
        <c:crossAx val="59615872"/>
        <c:crosses val="autoZero"/>
        <c:crossBetween val="midCat"/>
        <c:minorUnit val="1.0000000000000012E-2"/>
      </c:valAx>
      <c:spPr>
        <a:ln>
          <a:solidFill>
            <a:schemeClr val="tx1"/>
          </a:solidFill>
        </a:ln>
      </c:spPr>
    </c:plotArea>
    <c:plotVisOnly val="1"/>
    <c:dispBlanksAs val="gap"/>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el-G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3.1049782805533853E-2"/>
          <c:y val="0.17011616122242337"/>
          <c:w val="0.69514935633046593"/>
          <c:h val="0.78395156051038184"/>
        </c:manualLayout>
      </c:layout>
      <c:scatterChart>
        <c:scatterStyle val="lineMarker"/>
        <c:ser>
          <c:idx val="0"/>
          <c:order val="0"/>
          <c:spPr>
            <a:ln w="28575">
              <a:noFill/>
            </a:ln>
          </c:spPr>
          <c:dPt>
            <c:idx val="0"/>
            <c:marker>
              <c:spPr>
                <a:solidFill>
                  <a:schemeClr val="tx1">
                    <a:lumMod val="95000"/>
                    <a:lumOff val="5000"/>
                  </a:schemeClr>
                </a:solidFill>
              </c:spPr>
            </c:marker>
          </c:dPt>
          <c:dPt>
            <c:idx val="1"/>
            <c:marker>
              <c:spPr>
                <a:solidFill>
                  <a:schemeClr val="bg2">
                    <a:lumMod val="50000"/>
                  </a:schemeClr>
                </a:solidFill>
              </c:spPr>
            </c:marker>
          </c:dPt>
          <c:dPt>
            <c:idx val="2"/>
            <c:marker>
              <c:spPr>
                <a:solidFill>
                  <a:srgbClr val="00B050"/>
                </a:solidFill>
              </c:spPr>
            </c:marker>
          </c:dPt>
          <c:dPt>
            <c:idx val="3"/>
            <c:marker>
              <c:spPr>
                <a:solidFill>
                  <a:schemeClr val="accent3">
                    <a:lumMod val="50000"/>
                  </a:schemeClr>
                </a:solidFill>
              </c:spPr>
            </c:marker>
          </c:dPt>
          <c:dPt>
            <c:idx val="4"/>
            <c:marker>
              <c:spPr>
                <a:solidFill>
                  <a:srgbClr val="FFC000"/>
                </a:solidFill>
              </c:spPr>
            </c:marker>
          </c:dPt>
          <c:dPt>
            <c:idx val="5"/>
            <c:marker>
              <c:spPr>
                <a:solidFill>
                  <a:srgbClr val="002060"/>
                </a:solidFill>
              </c:spPr>
            </c:marker>
          </c:dPt>
          <c:dPt>
            <c:idx val="7"/>
            <c:marker>
              <c:spPr>
                <a:solidFill>
                  <a:srgbClr val="00B0F0"/>
                </a:solidFill>
              </c:spPr>
            </c:marker>
          </c:dPt>
          <c:dPt>
            <c:idx val="8"/>
            <c:marker>
              <c:spPr>
                <a:solidFill>
                  <a:srgbClr val="FF0000"/>
                </a:solidFill>
              </c:spPr>
            </c:marker>
          </c:dPt>
          <c:dPt>
            <c:idx val="9"/>
            <c:marker>
              <c:spPr>
                <a:solidFill>
                  <a:srgbClr val="C00000"/>
                </a:solidFill>
              </c:spPr>
            </c:marker>
          </c:dPt>
          <c:dPt>
            <c:idx val="10"/>
            <c:marker>
              <c:spPr>
                <a:solidFill>
                  <a:schemeClr val="accent3"/>
                </a:solidFill>
              </c:spPr>
            </c:marker>
          </c:dPt>
          <c:dPt>
            <c:idx val="11"/>
            <c:marker>
              <c:spPr>
                <a:solidFill>
                  <a:schemeClr val="accent6">
                    <a:lumMod val="75000"/>
                  </a:schemeClr>
                </a:solidFill>
              </c:spPr>
            </c:marker>
          </c:dPt>
          <c:dPt>
            <c:idx val="12"/>
            <c:marker>
              <c:spPr>
                <a:solidFill>
                  <a:schemeClr val="accent6">
                    <a:lumMod val="50000"/>
                  </a:schemeClr>
                </a:solidFill>
              </c:spPr>
            </c:marker>
          </c:dPt>
          <c:dLbls>
            <c:dLbl>
              <c:idx val="0"/>
              <c:layout>
                <c:manualLayout>
                  <c:x val="-6.4796240951668374E-2"/>
                  <c:y val="4.4868576210582434E-2"/>
                </c:manualLayout>
              </c:layout>
              <c:tx>
                <c:rich>
                  <a:bodyPr/>
                  <a:lstStyle/>
                  <a:p>
                    <a:r>
                      <a:rPr lang="el-GR" sz="1100" b="1">
                        <a:solidFill>
                          <a:schemeClr val="tx1"/>
                        </a:solidFill>
                      </a:rPr>
                      <a:t>Καναδάς</a:t>
                    </a:r>
                    <a:endParaRPr lang="en-US" sz="1100" b="1">
                      <a:solidFill>
                        <a:schemeClr val="tx1"/>
                      </a:solidFill>
                    </a:endParaRPr>
                  </a:p>
                </c:rich>
              </c:tx>
              <c:showVal val="1"/>
            </c:dLbl>
            <c:dLbl>
              <c:idx val="1"/>
              <c:layout>
                <c:manualLayout>
                  <c:x val="-0.11973208904442506"/>
                  <c:y val="-8.5501032370953689E-2"/>
                </c:manualLayout>
              </c:layout>
              <c:tx>
                <c:rich>
                  <a:bodyPr/>
                  <a:lstStyle/>
                  <a:p>
                    <a:r>
                      <a:rPr lang="el-GR" sz="1100" b="1">
                        <a:solidFill>
                          <a:schemeClr val="bg2">
                            <a:lumMod val="50000"/>
                          </a:schemeClr>
                        </a:solidFill>
                      </a:rPr>
                      <a:t>Ηνωμένο Βασίλεο</a:t>
                    </a:r>
                    <a:endParaRPr lang="en-US" sz="1100" b="1">
                      <a:solidFill>
                        <a:schemeClr val="bg2">
                          <a:lumMod val="50000"/>
                        </a:schemeClr>
                      </a:solidFill>
                    </a:endParaRPr>
                  </a:p>
                </c:rich>
              </c:tx>
              <c:showVal val="1"/>
            </c:dLbl>
            <c:dLbl>
              <c:idx val="2"/>
              <c:layout>
                <c:manualLayout>
                  <c:x val="-1.8195050946142665E-2"/>
                  <c:y val="-4.562043795620499E-2"/>
                </c:manualLayout>
              </c:layout>
              <c:tx>
                <c:rich>
                  <a:bodyPr/>
                  <a:lstStyle/>
                  <a:p>
                    <a:r>
                      <a:rPr lang="el-GR" b="1">
                        <a:solidFill>
                          <a:srgbClr val="00B050"/>
                        </a:solidFill>
                      </a:rPr>
                      <a:t>Ιαπωνία</a:t>
                    </a:r>
                  </a:p>
                </c:rich>
              </c:tx>
              <c:showVal val="1"/>
            </c:dLbl>
            <c:dLbl>
              <c:idx val="4"/>
              <c:layout>
                <c:manualLayout>
                  <c:x val="-0.10052890256968419"/>
                  <c:y val="2.7350084424160388E-2"/>
                </c:manualLayout>
              </c:layout>
              <c:tx>
                <c:rich>
                  <a:bodyPr/>
                  <a:lstStyle/>
                  <a:p>
                    <a:pPr>
                      <a:defRPr>
                        <a:solidFill>
                          <a:schemeClr val="accent3">
                            <a:lumMod val="50000"/>
                          </a:schemeClr>
                        </a:solidFill>
                      </a:defRPr>
                    </a:pPr>
                    <a:r>
                      <a:rPr lang="el-GR" sz="1100" b="1">
                        <a:solidFill>
                          <a:schemeClr val="accent3">
                            <a:lumMod val="50000"/>
                          </a:schemeClr>
                        </a:solidFill>
                      </a:rPr>
                      <a:t>Βέλγιο</a:t>
                    </a:r>
                    <a:endParaRPr lang="en-US" sz="1100" b="1">
                      <a:solidFill>
                        <a:schemeClr val="accent3">
                          <a:lumMod val="50000"/>
                        </a:schemeClr>
                      </a:solidFill>
                    </a:endParaRPr>
                  </a:p>
                </c:rich>
              </c:tx>
              <c:spPr/>
              <c:showCatName val="1"/>
            </c:dLbl>
            <c:dLbl>
              <c:idx val="5"/>
              <c:layout>
                <c:manualLayout>
                  <c:x val="1.9245573518090412E-3"/>
                  <c:y val="-1.7391304347826222E-2"/>
                </c:manualLayout>
              </c:layout>
              <c:tx>
                <c:rich>
                  <a:bodyPr/>
                  <a:lstStyle/>
                  <a:p>
                    <a:r>
                      <a:rPr lang="el-GR" sz="1100" b="1">
                        <a:solidFill>
                          <a:schemeClr val="tx2">
                            <a:lumMod val="50000"/>
                          </a:schemeClr>
                        </a:solidFill>
                      </a:rPr>
                      <a:t>Δανία</a:t>
                    </a:r>
                    <a:endParaRPr lang="en-US" sz="1100" b="1">
                      <a:solidFill>
                        <a:schemeClr val="tx2">
                          <a:lumMod val="50000"/>
                        </a:schemeClr>
                      </a:solidFill>
                    </a:endParaRPr>
                  </a:p>
                </c:rich>
              </c:tx>
              <c:showVal val="1"/>
            </c:dLbl>
            <c:dLbl>
              <c:idx val="7"/>
              <c:layout>
                <c:manualLayout>
                  <c:x val="-4.787359112972419E-2"/>
                  <c:y val="-4.8677073989169067E-2"/>
                </c:manualLayout>
              </c:layout>
              <c:tx>
                <c:rich>
                  <a:bodyPr/>
                  <a:lstStyle/>
                  <a:p>
                    <a:r>
                      <a:rPr lang="el-GR" sz="1100" b="1">
                        <a:solidFill>
                          <a:srgbClr val="00B0F0"/>
                        </a:solidFill>
                      </a:rPr>
                      <a:t>Γερμανία</a:t>
                    </a:r>
                    <a:endParaRPr lang="en-US" sz="1100" b="1">
                      <a:solidFill>
                        <a:srgbClr val="00B0F0"/>
                      </a:solidFill>
                    </a:endParaRPr>
                  </a:p>
                </c:rich>
              </c:tx>
              <c:showVal val="1"/>
            </c:dLbl>
            <c:dLbl>
              <c:idx val="8"/>
              <c:tx>
                <c:rich>
                  <a:bodyPr/>
                  <a:lstStyle/>
                  <a:p>
                    <a:r>
                      <a:rPr lang="el-GR" sz="1100" b="1">
                        <a:solidFill>
                          <a:srgbClr val="FF0000"/>
                        </a:solidFill>
                      </a:rPr>
                      <a:t>Ιρλανδία</a:t>
                    </a:r>
                    <a:endParaRPr lang="en-US" sz="1100" b="1">
                      <a:solidFill>
                        <a:srgbClr val="FF0000"/>
                      </a:solidFill>
                    </a:endParaRPr>
                  </a:p>
                </c:rich>
              </c:tx>
              <c:showVal val="1"/>
            </c:dLbl>
            <c:dLbl>
              <c:idx val="9"/>
              <c:tx>
                <c:rich>
                  <a:bodyPr/>
                  <a:lstStyle/>
                  <a:p>
                    <a:r>
                      <a:rPr lang="el-GR" b="1">
                        <a:solidFill>
                          <a:schemeClr val="accent2">
                            <a:lumMod val="50000"/>
                          </a:schemeClr>
                        </a:solidFill>
                      </a:rPr>
                      <a:t>Λουξεμβούργο</a:t>
                    </a:r>
                    <a:endParaRPr lang="en-US" b="1">
                      <a:solidFill>
                        <a:schemeClr val="accent2">
                          <a:lumMod val="50000"/>
                        </a:schemeClr>
                      </a:solidFill>
                    </a:endParaRPr>
                  </a:p>
                </c:rich>
              </c:tx>
              <c:showVal val="1"/>
            </c:dLbl>
            <c:dLbl>
              <c:idx val="10"/>
              <c:layout>
                <c:manualLayout>
                  <c:x val="1.8245409854946108E-3"/>
                  <c:y val="-4.6847654912701778E-2"/>
                </c:manualLayout>
              </c:layout>
              <c:tx>
                <c:rich>
                  <a:bodyPr/>
                  <a:lstStyle/>
                  <a:p>
                    <a:r>
                      <a:rPr lang="el-GR" sz="1100" b="1">
                        <a:solidFill>
                          <a:schemeClr val="accent3">
                            <a:lumMod val="50000"/>
                          </a:schemeClr>
                        </a:solidFill>
                      </a:rPr>
                      <a:t>Νορβηγία</a:t>
                    </a:r>
                    <a:endParaRPr lang="en-US" sz="1100" b="1">
                      <a:solidFill>
                        <a:schemeClr val="accent3">
                          <a:lumMod val="50000"/>
                        </a:schemeClr>
                      </a:solidFill>
                    </a:endParaRPr>
                  </a:p>
                </c:rich>
              </c:tx>
              <c:showVal val="1"/>
            </c:dLbl>
            <c:dLbl>
              <c:idx val="11"/>
              <c:tx>
                <c:rich>
                  <a:bodyPr/>
                  <a:lstStyle/>
                  <a:p>
                    <a:r>
                      <a:rPr lang="el-GR" sz="1100" b="1">
                        <a:solidFill>
                          <a:schemeClr val="accent6"/>
                        </a:solidFill>
                      </a:rPr>
                      <a:t>Ισπανία</a:t>
                    </a:r>
                    <a:endParaRPr lang="en-US" sz="1100" b="1">
                      <a:solidFill>
                        <a:schemeClr val="accent6"/>
                      </a:solidFill>
                    </a:endParaRPr>
                  </a:p>
                </c:rich>
              </c:tx>
              <c:showVal val="1"/>
            </c:dLbl>
            <c:dLbl>
              <c:idx val="12"/>
              <c:layout>
                <c:manualLayout>
                  <c:x val="-5.4736381104787749E-2"/>
                  <c:y val="-5.1274677621818997E-2"/>
                </c:manualLayout>
              </c:layout>
              <c:tx>
                <c:rich>
                  <a:bodyPr/>
                  <a:lstStyle/>
                  <a:p>
                    <a:r>
                      <a:rPr lang="el-GR" sz="1100" b="1">
                        <a:solidFill>
                          <a:schemeClr val="accent6">
                            <a:lumMod val="50000"/>
                          </a:schemeClr>
                        </a:solidFill>
                      </a:rPr>
                      <a:t>Σουηδία</a:t>
                    </a:r>
                    <a:endParaRPr lang="en-US" sz="1100" b="1">
                      <a:solidFill>
                        <a:schemeClr val="accent6">
                          <a:lumMod val="50000"/>
                        </a:schemeClr>
                      </a:solidFill>
                    </a:endParaRPr>
                  </a:p>
                </c:rich>
              </c:tx>
              <c:showVal val="1"/>
            </c:dLbl>
            <c:dLbl>
              <c:idx val="13"/>
              <c:layout>
                <c:manualLayout>
                  <c:x val="-7.0505287896592383E-2"/>
                  <c:y val="3.1055900621118456E-2"/>
                </c:manualLayout>
              </c:layout>
              <c:tx>
                <c:rich>
                  <a:bodyPr/>
                  <a:lstStyle/>
                  <a:p>
                    <a:r>
                      <a:rPr lang="el-GR" b="1">
                        <a:solidFill>
                          <a:srgbClr val="7030A0"/>
                        </a:solidFill>
                      </a:rPr>
                      <a:t>Ελβετία</a:t>
                    </a:r>
                    <a:endParaRPr lang="en-US" b="1">
                      <a:solidFill>
                        <a:srgbClr val="7030A0"/>
                      </a:solidFill>
                    </a:endParaRPr>
                  </a:p>
                </c:rich>
              </c:tx>
              <c:showVal val="1"/>
            </c:dLbl>
            <c:delete val="1"/>
          </c:dLbls>
          <c:xVal>
            <c:numRef>
              <c:f>plot!$D$2:$D$14</c:f>
              <c:numCache>
                <c:formatCode>General</c:formatCode>
                <c:ptCount val="13"/>
                <c:pt idx="0">
                  <c:v>1.827272727272728</c:v>
                </c:pt>
                <c:pt idx="1">
                  <c:v>2.0363636363636233</c:v>
                </c:pt>
                <c:pt idx="2">
                  <c:v>0.18636363636363631</c:v>
                </c:pt>
                <c:pt idx="3">
                  <c:v>-0.37727272727272942</c:v>
                </c:pt>
                <c:pt idx="4">
                  <c:v>-0.42272727272727406</c:v>
                </c:pt>
                <c:pt idx="5">
                  <c:v>1.9909090909090894</c:v>
                </c:pt>
                <c:pt idx="6">
                  <c:v>1.581818181818182</c:v>
                </c:pt>
                <c:pt idx="7">
                  <c:v>1.8681818181818233</c:v>
                </c:pt>
                <c:pt idx="8">
                  <c:v>2.5318181818181653</c:v>
                </c:pt>
                <c:pt idx="9">
                  <c:v>1.9545454545454561</c:v>
                </c:pt>
                <c:pt idx="10">
                  <c:v>3.1045454545454536</c:v>
                </c:pt>
                <c:pt idx="11">
                  <c:v>1.6045454545454547</c:v>
                </c:pt>
                <c:pt idx="12">
                  <c:v>1.3136363636363635</c:v>
                </c:pt>
              </c:numCache>
            </c:numRef>
          </c:xVal>
          <c:yVal>
            <c:numRef>
              <c:f>plot!$C$2:$C$14</c:f>
              <c:numCache>
                <c:formatCode>General</c:formatCode>
                <c:ptCount val="13"/>
                <c:pt idx="0">
                  <c:v>-0.3688704680964629</c:v>
                </c:pt>
                <c:pt idx="1">
                  <c:v>1.2860422920204198</c:v>
                </c:pt>
                <c:pt idx="2">
                  <c:v>-1.6762157532589401</c:v>
                </c:pt>
                <c:pt idx="3">
                  <c:v>0.23998425190603184</c:v>
                </c:pt>
                <c:pt idx="4">
                  <c:v>0.44075854907640316</c:v>
                </c:pt>
                <c:pt idx="5">
                  <c:v>0</c:v>
                </c:pt>
                <c:pt idx="6">
                  <c:v>0.37519078788313831</c:v>
                </c:pt>
                <c:pt idx="7">
                  <c:v>0.4452793847071711</c:v>
                </c:pt>
                <c:pt idx="8">
                  <c:v>0.75581525375495062</c:v>
                </c:pt>
                <c:pt idx="9">
                  <c:v>-0.76366472080577363</c:v>
                </c:pt>
                <c:pt idx="10">
                  <c:v>1.8684848326780501</c:v>
                </c:pt>
                <c:pt idx="11">
                  <c:v>4.1400491384061597</c:v>
                </c:pt>
                <c:pt idx="12">
                  <c:v>-0.19981223655806796</c:v>
                </c:pt>
              </c:numCache>
            </c:numRef>
          </c:yVal>
        </c:ser>
        <c:axId val="58843904"/>
        <c:axId val="58845440"/>
      </c:scatterChart>
      <c:valAx>
        <c:axId val="58843904"/>
        <c:scaling>
          <c:orientation val="minMax"/>
        </c:scaling>
        <c:axPos val="b"/>
        <c:numFmt formatCode="General" sourceLinked="1"/>
        <c:tickLblPos val="nextTo"/>
        <c:crossAx val="58845440"/>
        <c:crosses val="autoZero"/>
        <c:crossBetween val="midCat"/>
      </c:valAx>
      <c:valAx>
        <c:axId val="58845440"/>
        <c:scaling>
          <c:orientation val="minMax"/>
          <c:min val="-0.4"/>
        </c:scaling>
        <c:axPos val="l"/>
        <c:majorGridlines>
          <c:spPr>
            <a:ln>
              <a:solidFill>
                <a:sysClr val="windowText" lastClr="000000">
                  <a:shade val="95000"/>
                  <a:satMod val="105000"/>
                  <a:alpha val="0"/>
                </a:sysClr>
              </a:solidFill>
            </a:ln>
          </c:spPr>
        </c:majorGridlines>
        <c:numFmt formatCode="General" sourceLinked="1"/>
        <c:majorTickMark val="none"/>
        <c:minorTickMark val="in"/>
        <c:tickLblPos val="nextTo"/>
        <c:crossAx val="58843904"/>
        <c:crosses val="autoZero"/>
        <c:crossBetween val="midCat"/>
      </c:valAx>
      <c:spPr>
        <a:noFill/>
      </c:spPr>
    </c:plotArea>
    <c:plotVisOnly val="1"/>
    <c:dispBlanksAs val="gap"/>
  </c:chart>
  <c:spPr>
    <a:solidFill>
      <a:schemeClr val="lt1"/>
    </a:solidFill>
    <a:ln w="6350" cap="flat" cmpd="sng" algn="ctr">
      <a:solidFill>
        <a:schemeClr val="bg1"/>
      </a:solidFill>
      <a:prstDash val="solid"/>
    </a:ln>
    <a:effectLst/>
  </c:spPr>
  <c:txPr>
    <a:bodyPr/>
    <a:lstStyle/>
    <a:p>
      <a:pPr>
        <a:defRPr>
          <a:solidFill>
            <a:schemeClr val="dk1"/>
          </a:solidFill>
          <a:latin typeface="+mn-lt"/>
          <a:ea typeface="+mn-ea"/>
          <a:cs typeface="+mn-cs"/>
        </a:defRPr>
      </a:pPr>
      <a:endParaRPr lang="el-GR"/>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a:t>Συναλλαγματική</a:t>
            </a:r>
            <a:r>
              <a:rPr lang="el-GR" sz="1400" baseline="0"/>
              <a:t> Ισοτιμία Γουάν</a:t>
            </a:r>
            <a:r>
              <a:rPr lang="en-US" sz="1400" baseline="0"/>
              <a:t>-</a:t>
            </a:r>
            <a:r>
              <a:rPr lang="el-GR" sz="1400" baseline="0"/>
              <a:t>Αμερικάνικου Δολαρίου: Μέσες Μηνιαίες Τιμές</a:t>
            </a:r>
            <a:endParaRPr lang="en-US" sz="1400"/>
          </a:p>
        </c:rich>
      </c:tx>
    </c:title>
    <c:plotArea>
      <c:layout>
        <c:manualLayout>
          <c:layoutTarget val="inner"/>
          <c:xMode val="edge"/>
          <c:yMode val="edge"/>
          <c:x val="9.5011376812648887E-2"/>
          <c:y val="0.17895052790945215"/>
          <c:w val="0.87787833360016732"/>
          <c:h val="0.64635051600917703"/>
        </c:manualLayout>
      </c:layout>
      <c:lineChart>
        <c:grouping val="standard"/>
        <c:ser>
          <c:idx val="0"/>
          <c:order val="0"/>
          <c:marker>
            <c:symbol val="none"/>
          </c:marker>
          <c:cat>
            <c:numRef>
              <c:f>Sheet1!$A$3:$A$178</c:f>
              <c:numCache>
                <c:formatCode>mmm\-yy</c:formatCode>
                <c:ptCount val="176"/>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numCache>
            </c:numRef>
          </c:cat>
          <c:val>
            <c:numRef>
              <c:f>Sheet1!$G$3:$G$178</c:f>
              <c:numCache>
                <c:formatCode>0.000</c:formatCode>
                <c:ptCount val="176"/>
                <c:pt idx="0">
                  <c:v>1.2079920755719844E-2</c:v>
                </c:pt>
                <c:pt idx="1">
                  <c:v>1.2080504481867167E-2</c:v>
                </c:pt>
                <c:pt idx="2">
                  <c:v>1.2079774832997115E-2</c:v>
                </c:pt>
                <c:pt idx="3">
                  <c:v>1.2080358545041617E-2</c:v>
                </c:pt>
                <c:pt idx="4">
                  <c:v>1.2080796366096453E-2</c:v>
                </c:pt>
                <c:pt idx="5">
                  <c:v>1.2081672103419113E-2</c:v>
                </c:pt>
                <c:pt idx="6">
                  <c:v>1.2077586415130801E-2</c:v>
                </c:pt>
                <c:pt idx="7">
                  <c:v>1.2078024035267835E-2</c:v>
                </c:pt>
                <c:pt idx="8">
                  <c:v>1.2079482998127678E-2</c:v>
                </c:pt>
                <c:pt idx="9">
                  <c:v>1.2079337085980718E-2</c:v>
                </c:pt>
                <c:pt idx="10">
                  <c:v>1.2080212611741963E-2</c:v>
                </c:pt>
                <c:pt idx="11">
                  <c:v>1.2081672103419113E-2</c:v>
                </c:pt>
                <c:pt idx="12">
                  <c:v>1.2081234218887807E-2</c:v>
                </c:pt>
                <c:pt idx="13">
                  <c:v>1.2081234218887807E-2</c:v>
                </c:pt>
                <c:pt idx="14">
                  <c:v>1.2080358545041617E-2</c:v>
                </c:pt>
                <c:pt idx="15">
                  <c:v>1.2081672103419113E-2</c:v>
                </c:pt>
                <c:pt idx="16">
                  <c:v>1.2080942313500452E-2</c:v>
                </c:pt>
                <c:pt idx="17">
                  <c:v>1.2082255998840103E-2</c:v>
                </c:pt>
                <c:pt idx="18">
                  <c:v>1.208211001969384E-2</c:v>
                </c:pt>
                <c:pt idx="19">
                  <c:v>1.2081964044075008E-2</c:v>
                </c:pt>
                <c:pt idx="20">
                  <c:v>1.2081526138381801E-2</c:v>
                </c:pt>
                <c:pt idx="21">
                  <c:v>1.2081526138381801E-2</c:v>
                </c:pt>
                <c:pt idx="22">
                  <c:v>1.2081964044075008E-2</c:v>
                </c:pt>
                <c:pt idx="23">
                  <c:v>1.2081672103419113E-2</c:v>
                </c:pt>
                <c:pt idx="24">
                  <c:v>1.2083131947800873E-2</c:v>
                </c:pt>
                <c:pt idx="25">
                  <c:v>1.2081964044075008E-2</c:v>
                </c:pt>
                <c:pt idx="26">
                  <c:v>1.2081672103419113E-2</c:v>
                </c:pt>
                <c:pt idx="27">
                  <c:v>1.2081380176871406E-2</c:v>
                </c:pt>
                <c:pt idx="28">
                  <c:v>1.2081818071983471E-2</c:v>
                </c:pt>
                <c:pt idx="29">
                  <c:v>1.2081818071983471E-2</c:v>
                </c:pt>
                <c:pt idx="30">
                  <c:v>1.2082401981513925E-2</c:v>
                </c:pt>
                <c:pt idx="31">
                  <c:v>1.2082255998840103E-2</c:v>
                </c:pt>
                <c:pt idx="32">
                  <c:v>1.2082693957444742E-2</c:v>
                </c:pt>
                <c:pt idx="33">
                  <c:v>1.2081380176871406E-2</c:v>
                </c:pt>
                <c:pt idx="34">
                  <c:v>1.2081526138381801E-2</c:v>
                </c:pt>
                <c:pt idx="35">
                  <c:v>1.2081234218887807E-2</c:v>
                </c:pt>
                <c:pt idx="36">
                  <c:v>1.2081380176871406E-2</c:v>
                </c:pt>
                <c:pt idx="37">
                  <c:v>1.2080212611741963E-2</c:v>
                </c:pt>
                <c:pt idx="38">
                  <c:v>1.2081672103419113E-2</c:v>
                </c:pt>
                <c:pt idx="39">
                  <c:v>1.2081088264430865E-2</c:v>
                </c:pt>
                <c:pt idx="40">
                  <c:v>1.2081818071983471E-2</c:v>
                </c:pt>
                <c:pt idx="41">
                  <c:v>1.2081672103419113E-2</c:v>
                </c:pt>
                <c:pt idx="42">
                  <c:v>1.2081526138381801E-2</c:v>
                </c:pt>
                <c:pt idx="43">
                  <c:v>1.2081088264430865E-2</c:v>
                </c:pt>
                <c:pt idx="44">
                  <c:v>1.2082401981513925E-2</c:v>
                </c:pt>
                <c:pt idx="45">
                  <c:v>1.2081526138381801E-2</c:v>
                </c:pt>
                <c:pt idx="46">
                  <c:v>1.2080650422218736E-2</c:v>
                </c:pt>
                <c:pt idx="47">
                  <c:v>1.2081818071983471E-2</c:v>
                </c:pt>
                <c:pt idx="48">
                  <c:v>1.2082693957444742E-2</c:v>
                </c:pt>
                <c:pt idx="49">
                  <c:v>1.2081234218887807E-2</c:v>
                </c:pt>
                <c:pt idx="50">
                  <c:v>1.2081964044075008E-2</c:v>
                </c:pt>
                <c:pt idx="51">
                  <c:v>1.2081234218887807E-2</c:v>
                </c:pt>
                <c:pt idx="52">
                  <c:v>1.2081672103419113E-2</c:v>
                </c:pt>
                <c:pt idx="53">
                  <c:v>1.2082255998840103E-2</c:v>
                </c:pt>
                <c:pt idx="54">
                  <c:v>1.2082547967715436E-2</c:v>
                </c:pt>
                <c:pt idx="55">
                  <c:v>1.2081380176871406E-2</c:v>
                </c:pt>
                <c:pt idx="56">
                  <c:v>1.2082255998840103E-2</c:v>
                </c:pt>
                <c:pt idx="57">
                  <c:v>1.2082839950702017E-2</c:v>
                </c:pt>
                <c:pt idx="58">
                  <c:v>1.2083131947800873E-2</c:v>
                </c:pt>
                <c:pt idx="59">
                  <c:v>1.208342395901303E-2</c:v>
                </c:pt>
                <c:pt idx="60">
                  <c:v>1.2082401981513925E-2</c:v>
                </c:pt>
                <c:pt idx="61">
                  <c:v>1.2082693957444742E-2</c:v>
                </c:pt>
                <c:pt idx="62">
                  <c:v>1.2081526138381801E-2</c:v>
                </c:pt>
                <c:pt idx="63">
                  <c:v>1.2081818071983471E-2</c:v>
                </c:pt>
                <c:pt idx="64">
                  <c:v>1.2082401981513925E-2</c:v>
                </c:pt>
                <c:pt idx="65">
                  <c:v>1.2082547967715436E-2</c:v>
                </c:pt>
                <c:pt idx="66">
                  <c:v>1.2168855032430001E-2</c:v>
                </c:pt>
                <c:pt idx="67">
                  <c:v>1.2343850293783643E-2</c:v>
                </c:pt>
                <c:pt idx="68">
                  <c:v>1.2380374630136316E-2</c:v>
                </c:pt>
                <c:pt idx="69">
                  <c:v>1.2386508614816749E-2</c:v>
                </c:pt>
                <c:pt idx="70">
                  <c:v>1.23805279057099E-2</c:v>
                </c:pt>
                <c:pt idx="71">
                  <c:v>1.2385741534345662E-2</c:v>
                </c:pt>
                <c:pt idx="72">
                  <c:v>1.2400486099055091E-2</c:v>
                </c:pt>
                <c:pt idx="73">
                  <c:v>1.2423749239045365E-2</c:v>
                </c:pt>
                <c:pt idx="74">
                  <c:v>1.2446015408167083E-2</c:v>
                </c:pt>
                <c:pt idx="75">
                  <c:v>1.2476762030717788E-2</c:v>
                </c:pt>
                <c:pt idx="76">
                  <c:v>1.2478163214374841E-2</c:v>
                </c:pt>
                <c:pt idx="77">
                  <c:v>1.2490632025980514E-2</c:v>
                </c:pt>
                <c:pt idx="78">
                  <c:v>1.2516741141276457E-2</c:v>
                </c:pt>
                <c:pt idx="79">
                  <c:v>1.2540914734320719E-2</c:v>
                </c:pt>
                <c:pt idx="80">
                  <c:v>1.2604141720969514E-2</c:v>
                </c:pt>
                <c:pt idx="81">
                  <c:v>1.265374297717264E-2</c:v>
                </c:pt>
                <c:pt idx="82">
                  <c:v>1.271746871502696E-2</c:v>
                </c:pt>
                <c:pt idx="83">
                  <c:v>1.2784454103809767E-2</c:v>
                </c:pt>
                <c:pt idx="84">
                  <c:v>1.2838124093307495E-2</c:v>
                </c:pt>
                <c:pt idx="85">
                  <c:v>1.2900895322135363E-2</c:v>
                </c:pt>
                <c:pt idx="86">
                  <c:v>1.2922567972707541E-2</c:v>
                </c:pt>
                <c:pt idx="87">
                  <c:v>1.2947497896031591E-2</c:v>
                </c:pt>
                <c:pt idx="88">
                  <c:v>1.3027618551328814E-2</c:v>
                </c:pt>
                <c:pt idx="89">
                  <c:v>1.3105301094292645E-2</c:v>
                </c:pt>
                <c:pt idx="90">
                  <c:v>1.3205329671055243E-2</c:v>
                </c:pt>
                <c:pt idx="91">
                  <c:v>1.3204457824961709E-2</c:v>
                </c:pt>
                <c:pt idx="92">
                  <c:v>1.3296457823635784E-2</c:v>
                </c:pt>
                <c:pt idx="93">
                  <c:v>1.3329423369145058E-2</c:v>
                </c:pt>
                <c:pt idx="94">
                  <c:v>1.3474909718104892E-2</c:v>
                </c:pt>
                <c:pt idx="95">
                  <c:v>1.3567600569839225E-2</c:v>
                </c:pt>
                <c:pt idx="96">
                  <c:v>1.3810628659816603E-2</c:v>
                </c:pt>
                <c:pt idx="97">
                  <c:v>1.3954591758418115E-2</c:v>
                </c:pt>
                <c:pt idx="98">
                  <c:v>1.4135674200981017E-2</c:v>
                </c:pt>
                <c:pt idx="99">
                  <c:v>1.4288776166321357E-2</c:v>
                </c:pt>
                <c:pt idx="100">
                  <c:v>1.4343086632243259E-2</c:v>
                </c:pt>
                <c:pt idx="101">
                  <c:v>1.4495274540499793E-2</c:v>
                </c:pt>
                <c:pt idx="102">
                  <c:v>1.4628009712998455E-2</c:v>
                </c:pt>
                <c:pt idx="103">
                  <c:v>1.4593214155417726E-2</c:v>
                </c:pt>
                <c:pt idx="104">
                  <c:v>1.4625656326327643E-2</c:v>
                </c:pt>
                <c:pt idx="105">
                  <c:v>1.4629721742692463E-2</c:v>
                </c:pt>
                <c:pt idx="106">
                  <c:v>1.4644933585226188E-2</c:v>
                </c:pt>
                <c:pt idx="107">
                  <c:v>1.4588530497323008E-2</c:v>
                </c:pt>
                <c:pt idx="108">
                  <c:v>1.4627581768182091E-2</c:v>
                </c:pt>
                <c:pt idx="109">
                  <c:v>1.4628009712998455E-2</c:v>
                </c:pt>
                <c:pt idx="110">
                  <c:v>1.4627367805163462E-2</c:v>
                </c:pt>
                <c:pt idx="111">
                  <c:v>1.4638930772496372E-2</c:v>
                </c:pt>
                <c:pt idx="112">
                  <c:v>1.465502081012955E-2</c:v>
                </c:pt>
                <c:pt idx="113">
                  <c:v>1.4631862343439078E-2</c:v>
                </c:pt>
                <c:pt idx="114">
                  <c:v>1.4638073629510362E-2</c:v>
                </c:pt>
                <c:pt idx="115">
                  <c:v>1.4635074419353423E-2</c:v>
                </c:pt>
                <c:pt idx="116">
                  <c:v>1.4644933585226188E-2</c:v>
                </c:pt>
                <c:pt idx="117">
                  <c:v>1.4647507726560332E-2</c:v>
                </c:pt>
                <c:pt idx="118">
                  <c:v>1.4647293180220291E-2</c:v>
                </c:pt>
                <c:pt idx="119">
                  <c:v>1.4646220542788933E-2</c:v>
                </c:pt>
                <c:pt idx="120">
                  <c:v>1.4647078640165231E-2</c:v>
                </c:pt>
                <c:pt idx="121">
                  <c:v>1.4643432420559379E-2</c:v>
                </c:pt>
                <c:pt idx="122">
                  <c:v>1.465029740103724E-2</c:v>
                </c:pt>
                <c:pt idx="123">
                  <c:v>1.4650082772967667E-2</c:v>
                </c:pt>
                <c:pt idx="124">
                  <c:v>1.4646435057706958E-2</c:v>
                </c:pt>
                <c:pt idx="125">
                  <c:v>1.4665337009444477E-2</c:v>
                </c:pt>
                <c:pt idx="126">
                  <c:v>1.4757751508980097E-2</c:v>
                </c:pt>
                <c:pt idx="127">
                  <c:v>1.4731445744085329E-2</c:v>
                </c:pt>
                <c:pt idx="128">
                  <c:v>1.483613489013842E-2</c:v>
                </c:pt>
                <c:pt idx="129">
                  <c:v>1.4995426394949539E-2</c:v>
                </c:pt>
                <c:pt idx="130">
                  <c:v>1.5027425050717568E-2</c:v>
                </c:pt>
                <c:pt idx="131">
                  <c:v>1.504121292341014E-2</c:v>
                </c:pt>
                <c:pt idx="132">
                  <c:v>1.5157716035347794E-2</c:v>
                </c:pt>
                <c:pt idx="133">
                  <c:v>1.5203575881047229E-2</c:v>
                </c:pt>
                <c:pt idx="134">
                  <c:v>1.5231828428684584E-2</c:v>
                </c:pt>
                <c:pt idx="135">
                  <c:v>1.531768886710373E-2</c:v>
                </c:pt>
                <c:pt idx="136">
                  <c:v>1.5395510669088903E-2</c:v>
                </c:pt>
                <c:pt idx="137">
                  <c:v>1.5444015444015453E-2</c:v>
                </c:pt>
                <c:pt idx="138">
                  <c:v>1.5485389534973757E-2</c:v>
                </c:pt>
                <c:pt idx="139">
                  <c:v>1.5617679212868977E-2</c:v>
                </c:pt>
                <c:pt idx="140">
                  <c:v>1.5651166794484531E-2</c:v>
                </c:pt>
                <c:pt idx="141">
                  <c:v>1.5694398669115001E-2</c:v>
                </c:pt>
                <c:pt idx="142">
                  <c:v>1.5727969047356922E-2</c:v>
                </c:pt>
                <c:pt idx="143">
                  <c:v>1.5747783499472458E-2</c:v>
                </c:pt>
                <c:pt idx="144">
                  <c:v>1.5828044128587029E-2</c:v>
                </c:pt>
                <c:pt idx="145">
                  <c:v>1.587326782964809E-2</c:v>
                </c:pt>
                <c:pt idx="146">
                  <c:v>1.5839576766508805E-2</c:v>
                </c:pt>
                <c:pt idx="147">
                  <c:v>1.5857913098636219E-2</c:v>
                </c:pt>
                <c:pt idx="148">
                  <c:v>1.5809026954390955E-2</c:v>
                </c:pt>
                <c:pt idx="149">
                  <c:v>1.5714128572999982E-2</c:v>
                </c:pt>
                <c:pt idx="150">
                  <c:v>1.56941523588311E-2</c:v>
                </c:pt>
                <c:pt idx="151">
                  <c:v>1.5726237654903441E-2</c:v>
                </c:pt>
                <c:pt idx="152">
                  <c:v>1.5822284104933387E-2</c:v>
                </c:pt>
                <c:pt idx="153">
                  <c:v>1.5965769390426932E-2</c:v>
                </c:pt>
                <c:pt idx="154">
                  <c:v>1.6041065126724412E-2</c:v>
                </c:pt>
                <c:pt idx="155">
                  <c:v>1.6046213093709884E-2</c:v>
                </c:pt>
                <c:pt idx="156">
                  <c:v>1.6070969400874262E-2</c:v>
                </c:pt>
                <c:pt idx="157">
                  <c:v>1.6045183235992563E-2</c:v>
                </c:pt>
                <c:pt idx="158">
                  <c:v>1.6087774899853607E-2</c:v>
                </c:pt>
                <c:pt idx="159">
                  <c:v>1.6163967284130224E-2</c:v>
                </c:pt>
                <c:pt idx="160">
                  <c:v>1.6282667100871125E-2</c:v>
                </c:pt>
                <c:pt idx="161">
                  <c:v>1.6300715601414908E-2</c:v>
                </c:pt>
                <c:pt idx="162">
                  <c:v>1.6300981319075421E-2</c:v>
                </c:pt>
                <c:pt idx="163">
                  <c:v>1.6335865392469177E-2</c:v>
                </c:pt>
                <c:pt idx="164">
                  <c:v>1.6339602294080161E-2</c:v>
                </c:pt>
                <c:pt idx="165">
                  <c:v>1.6384310384375923E-2</c:v>
                </c:pt>
                <c:pt idx="166">
                  <c:v>1.6411468334071849E-2</c:v>
                </c:pt>
                <c:pt idx="167">
                  <c:v>1.6461718274153464E-2</c:v>
                </c:pt>
                <c:pt idx="168">
                  <c:v>1.6524555489457349E-2</c:v>
                </c:pt>
                <c:pt idx="169">
                  <c:v>1.6441419223307364E-2</c:v>
                </c:pt>
                <c:pt idx="170">
                  <c:v>1.6198791570148866E-2</c:v>
                </c:pt>
                <c:pt idx="171">
                  <c:v>1.6065547433528803E-2</c:v>
                </c:pt>
                <c:pt idx="172">
                  <c:v>1.6028980396556983E-2</c:v>
                </c:pt>
                <c:pt idx="173">
                  <c:v>1.6049303460229827E-2</c:v>
                </c:pt>
                <c:pt idx="174">
                  <c:v>1.6132154610569799E-2</c:v>
                </c:pt>
                <c:pt idx="175">
                  <c:v>1.6217443482209465E-2</c:v>
                </c:pt>
              </c:numCache>
            </c:numRef>
          </c:val>
        </c:ser>
        <c:marker val="1"/>
        <c:axId val="66045056"/>
        <c:axId val="66046592"/>
      </c:lineChart>
      <c:dateAx>
        <c:axId val="66045056"/>
        <c:scaling>
          <c:orientation val="minMax"/>
        </c:scaling>
        <c:axPos val="b"/>
        <c:numFmt formatCode="mmm\-yy" sourceLinked="1"/>
        <c:tickLblPos val="nextTo"/>
        <c:txPr>
          <a:bodyPr/>
          <a:lstStyle/>
          <a:p>
            <a:pPr>
              <a:defRPr sz="1000"/>
            </a:pPr>
            <a:endParaRPr lang="el-GR"/>
          </a:p>
        </c:txPr>
        <c:crossAx val="66046592"/>
        <c:crosses val="autoZero"/>
        <c:auto val="1"/>
        <c:lblOffset val="100"/>
        <c:baseTimeUnit val="months"/>
      </c:dateAx>
      <c:valAx>
        <c:axId val="66046592"/>
        <c:scaling>
          <c:orientation val="minMax"/>
          <c:min val="1.1000000000000006E-2"/>
        </c:scaling>
        <c:axPos val="l"/>
        <c:majorGridlines/>
        <c:numFmt formatCode="0.000" sourceLinked="1"/>
        <c:tickLblPos val="nextTo"/>
        <c:crossAx val="66045056"/>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0.01241</cdr:x>
      <cdr:y>0.0179</cdr:y>
    </cdr:from>
    <cdr:to>
      <cdr:x>0.37852</cdr:x>
      <cdr:y>0.08653</cdr:y>
    </cdr:to>
    <cdr:sp macro="" textlink="">
      <cdr:nvSpPr>
        <cdr:cNvPr id="2" name="1 - TextBox"/>
        <cdr:cNvSpPr txBox="1"/>
      </cdr:nvSpPr>
      <cdr:spPr>
        <a:xfrm xmlns:a="http://schemas.openxmlformats.org/drawingml/2006/main">
          <a:off x="64649" y="81839"/>
          <a:ext cx="1907273" cy="3137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l-GR" sz="1200" b="0"/>
            <a:t>Τοπική Τιμή </a:t>
          </a:r>
          <a:r>
            <a:rPr lang="en-US" sz="1200" b="0"/>
            <a:t>Big Mac </a:t>
          </a:r>
          <a:r>
            <a:rPr lang="el-GR" sz="1200" b="0"/>
            <a:t>σε </a:t>
          </a:r>
          <a:r>
            <a:rPr lang="en-US" sz="1200" b="0"/>
            <a:t>$</a:t>
          </a:r>
          <a:endParaRPr lang="el-GR" sz="1200" b="0"/>
        </a:p>
      </cdr:txBody>
    </cdr:sp>
  </cdr:relSizeAnchor>
  <cdr:relSizeAnchor xmlns:cdr="http://schemas.openxmlformats.org/drawingml/2006/chartDrawing">
    <cdr:from>
      <cdr:x>0.64176</cdr:x>
      <cdr:y>0.93137</cdr:y>
    </cdr:from>
    <cdr:to>
      <cdr:x>0.99958</cdr:x>
      <cdr:y>0.9874</cdr:y>
    </cdr:to>
    <cdr:sp macro="" textlink="">
      <cdr:nvSpPr>
        <cdr:cNvPr id="3" name="1 - TextBox"/>
        <cdr:cNvSpPr txBox="1"/>
      </cdr:nvSpPr>
      <cdr:spPr>
        <a:xfrm xmlns:a="http://schemas.openxmlformats.org/drawingml/2006/main">
          <a:off x="3344018" y="4020063"/>
          <a:ext cx="1864493" cy="2418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t>$ </a:t>
          </a:r>
          <a:r>
            <a:rPr lang="el-GR" sz="1200"/>
            <a:t>Κατά Κεφαλήν</a:t>
          </a:r>
          <a:r>
            <a:rPr lang="el-GR" sz="1200" baseline="0"/>
            <a:t> Α.Ε.Π.</a:t>
          </a:r>
          <a:endParaRPr lang="el-GR" sz="1200"/>
        </a:p>
      </cdr:txBody>
    </cdr:sp>
  </cdr:relSizeAnchor>
</c:userShapes>
</file>

<file path=word/drawings/drawing2.xml><?xml version="1.0" encoding="utf-8"?>
<c:userShapes xmlns:c="http://schemas.openxmlformats.org/drawingml/2006/chart">
  <cdr:relSizeAnchor xmlns:cdr="http://schemas.openxmlformats.org/drawingml/2006/chartDrawing">
    <cdr:from>
      <cdr:x>0.00936</cdr:x>
      <cdr:y>0.73885</cdr:y>
    </cdr:from>
    <cdr:to>
      <cdr:x>0.14759</cdr:x>
      <cdr:y>0.81104</cdr:y>
    </cdr:to>
    <cdr:sp macro="" textlink="">
      <cdr:nvSpPr>
        <cdr:cNvPr id="5" name="4 - TextBox"/>
        <cdr:cNvSpPr txBox="1"/>
      </cdr:nvSpPr>
      <cdr:spPr>
        <a:xfrm xmlns:a="http://schemas.openxmlformats.org/drawingml/2006/main">
          <a:off x="49530" y="2651761"/>
          <a:ext cx="731520" cy="2590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l-GR" sz="1100" b="1">
              <a:solidFill>
                <a:srgbClr val="FFC000"/>
              </a:solidFill>
            </a:rPr>
            <a:t>Αυστρία</a:t>
          </a:r>
        </a:p>
      </cdr:txBody>
    </cdr:sp>
  </cdr:relSizeAnchor>
  <cdr:relSizeAnchor xmlns:cdr="http://schemas.openxmlformats.org/drawingml/2006/chartDrawing">
    <cdr:from>
      <cdr:x>0.23663</cdr:x>
      <cdr:y>0.77496</cdr:y>
    </cdr:from>
    <cdr:to>
      <cdr:x>0.36037</cdr:x>
      <cdr:y>0.82378</cdr:y>
    </cdr:to>
    <cdr:sp macro="" textlink="">
      <cdr:nvSpPr>
        <cdr:cNvPr id="6" name="5 - TextBox"/>
        <cdr:cNvSpPr txBox="1"/>
      </cdr:nvSpPr>
      <cdr:spPr>
        <a:xfrm xmlns:a="http://schemas.openxmlformats.org/drawingml/2006/main">
          <a:off x="1230630" y="2781360"/>
          <a:ext cx="643538" cy="175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l-GR" sz="1100" b="1">
              <a:solidFill>
                <a:schemeClr val="accent1"/>
              </a:solidFill>
            </a:rPr>
            <a:t>Γαλλία</a:t>
          </a:r>
        </a:p>
      </cdr:txBody>
    </cdr:sp>
  </cdr:relSizeAnchor>
  <cdr:relSizeAnchor xmlns:cdr="http://schemas.openxmlformats.org/drawingml/2006/chartDrawing">
    <cdr:from>
      <cdr:x>0.75362</cdr:x>
      <cdr:y>0.16436</cdr:y>
    </cdr:from>
    <cdr:to>
      <cdr:x>0.80466</cdr:x>
      <cdr:y>0.88314</cdr:y>
    </cdr:to>
    <cdr:sp macro="" textlink="">
      <cdr:nvSpPr>
        <cdr:cNvPr id="7" name="6 - Δεξιό άγκιστρο"/>
        <cdr:cNvSpPr/>
      </cdr:nvSpPr>
      <cdr:spPr>
        <a:xfrm xmlns:a="http://schemas.openxmlformats.org/drawingml/2006/main">
          <a:off x="3986311" y="616818"/>
          <a:ext cx="270000" cy="2697474"/>
        </a:xfrm>
        <a:prstGeom xmlns:a="http://schemas.openxmlformats.org/drawingml/2006/main" prst="rightBrace">
          <a:avLst/>
        </a:prstGeom>
        <a:ln xmlns:a="http://schemas.openxmlformats.org/drawingml/2006/main" w="19050">
          <a:solidFill>
            <a:srgbClr val="FF0000"/>
          </a:solidFill>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l-GR"/>
        </a:p>
      </cdr:txBody>
    </cdr:sp>
  </cdr:relSizeAnchor>
  <cdr:relSizeAnchor xmlns:cdr="http://schemas.openxmlformats.org/drawingml/2006/chartDrawing">
    <cdr:from>
      <cdr:x>0.86345</cdr:x>
      <cdr:y>0.39802</cdr:y>
    </cdr:from>
    <cdr:to>
      <cdr:x>0.99589</cdr:x>
      <cdr:y>0.69703</cdr:y>
    </cdr:to>
    <cdr:sp macro="" textlink="">
      <cdr:nvSpPr>
        <cdr:cNvPr id="8" name="7 - TextBox"/>
        <cdr:cNvSpPr txBox="1"/>
      </cdr:nvSpPr>
      <cdr:spPr>
        <a:xfrm xmlns:a="http://schemas.openxmlformats.org/drawingml/2006/main">
          <a:off x="6408420" y="1531620"/>
          <a:ext cx="982980" cy="11506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0.82979</cdr:x>
      <cdr:y>0.46798</cdr:y>
    </cdr:from>
    <cdr:to>
      <cdr:x>0.99264</cdr:x>
      <cdr:y>0.73531</cdr:y>
    </cdr:to>
    <cdr:sp macro="" textlink="">
      <cdr:nvSpPr>
        <cdr:cNvPr id="9" name="8 - TextBox"/>
        <cdr:cNvSpPr txBox="1"/>
      </cdr:nvSpPr>
      <cdr:spPr>
        <a:xfrm xmlns:a="http://schemas.openxmlformats.org/drawingml/2006/main">
          <a:off x="5475688" y="2136060"/>
          <a:ext cx="1074682" cy="12201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100" b="1"/>
            <a:t>Υποτίμηση ως προς</a:t>
          </a:r>
          <a:r>
            <a:rPr lang="el-GR" sz="1100" b="1" baseline="0"/>
            <a:t> το δολάριο</a:t>
          </a:r>
          <a:endParaRPr lang="el-GR" sz="1100" b="1"/>
        </a:p>
      </cdr:txBody>
    </cdr:sp>
  </cdr:relSizeAnchor>
  <cdr:relSizeAnchor xmlns:cdr="http://schemas.openxmlformats.org/drawingml/2006/chartDrawing">
    <cdr:from>
      <cdr:x>0.75608</cdr:x>
      <cdr:y>0.89514</cdr:y>
    </cdr:from>
    <cdr:to>
      <cdr:x>0.81053</cdr:x>
      <cdr:y>0.98147</cdr:y>
    </cdr:to>
    <cdr:sp macro="" textlink="">
      <cdr:nvSpPr>
        <cdr:cNvPr id="10" name="9 - Δεξιό άγκιστρο"/>
        <cdr:cNvSpPr/>
      </cdr:nvSpPr>
      <cdr:spPr>
        <a:xfrm xmlns:a="http://schemas.openxmlformats.org/drawingml/2006/main">
          <a:off x="3999323" y="3359326"/>
          <a:ext cx="288000" cy="324000"/>
        </a:xfrm>
        <a:prstGeom xmlns:a="http://schemas.openxmlformats.org/drawingml/2006/main" prst="rightBrace">
          <a:avLst/>
        </a:prstGeom>
        <a:ln xmlns:a="http://schemas.openxmlformats.org/drawingml/2006/main" w="190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l-GR"/>
        </a:p>
      </cdr:txBody>
    </cdr:sp>
  </cdr:relSizeAnchor>
  <cdr:relSizeAnchor xmlns:cdr="http://schemas.openxmlformats.org/drawingml/2006/chartDrawing">
    <cdr:from>
      <cdr:x>0.82095</cdr:x>
      <cdr:y>0.86733</cdr:y>
    </cdr:from>
    <cdr:to>
      <cdr:x>0.98857</cdr:x>
      <cdr:y>0.98218</cdr:y>
    </cdr:to>
    <cdr:sp macro="" textlink="">
      <cdr:nvSpPr>
        <cdr:cNvPr id="11" name="10 - TextBox"/>
        <cdr:cNvSpPr txBox="1"/>
      </cdr:nvSpPr>
      <cdr:spPr>
        <a:xfrm xmlns:a="http://schemas.openxmlformats.org/drawingml/2006/main">
          <a:off x="6568440" y="3337560"/>
          <a:ext cx="1341120" cy="4419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0.82477</cdr:x>
      <cdr:y>0.84113</cdr:y>
    </cdr:from>
    <cdr:to>
      <cdr:x>1</cdr:x>
      <cdr:y>0.93629</cdr:y>
    </cdr:to>
    <cdr:sp macro="" textlink="">
      <cdr:nvSpPr>
        <cdr:cNvPr id="12" name="11 - TextBox"/>
        <cdr:cNvSpPr txBox="1"/>
      </cdr:nvSpPr>
      <cdr:spPr>
        <a:xfrm xmlns:a="http://schemas.openxmlformats.org/drawingml/2006/main">
          <a:off x="4932560" y="3018264"/>
          <a:ext cx="1047870" cy="3414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100" b="1"/>
            <a:t>Ανατίμηση ως</a:t>
          </a:r>
          <a:r>
            <a:rPr lang="el-GR" sz="1100" b="1" baseline="0"/>
            <a:t> προς το δολάριο</a:t>
          </a:r>
          <a:endParaRPr lang="el-GR" sz="1100" b="1"/>
        </a:p>
      </cdr:txBody>
    </cdr:sp>
  </cdr:relSizeAnchor>
  <cdr:relSizeAnchor xmlns:cdr="http://schemas.openxmlformats.org/drawingml/2006/chartDrawing">
    <cdr:from>
      <cdr:x>0.07847</cdr:x>
      <cdr:y>0.0297</cdr:y>
    </cdr:from>
    <cdr:to>
      <cdr:x>0.90929</cdr:x>
      <cdr:y>0.13861</cdr:y>
    </cdr:to>
    <cdr:sp macro="" textlink="">
      <cdr:nvSpPr>
        <cdr:cNvPr id="13" name="12 - TextBox"/>
        <cdr:cNvSpPr txBox="1"/>
      </cdr:nvSpPr>
      <cdr:spPr>
        <a:xfrm xmlns:a="http://schemas.openxmlformats.org/drawingml/2006/main">
          <a:off x="415290" y="106594"/>
          <a:ext cx="4396740" cy="390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400" b="1"/>
            <a:t>Διαφορές Πληθωρισμού και Συναλλαγματική Ισοτιμία</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7353-30CF-4ACC-BF5F-9405140B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77</Pages>
  <Words>20912</Words>
  <Characters>112926</Characters>
  <Application>Microsoft Office Word</Application>
  <DocSecurity>0</DocSecurity>
  <Lines>941</Lines>
  <Paragraphs>267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ΠΕΡΙΕΧΟΜΕΝΑ</vt:lpstr>
      <vt:lpstr>ΠΕΡΙΕΧΟΜΕΝΑ</vt:lpstr>
    </vt:vector>
  </TitlesOfParts>
  <Company/>
  <LinksUpToDate>false</LinksUpToDate>
  <CharactersWithSpaces>133571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ΠΕΡΙΕΧΟΜΕΝΑ</dc:title>
  <dc:creator>stefanos</dc:creator>
  <cp:lastModifiedBy>hp</cp:lastModifiedBy>
  <cp:revision>15</cp:revision>
  <cp:lastPrinted>2014-07-08T20:03:00Z</cp:lastPrinted>
  <dcterms:created xsi:type="dcterms:W3CDTF">2014-08-19T06:49:00Z</dcterms:created>
  <dcterms:modified xsi:type="dcterms:W3CDTF">2014-10-17T12:26:00Z</dcterms:modified>
</cp:coreProperties>
</file>