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46D" w:rsidRPr="009B74F0" w:rsidRDefault="0050346D" w:rsidP="0050346D">
      <w:pPr>
        <w:pStyle w:val="aa"/>
        <w:spacing w:line="360" w:lineRule="auto"/>
        <w:jc w:val="center"/>
      </w:pPr>
    </w:p>
    <w:p w:rsidR="0050346D" w:rsidRPr="00390868" w:rsidRDefault="0050346D" w:rsidP="0050346D">
      <w:pPr>
        <w:pStyle w:val="aa"/>
        <w:spacing w:line="360" w:lineRule="auto"/>
        <w:jc w:val="center"/>
        <w:rPr>
          <w:lang w:val="en-US"/>
        </w:rPr>
      </w:pPr>
    </w:p>
    <w:p w:rsidR="0050346D" w:rsidRPr="00390868" w:rsidRDefault="0050346D" w:rsidP="0050346D">
      <w:pPr>
        <w:pStyle w:val="aa"/>
        <w:spacing w:line="360" w:lineRule="auto"/>
        <w:jc w:val="center"/>
        <w:rPr>
          <w:lang w:val="en-US"/>
        </w:rPr>
      </w:pPr>
    </w:p>
    <w:p w:rsidR="0050346D" w:rsidRPr="00154433" w:rsidRDefault="0050346D" w:rsidP="0050346D">
      <w:pPr>
        <w:pStyle w:val="aa"/>
        <w:spacing w:line="360" w:lineRule="auto"/>
        <w:jc w:val="center"/>
        <w:rPr>
          <w:b/>
          <w:lang w:val="en-US"/>
        </w:rPr>
      </w:pPr>
    </w:p>
    <w:p w:rsidR="0050346D" w:rsidRPr="00154433" w:rsidRDefault="00154433" w:rsidP="0050346D">
      <w:pPr>
        <w:pStyle w:val="aa"/>
        <w:spacing w:line="360" w:lineRule="auto"/>
        <w:jc w:val="center"/>
        <w:rPr>
          <w:b/>
          <w:bCs/>
          <w:spacing w:val="20"/>
          <w:sz w:val="28"/>
        </w:rPr>
      </w:pPr>
      <w:r w:rsidRPr="00154433">
        <w:rPr>
          <w:b/>
        </w:rPr>
        <w:t>ΕΙΣΑΓΩΓΗ ΣΤΗΝ ΤΡΑΠΕΖΙΚΗ ΟΙΚΟΝΟΜΙΚΗ ΚΑΙ ΤΙΣ ΚΕΦΑΛΑΙΑΓΟΡΕΣ</w:t>
      </w:r>
    </w:p>
    <w:p w:rsidR="0050346D" w:rsidRPr="00390868" w:rsidRDefault="0050346D" w:rsidP="0050346D">
      <w:pPr>
        <w:pStyle w:val="aa"/>
        <w:spacing w:line="360" w:lineRule="auto"/>
        <w:jc w:val="center"/>
        <w:rPr>
          <w:b/>
          <w:bCs/>
          <w:sz w:val="28"/>
        </w:rPr>
      </w:pPr>
    </w:p>
    <w:p w:rsidR="0050346D" w:rsidRPr="00390868" w:rsidRDefault="0050346D" w:rsidP="0050346D">
      <w:pPr>
        <w:pStyle w:val="aa"/>
        <w:tabs>
          <w:tab w:val="clear" w:pos="4153"/>
          <w:tab w:val="clear" w:pos="8306"/>
        </w:tabs>
        <w:spacing w:line="360" w:lineRule="auto"/>
        <w:jc w:val="center"/>
      </w:pPr>
      <w:r w:rsidRPr="00390868">
        <w:t xml:space="preserve">ΣΥΡΙΟΠΟΥΛΟΣ ΚΩΝΣΤΑΝΤΙΝΟΣ </w:t>
      </w:r>
    </w:p>
    <w:p w:rsidR="0050346D" w:rsidRPr="00390868" w:rsidRDefault="0050346D" w:rsidP="0050346D">
      <w:pPr>
        <w:pStyle w:val="aa"/>
        <w:tabs>
          <w:tab w:val="clear" w:pos="4153"/>
          <w:tab w:val="clear" w:pos="8306"/>
        </w:tabs>
        <w:spacing w:line="360" w:lineRule="auto"/>
        <w:jc w:val="center"/>
      </w:pPr>
    </w:p>
    <w:p w:rsidR="0050346D" w:rsidRPr="00390868" w:rsidRDefault="0050346D" w:rsidP="0050346D">
      <w:pPr>
        <w:pStyle w:val="aa"/>
        <w:tabs>
          <w:tab w:val="clear" w:pos="4153"/>
          <w:tab w:val="clear" w:pos="8306"/>
        </w:tabs>
        <w:spacing w:line="360" w:lineRule="auto"/>
        <w:jc w:val="center"/>
      </w:pPr>
      <w:r w:rsidRPr="00390868">
        <w:t xml:space="preserve">ΠΑΠΑΔΑΜΟΥ ΣΤΕΦΑΝΟΣ </w:t>
      </w:r>
    </w:p>
    <w:p w:rsidR="0050346D" w:rsidRPr="00390868" w:rsidRDefault="0050346D" w:rsidP="0050346D">
      <w:pPr>
        <w:pStyle w:val="aa"/>
        <w:tabs>
          <w:tab w:val="clear" w:pos="4153"/>
          <w:tab w:val="clear" w:pos="8306"/>
        </w:tabs>
        <w:spacing w:line="360" w:lineRule="auto"/>
        <w:jc w:val="center"/>
      </w:pPr>
    </w:p>
    <w:p w:rsidR="0050346D" w:rsidRPr="00390868" w:rsidRDefault="0050346D" w:rsidP="0050346D">
      <w:pPr>
        <w:pStyle w:val="aa"/>
        <w:tabs>
          <w:tab w:val="clear" w:pos="4153"/>
          <w:tab w:val="clear" w:pos="8306"/>
        </w:tabs>
        <w:spacing w:line="360" w:lineRule="auto"/>
        <w:jc w:val="center"/>
      </w:pPr>
    </w:p>
    <w:p w:rsidR="0050346D" w:rsidRPr="00390868" w:rsidRDefault="0050346D" w:rsidP="0050346D">
      <w:pPr>
        <w:pStyle w:val="aa"/>
        <w:tabs>
          <w:tab w:val="clear" w:pos="4153"/>
          <w:tab w:val="clear" w:pos="8306"/>
        </w:tabs>
        <w:spacing w:line="360" w:lineRule="auto"/>
        <w:jc w:val="center"/>
        <w:rPr>
          <w:sz w:val="20"/>
        </w:rPr>
      </w:pPr>
    </w:p>
    <w:p w:rsidR="0050346D" w:rsidRPr="00154433" w:rsidRDefault="00154433" w:rsidP="0050346D">
      <w:pPr>
        <w:pStyle w:val="aa"/>
        <w:tabs>
          <w:tab w:val="clear" w:pos="4153"/>
          <w:tab w:val="clear" w:pos="8306"/>
        </w:tabs>
        <w:spacing w:line="360" w:lineRule="auto"/>
        <w:jc w:val="center"/>
        <w:rPr>
          <w:sz w:val="20"/>
        </w:rPr>
      </w:pPr>
      <w:r>
        <w:rPr>
          <w:sz w:val="20"/>
        </w:rPr>
        <w:t>ΠΑΤΡΑ</w:t>
      </w:r>
    </w:p>
    <w:p w:rsidR="0050346D" w:rsidRPr="00390868" w:rsidRDefault="0050346D" w:rsidP="0050346D">
      <w:pPr>
        <w:pStyle w:val="aa"/>
        <w:tabs>
          <w:tab w:val="clear" w:pos="4153"/>
          <w:tab w:val="clear" w:pos="8306"/>
        </w:tabs>
        <w:spacing w:line="360" w:lineRule="auto"/>
        <w:jc w:val="center"/>
      </w:pPr>
      <w:r w:rsidRPr="00390868">
        <w:rPr>
          <w:sz w:val="20"/>
        </w:rPr>
        <w:t>ΦΕΒΡΟΥΑΡΙΟΣ  2014</w:t>
      </w:r>
    </w:p>
    <w:p w:rsidR="0050346D" w:rsidRPr="00390868" w:rsidRDefault="0050346D" w:rsidP="0050346D">
      <w:pPr>
        <w:pStyle w:val="a7"/>
        <w:spacing w:line="360" w:lineRule="auto"/>
        <w:jc w:val="center"/>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p>
    <w:p w:rsidR="00154433" w:rsidRDefault="00154433" w:rsidP="0050346D">
      <w:pPr>
        <w:pStyle w:val="a7"/>
        <w:spacing w:line="360" w:lineRule="auto"/>
        <w:ind w:firstLine="720"/>
        <w:jc w:val="right"/>
        <w:rPr>
          <w:rFonts w:ascii="Times New Roman" w:hAnsi="Times New Roman" w:cs="Times New Roman"/>
          <w:b w:val="0"/>
          <w:sz w:val="24"/>
          <w:szCs w:val="24"/>
        </w:rPr>
      </w:pPr>
    </w:p>
    <w:p w:rsidR="00154433" w:rsidRPr="00390868" w:rsidRDefault="00154433" w:rsidP="00154433">
      <w:pPr>
        <w:pStyle w:val="a7"/>
        <w:spacing w:line="360" w:lineRule="auto"/>
        <w:ind w:firstLine="720"/>
        <w:jc w:val="right"/>
        <w:rPr>
          <w:rFonts w:ascii="Times New Roman" w:hAnsi="Times New Roman" w:cs="Times New Roman"/>
          <w:b w:val="0"/>
          <w:sz w:val="24"/>
          <w:szCs w:val="24"/>
        </w:rPr>
      </w:pPr>
      <w:r w:rsidRPr="00390868">
        <w:rPr>
          <w:rFonts w:ascii="Times New Roman" w:hAnsi="Times New Roman" w:cs="Times New Roman"/>
          <w:b w:val="0"/>
          <w:sz w:val="24"/>
          <w:szCs w:val="24"/>
        </w:rPr>
        <w:t xml:space="preserve">Αφιερωμένο </w:t>
      </w:r>
      <w:r>
        <w:rPr>
          <w:rFonts w:ascii="Times New Roman" w:hAnsi="Times New Roman" w:cs="Times New Roman"/>
          <w:b w:val="0"/>
          <w:sz w:val="24"/>
          <w:szCs w:val="24"/>
        </w:rPr>
        <w:t>………………. Κ</w:t>
      </w:r>
      <w:r w:rsidRPr="00390868">
        <w:rPr>
          <w:rFonts w:ascii="Times New Roman" w:hAnsi="Times New Roman" w:cs="Times New Roman"/>
          <w:b w:val="0"/>
          <w:sz w:val="24"/>
          <w:szCs w:val="24"/>
        </w:rPr>
        <w:t>.</w:t>
      </w:r>
      <w:r>
        <w:rPr>
          <w:rFonts w:ascii="Times New Roman" w:hAnsi="Times New Roman" w:cs="Times New Roman"/>
          <w:b w:val="0"/>
          <w:sz w:val="24"/>
          <w:szCs w:val="24"/>
        </w:rPr>
        <w:t>Σ</w:t>
      </w:r>
      <w:r w:rsidRPr="00390868">
        <w:rPr>
          <w:rFonts w:ascii="Times New Roman" w:hAnsi="Times New Roman" w:cs="Times New Roman"/>
          <w:b w:val="0"/>
          <w:sz w:val="24"/>
          <w:szCs w:val="24"/>
        </w:rPr>
        <w:t xml:space="preserve">. </w:t>
      </w:r>
    </w:p>
    <w:p w:rsidR="00154433" w:rsidRDefault="00154433" w:rsidP="0050346D">
      <w:pPr>
        <w:pStyle w:val="a7"/>
        <w:spacing w:line="360" w:lineRule="auto"/>
        <w:ind w:firstLine="720"/>
        <w:jc w:val="right"/>
        <w:rPr>
          <w:rFonts w:ascii="Times New Roman" w:hAnsi="Times New Roman" w:cs="Times New Roman"/>
          <w:b w:val="0"/>
          <w:sz w:val="24"/>
          <w:szCs w:val="24"/>
        </w:rPr>
      </w:pPr>
    </w:p>
    <w:p w:rsidR="00154433" w:rsidRDefault="00154433" w:rsidP="0050346D">
      <w:pPr>
        <w:pStyle w:val="a7"/>
        <w:spacing w:line="360" w:lineRule="auto"/>
        <w:ind w:firstLine="720"/>
        <w:jc w:val="right"/>
        <w:rPr>
          <w:rFonts w:ascii="Times New Roman" w:hAnsi="Times New Roman" w:cs="Times New Roman"/>
          <w:b w:val="0"/>
          <w:sz w:val="24"/>
          <w:szCs w:val="24"/>
        </w:rPr>
      </w:pPr>
    </w:p>
    <w:p w:rsidR="0050346D" w:rsidRPr="00390868" w:rsidRDefault="0050346D" w:rsidP="0050346D">
      <w:pPr>
        <w:pStyle w:val="a7"/>
        <w:spacing w:line="360" w:lineRule="auto"/>
        <w:ind w:firstLine="720"/>
        <w:jc w:val="right"/>
        <w:rPr>
          <w:rFonts w:ascii="Times New Roman" w:hAnsi="Times New Roman" w:cs="Times New Roman"/>
          <w:b w:val="0"/>
          <w:sz w:val="24"/>
          <w:szCs w:val="24"/>
        </w:rPr>
      </w:pPr>
      <w:r w:rsidRPr="00390868">
        <w:rPr>
          <w:rFonts w:ascii="Times New Roman" w:hAnsi="Times New Roman" w:cs="Times New Roman"/>
          <w:b w:val="0"/>
          <w:sz w:val="24"/>
          <w:szCs w:val="24"/>
        </w:rPr>
        <w:t>Αφιερωμένο</w:t>
      </w:r>
      <w:r w:rsidR="0083467A">
        <w:rPr>
          <w:rFonts w:ascii="Times New Roman" w:hAnsi="Times New Roman" w:cs="Times New Roman"/>
          <w:b w:val="0"/>
          <w:sz w:val="24"/>
          <w:szCs w:val="24"/>
        </w:rPr>
        <w:t xml:space="preserve"> στην γυναίκα μου και στα παιδιά</w:t>
      </w:r>
      <w:r w:rsidRPr="00390868">
        <w:rPr>
          <w:rFonts w:ascii="Times New Roman" w:hAnsi="Times New Roman" w:cs="Times New Roman"/>
          <w:b w:val="0"/>
          <w:sz w:val="24"/>
          <w:szCs w:val="24"/>
        </w:rPr>
        <w:t xml:space="preserve"> μας Σ.Π. </w:t>
      </w: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rPr>
          <w:rFonts w:ascii="Times New Roman" w:hAnsi="Times New Roman" w:cs="Times New Roman"/>
        </w:rPr>
      </w:pPr>
    </w:p>
    <w:p w:rsidR="0050346D" w:rsidRPr="00390868" w:rsidRDefault="0050346D" w:rsidP="0050346D">
      <w:pPr>
        <w:pStyle w:val="a7"/>
        <w:spacing w:line="360" w:lineRule="auto"/>
        <w:jc w:val="center"/>
        <w:rPr>
          <w:rFonts w:ascii="Times New Roman" w:hAnsi="Times New Roman" w:cs="Times New Roman"/>
        </w:rPr>
      </w:pPr>
      <w:r w:rsidRPr="00390868">
        <w:rPr>
          <w:rFonts w:ascii="Times New Roman" w:hAnsi="Times New Roman" w:cs="Times New Roman"/>
        </w:rPr>
        <w:br w:type="page"/>
      </w:r>
      <w:r w:rsidRPr="00390868">
        <w:rPr>
          <w:rFonts w:ascii="Times New Roman" w:hAnsi="Times New Roman" w:cs="Times New Roman"/>
        </w:rPr>
        <w:lastRenderedPageBreak/>
        <w:t>Πρόλογος</w:t>
      </w:r>
    </w:p>
    <w:p w:rsidR="0050346D" w:rsidRPr="00390868" w:rsidRDefault="0050346D" w:rsidP="0050346D">
      <w:pPr>
        <w:pStyle w:val="a7"/>
        <w:spacing w:line="360" w:lineRule="auto"/>
        <w:ind w:firstLine="720"/>
        <w:rPr>
          <w:rFonts w:ascii="Times New Roman" w:hAnsi="Times New Roman" w:cs="Times New Roman"/>
          <w:b w:val="0"/>
          <w:i w:val="0"/>
          <w:sz w:val="24"/>
          <w:szCs w:val="24"/>
        </w:rPr>
      </w:pPr>
    </w:p>
    <w:p w:rsidR="0050346D" w:rsidRPr="00390868" w:rsidRDefault="0050346D" w:rsidP="0050346D">
      <w:pPr>
        <w:spacing w:line="360" w:lineRule="auto"/>
        <w:ind w:firstLine="720"/>
        <w:jc w:val="both"/>
      </w:pPr>
      <w:r w:rsidRPr="00390868">
        <w:t>…………………………………..</w:t>
      </w:r>
    </w:p>
    <w:p w:rsidR="0050346D" w:rsidRPr="00390868" w:rsidRDefault="0050346D" w:rsidP="0050346D">
      <w:pPr>
        <w:spacing w:line="360" w:lineRule="auto"/>
        <w:ind w:firstLine="720"/>
        <w:jc w:val="both"/>
      </w:pPr>
      <w:r w:rsidRPr="00390868">
        <w:t>Τέλος, θα ήθελα να ευχαριστήσω ……………</w:t>
      </w:r>
    </w:p>
    <w:p w:rsidR="0050346D" w:rsidRPr="00390868" w:rsidRDefault="0050346D" w:rsidP="0050346D">
      <w:pPr>
        <w:tabs>
          <w:tab w:val="left" w:pos="2295"/>
        </w:tabs>
        <w:spacing w:line="360" w:lineRule="auto"/>
        <w:jc w:val="both"/>
      </w:pPr>
      <w:r w:rsidRPr="00390868">
        <w:tab/>
      </w:r>
    </w:p>
    <w:p w:rsidR="001672EE" w:rsidRPr="00390868" w:rsidRDefault="0050346D">
      <w:pPr>
        <w:spacing w:line="360" w:lineRule="auto"/>
        <w:jc w:val="center"/>
        <w:rPr>
          <w:b/>
          <w:sz w:val="32"/>
          <w:szCs w:val="32"/>
        </w:rPr>
      </w:pPr>
      <w:r w:rsidRPr="00390868">
        <w:rPr>
          <w:b/>
          <w:sz w:val="32"/>
          <w:szCs w:val="32"/>
        </w:rPr>
        <w:br w:type="page"/>
      </w:r>
      <w:r w:rsidR="001672EE" w:rsidRPr="00390868">
        <w:rPr>
          <w:b/>
          <w:sz w:val="32"/>
          <w:szCs w:val="32"/>
        </w:rPr>
        <w:lastRenderedPageBreak/>
        <w:t>ΠΕΡΙΕΧΟΜΕΝΑ</w:t>
      </w:r>
    </w:p>
    <w:bookmarkStart w:id="0" w:name="_Toc325409021"/>
    <w:p w:rsidR="00E16738" w:rsidRDefault="001672EE">
      <w:pPr>
        <w:pStyle w:val="10"/>
        <w:rPr>
          <w:rFonts w:asciiTheme="minorHAnsi" w:eastAsiaTheme="minorEastAsia" w:hAnsiTheme="minorHAnsi" w:cstheme="minorBidi"/>
          <w:sz w:val="22"/>
          <w:szCs w:val="22"/>
        </w:rPr>
      </w:pPr>
      <w:r w:rsidRPr="00390868">
        <w:fldChar w:fldCharType="begin"/>
      </w:r>
      <w:r w:rsidRPr="00390868">
        <w:instrText xml:space="preserve"> TOC \o "1-3" \f \h \z \u </w:instrText>
      </w:r>
      <w:r w:rsidRPr="00390868">
        <w:fldChar w:fldCharType="separate"/>
      </w:r>
      <w:hyperlink w:anchor="_Toc393111058" w:history="1">
        <w:r w:rsidR="00E16738" w:rsidRPr="00DC48B3">
          <w:rPr>
            <w:rStyle w:val="-"/>
          </w:rPr>
          <w:t>ΚΕΦΑΛΑΙΟ 4</w:t>
        </w:r>
        <w:r w:rsidR="00E16738">
          <w:rPr>
            <w:webHidden/>
          </w:rPr>
          <w:tab/>
        </w:r>
        <w:r w:rsidR="00E16738">
          <w:rPr>
            <w:webHidden/>
          </w:rPr>
          <w:fldChar w:fldCharType="begin"/>
        </w:r>
        <w:r w:rsidR="00E16738">
          <w:rPr>
            <w:webHidden/>
          </w:rPr>
          <w:instrText xml:space="preserve"> PAGEREF _Toc393111058 \h </w:instrText>
        </w:r>
        <w:r w:rsidR="00E16738">
          <w:rPr>
            <w:webHidden/>
          </w:rPr>
        </w:r>
        <w:r w:rsidR="00E16738">
          <w:rPr>
            <w:webHidden/>
          </w:rPr>
          <w:fldChar w:fldCharType="separate"/>
        </w:r>
        <w:r w:rsidR="00E16738">
          <w:rPr>
            <w:webHidden/>
          </w:rPr>
          <w:t>5</w:t>
        </w:r>
        <w:r w:rsidR="00E16738">
          <w:rPr>
            <w:webHidden/>
          </w:rPr>
          <w:fldChar w:fldCharType="end"/>
        </w:r>
      </w:hyperlink>
    </w:p>
    <w:p w:rsidR="00E16738" w:rsidRDefault="000C510F">
      <w:pPr>
        <w:pStyle w:val="10"/>
        <w:rPr>
          <w:rFonts w:asciiTheme="minorHAnsi" w:eastAsiaTheme="minorEastAsia" w:hAnsiTheme="minorHAnsi" w:cstheme="minorBidi"/>
          <w:sz w:val="22"/>
          <w:szCs w:val="22"/>
        </w:rPr>
      </w:pPr>
      <w:hyperlink w:anchor="_Toc393111059" w:history="1">
        <w:r w:rsidR="00E16738" w:rsidRPr="00DC48B3">
          <w:rPr>
            <w:rStyle w:val="-"/>
          </w:rPr>
          <w:t>Η ΧΡΗΜΑΤΑΓΟΡΑ ΚΑΙ ΤΟ ΤΡΑΠΕΖΙΚΟ ΣΥΣΤΗΜΑ</w:t>
        </w:r>
        <w:r w:rsidR="00E16738">
          <w:rPr>
            <w:webHidden/>
          </w:rPr>
          <w:tab/>
        </w:r>
        <w:r w:rsidR="00E16738">
          <w:rPr>
            <w:webHidden/>
          </w:rPr>
          <w:fldChar w:fldCharType="begin"/>
        </w:r>
        <w:r w:rsidR="00E16738">
          <w:rPr>
            <w:webHidden/>
          </w:rPr>
          <w:instrText xml:space="preserve"> PAGEREF _Toc393111059 \h </w:instrText>
        </w:r>
        <w:r w:rsidR="00E16738">
          <w:rPr>
            <w:webHidden/>
          </w:rPr>
        </w:r>
        <w:r w:rsidR="00E16738">
          <w:rPr>
            <w:webHidden/>
          </w:rPr>
          <w:fldChar w:fldCharType="separate"/>
        </w:r>
        <w:r w:rsidR="00E16738">
          <w:rPr>
            <w:webHidden/>
          </w:rPr>
          <w:t>5</w:t>
        </w:r>
        <w:r w:rsidR="00E16738">
          <w:rPr>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0" w:history="1">
        <w:r w:rsidR="00E16738" w:rsidRPr="00DC48B3">
          <w:rPr>
            <w:rStyle w:val="-"/>
            <w:noProof/>
          </w:rPr>
          <w:t xml:space="preserve">4.1 </w:t>
        </w:r>
        <w:r w:rsidR="00E16738" w:rsidRPr="00DC48B3">
          <w:rPr>
            <w:rStyle w:val="-"/>
            <w:rFonts w:eastAsia="Batang"/>
            <w:noProof/>
          </w:rPr>
          <w:t>Ο ρόλος του χρηματοπιστωτικού συστήματος στην οικονομία</w:t>
        </w:r>
        <w:r w:rsidR="00E16738">
          <w:rPr>
            <w:noProof/>
            <w:webHidden/>
          </w:rPr>
          <w:tab/>
        </w:r>
        <w:r w:rsidR="00E16738">
          <w:rPr>
            <w:noProof/>
            <w:webHidden/>
          </w:rPr>
          <w:fldChar w:fldCharType="begin"/>
        </w:r>
        <w:r w:rsidR="00E16738">
          <w:rPr>
            <w:noProof/>
            <w:webHidden/>
          </w:rPr>
          <w:instrText xml:space="preserve"> PAGEREF _Toc393111060 \h </w:instrText>
        </w:r>
        <w:r w:rsidR="00E16738">
          <w:rPr>
            <w:noProof/>
            <w:webHidden/>
          </w:rPr>
        </w:r>
        <w:r w:rsidR="00E16738">
          <w:rPr>
            <w:noProof/>
            <w:webHidden/>
          </w:rPr>
          <w:fldChar w:fldCharType="separate"/>
        </w:r>
        <w:r w:rsidR="00E16738">
          <w:rPr>
            <w:noProof/>
            <w:webHidden/>
          </w:rPr>
          <w:t>5</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1" w:history="1">
        <w:r w:rsidR="00E16738" w:rsidRPr="00DC48B3">
          <w:rPr>
            <w:rStyle w:val="-"/>
            <w:noProof/>
          </w:rPr>
          <w:t>4.2 Χρήμα έναντι Πίστης</w:t>
        </w:r>
        <w:r w:rsidR="00E16738">
          <w:rPr>
            <w:noProof/>
            <w:webHidden/>
          </w:rPr>
          <w:tab/>
        </w:r>
        <w:r w:rsidR="00E16738">
          <w:rPr>
            <w:noProof/>
            <w:webHidden/>
          </w:rPr>
          <w:fldChar w:fldCharType="begin"/>
        </w:r>
        <w:r w:rsidR="00E16738">
          <w:rPr>
            <w:noProof/>
            <w:webHidden/>
          </w:rPr>
          <w:instrText xml:space="preserve"> PAGEREF _Toc393111061 \h </w:instrText>
        </w:r>
        <w:r w:rsidR="00E16738">
          <w:rPr>
            <w:noProof/>
            <w:webHidden/>
          </w:rPr>
        </w:r>
        <w:r w:rsidR="00E16738">
          <w:rPr>
            <w:noProof/>
            <w:webHidden/>
          </w:rPr>
          <w:fldChar w:fldCharType="separate"/>
        </w:r>
        <w:r w:rsidR="00E16738">
          <w:rPr>
            <w:noProof/>
            <w:webHidden/>
          </w:rPr>
          <w:t>8</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2" w:history="1">
        <w:r w:rsidR="00E16738" w:rsidRPr="00DC48B3">
          <w:rPr>
            <w:rStyle w:val="-"/>
            <w:noProof/>
          </w:rPr>
          <w:t>4.2 Οι διαμορφωτές αγοράς (Market Makers)</w:t>
        </w:r>
        <w:r w:rsidR="00E16738">
          <w:rPr>
            <w:noProof/>
            <w:webHidden/>
          </w:rPr>
          <w:tab/>
        </w:r>
        <w:r w:rsidR="00E16738">
          <w:rPr>
            <w:noProof/>
            <w:webHidden/>
          </w:rPr>
          <w:fldChar w:fldCharType="begin"/>
        </w:r>
        <w:r w:rsidR="00E16738">
          <w:rPr>
            <w:noProof/>
            <w:webHidden/>
          </w:rPr>
          <w:instrText xml:space="preserve"> PAGEREF _Toc393111062 \h </w:instrText>
        </w:r>
        <w:r w:rsidR="00E16738">
          <w:rPr>
            <w:noProof/>
            <w:webHidden/>
          </w:rPr>
        </w:r>
        <w:r w:rsidR="00E16738">
          <w:rPr>
            <w:noProof/>
            <w:webHidden/>
          </w:rPr>
          <w:fldChar w:fldCharType="separate"/>
        </w:r>
        <w:r w:rsidR="00E16738">
          <w:rPr>
            <w:noProof/>
            <w:webHidden/>
          </w:rPr>
          <w:t>13</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3" w:history="1">
        <w:r w:rsidR="00E16738" w:rsidRPr="00DC48B3">
          <w:rPr>
            <w:rStyle w:val="-"/>
            <w:noProof/>
          </w:rPr>
          <w:t>4.3 Συστήματα Πληρωμών: Χρήμα και Πίστη</w:t>
        </w:r>
        <w:r w:rsidR="00E16738">
          <w:rPr>
            <w:noProof/>
            <w:webHidden/>
          </w:rPr>
          <w:tab/>
        </w:r>
        <w:r w:rsidR="00E16738">
          <w:rPr>
            <w:noProof/>
            <w:webHidden/>
          </w:rPr>
          <w:fldChar w:fldCharType="begin"/>
        </w:r>
        <w:r w:rsidR="00E16738">
          <w:rPr>
            <w:noProof/>
            <w:webHidden/>
          </w:rPr>
          <w:instrText xml:space="preserve"> PAGEREF _Toc393111063 \h </w:instrText>
        </w:r>
        <w:r w:rsidR="00E16738">
          <w:rPr>
            <w:noProof/>
            <w:webHidden/>
          </w:rPr>
        </w:r>
        <w:r w:rsidR="00E16738">
          <w:rPr>
            <w:noProof/>
            <w:webHidden/>
          </w:rPr>
          <w:fldChar w:fldCharType="separate"/>
        </w:r>
        <w:r w:rsidR="00E16738">
          <w:rPr>
            <w:noProof/>
            <w:webHidden/>
          </w:rPr>
          <w:t>16</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4" w:history="1">
        <w:r w:rsidR="00E16738" w:rsidRPr="00DC48B3">
          <w:rPr>
            <w:rStyle w:val="-"/>
            <w:noProof/>
          </w:rPr>
          <w:t>4.4 Χρήμα και Χρόνος: Ρευστότητα και Φερεγγυότητα</w:t>
        </w:r>
        <w:r w:rsidR="00E16738">
          <w:rPr>
            <w:noProof/>
            <w:webHidden/>
          </w:rPr>
          <w:tab/>
        </w:r>
        <w:r w:rsidR="00E16738">
          <w:rPr>
            <w:noProof/>
            <w:webHidden/>
          </w:rPr>
          <w:fldChar w:fldCharType="begin"/>
        </w:r>
        <w:r w:rsidR="00E16738">
          <w:rPr>
            <w:noProof/>
            <w:webHidden/>
          </w:rPr>
          <w:instrText xml:space="preserve"> PAGEREF _Toc393111064 \h </w:instrText>
        </w:r>
        <w:r w:rsidR="00E16738">
          <w:rPr>
            <w:noProof/>
            <w:webHidden/>
          </w:rPr>
        </w:r>
        <w:r w:rsidR="00E16738">
          <w:rPr>
            <w:noProof/>
            <w:webHidden/>
          </w:rPr>
          <w:fldChar w:fldCharType="separate"/>
        </w:r>
        <w:r w:rsidR="00E16738">
          <w:rPr>
            <w:noProof/>
            <w:webHidden/>
          </w:rPr>
          <w:t>18</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5" w:history="1">
        <w:r w:rsidR="00E16738" w:rsidRPr="00DC48B3">
          <w:rPr>
            <w:rStyle w:val="-"/>
            <w:noProof/>
          </w:rPr>
          <w:t>4.5 Η διατραπεζική αγορά</w:t>
        </w:r>
        <w:r w:rsidR="00E16738">
          <w:rPr>
            <w:noProof/>
            <w:webHidden/>
          </w:rPr>
          <w:tab/>
        </w:r>
        <w:r w:rsidR="00E16738">
          <w:rPr>
            <w:noProof/>
            <w:webHidden/>
          </w:rPr>
          <w:fldChar w:fldCharType="begin"/>
        </w:r>
        <w:r w:rsidR="00E16738">
          <w:rPr>
            <w:noProof/>
            <w:webHidden/>
          </w:rPr>
          <w:instrText xml:space="preserve"> PAGEREF _Toc393111065 \h </w:instrText>
        </w:r>
        <w:r w:rsidR="00E16738">
          <w:rPr>
            <w:noProof/>
            <w:webHidden/>
          </w:rPr>
        </w:r>
        <w:r w:rsidR="00E16738">
          <w:rPr>
            <w:noProof/>
            <w:webHidden/>
          </w:rPr>
          <w:fldChar w:fldCharType="separate"/>
        </w:r>
        <w:r w:rsidR="00E16738">
          <w:rPr>
            <w:noProof/>
            <w:webHidden/>
          </w:rPr>
          <w:t>22</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6" w:history="1">
        <w:r w:rsidR="00E16738" w:rsidRPr="00DC48B3">
          <w:rPr>
            <w:rStyle w:val="-"/>
            <w:noProof/>
          </w:rPr>
          <w:t>4.6 Η αγορά των συμφωνιών επαναγοράς (</w:t>
        </w:r>
        <w:r w:rsidR="00E16738" w:rsidRPr="00DC48B3">
          <w:rPr>
            <w:rStyle w:val="-"/>
            <w:noProof/>
            <w:lang w:val="en-US"/>
          </w:rPr>
          <w:t>R</w:t>
        </w:r>
        <w:r w:rsidR="00E16738" w:rsidRPr="00DC48B3">
          <w:rPr>
            <w:rStyle w:val="-"/>
            <w:noProof/>
          </w:rPr>
          <w:t>epos)</w:t>
        </w:r>
        <w:r w:rsidR="00E16738">
          <w:rPr>
            <w:noProof/>
            <w:webHidden/>
          </w:rPr>
          <w:tab/>
        </w:r>
        <w:r w:rsidR="00E16738">
          <w:rPr>
            <w:noProof/>
            <w:webHidden/>
          </w:rPr>
          <w:fldChar w:fldCharType="begin"/>
        </w:r>
        <w:r w:rsidR="00E16738">
          <w:rPr>
            <w:noProof/>
            <w:webHidden/>
          </w:rPr>
          <w:instrText xml:space="preserve"> PAGEREF _Toc393111066 \h </w:instrText>
        </w:r>
        <w:r w:rsidR="00E16738">
          <w:rPr>
            <w:noProof/>
            <w:webHidden/>
          </w:rPr>
        </w:r>
        <w:r w:rsidR="00E16738">
          <w:rPr>
            <w:noProof/>
            <w:webHidden/>
          </w:rPr>
          <w:fldChar w:fldCharType="separate"/>
        </w:r>
        <w:r w:rsidR="00E16738">
          <w:rPr>
            <w:noProof/>
            <w:webHidden/>
          </w:rPr>
          <w:t>30</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7" w:history="1">
        <w:r w:rsidR="00E16738" w:rsidRPr="00DC48B3">
          <w:rPr>
            <w:rStyle w:val="-"/>
            <w:noProof/>
          </w:rPr>
          <w:t>4.7 Η αγορά ευρωνομισμάτων</w:t>
        </w:r>
        <w:r w:rsidR="00E16738">
          <w:rPr>
            <w:noProof/>
            <w:webHidden/>
          </w:rPr>
          <w:tab/>
        </w:r>
        <w:r w:rsidR="00E16738">
          <w:rPr>
            <w:noProof/>
            <w:webHidden/>
          </w:rPr>
          <w:fldChar w:fldCharType="begin"/>
        </w:r>
        <w:r w:rsidR="00E16738">
          <w:rPr>
            <w:noProof/>
            <w:webHidden/>
          </w:rPr>
          <w:instrText xml:space="preserve"> PAGEREF _Toc393111067 \h </w:instrText>
        </w:r>
        <w:r w:rsidR="00E16738">
          <w:rPr>
            <w:noProof/>
            <w:webHidden/>
          </w:rPr>
        </w:r>
        <w:r w:rsidR="00E16738">
          <w:rPr>
            <w:noProof/>
            <w:webHidden/>
          </w:rPr>
          <w:fldChar w:fldCharType="separate"/>
        </w:r>
        <w:r w:rsidR="00E16738">
          <w:rPr>
            <w:noProof/>
            <w:webHidden/>
          </w:rPr>
          <w:t>37</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8" w:history="1">
        <w:r w:rsidR="00E16738" w:rsidRPr="00DC48B3">
          <w:rPr>
            <w:rStyle w:val="-"/>
            <w:noProof/>
          </w:rPr>
          <w:t>4.8 Άλλα προϊόντα της χρηματαγοράς</w:t>
        </w:r>
        <w:r w:rsidR="00E16738">
          <w:rPr>
            <w:noProof/>
            <w:webHidden/>
          </w:rPr>
          <w:tab/>
        </w:r>
        <w:r w:rsidR="00E16738">
          <w:rPr>
            <w:noProof/>
            <w:webHidden/>
          </w:rPr>
          <w:fldChar w:fldCharType="begin"/>
        </w:r>
        <w:r w:rsidR="00E16738">
          <w:rPr>
            <w:noProof/>
            <w:webHidden/>
          </w:rPr>
          <w:instrText xml:space="preserve"> PAGEREF _Toc393111068 \h </w:instrText>
        </w:r>
        <w:r w:rsidR="00E16738">
          <w:rPr>
            <w:noProof/>
            <w:webHidden/>
          </w:rPr>
        </w:r>
        <w:r w:rsidR="00E16738">
          <w:rPr>
            <w:noProof/>
            <w:webHidden/>
          </w:rPr>
          <w:fldChar w:fldCharType="separate"/>
        </w:r>
        <w:r w:rsidR="00E16738">
          <w:rPr>
            <w:noProof/>
            <w:webHidden/>
          </w:rPr>
          <w:t>42</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69" w:history="1">
        <w:r w:rsidR="00E16738" w:rsidRPr="00DC48B3">
          <w:rPr>
            <w:rStyle w:val="-"/>
            <w:noProof/>
          </w:rPr>
          <w:t>4.9 Μετρώντας τις αποδόσεις των προϊόντων  της χρηματαγοράς</w:t>
        </w:r>
        <w:r w:rsidR="00E16738">
          <w:rPr>
            <w:noProof/>
            <w:webHidden/>
          </w:rPr>
          <w:tab/>
        </w:r>
        <w:r w:rsidR="00E16738">
          <w:rPr>
            <w:noProof/>
            <w:webHidden/>
          </w:rPr>
          <w:fldChar w:fldCharType="begin"/>
        </w:r>
        <w:r w:rsidR="00E16738">
          <w:rPr>
            <w:noProof/>
            <w:webHidden/>
          </w:rPr>
          <w:instrText xml:space="preserve"> PAGEREF _Toc393111069 \h </w:instrText>
        </w:r>
        <w:r w:rsidR="00E16738">
          <w:rPr>
            <w:noProof/>
            <w:webHidden/>
          </w:rPr>
        </w:r>
        <w:r w:rsidR="00E16738">
          <w:rPr>
            <w:noProof/>
            <w:webHidden/>
          </w:rPr>
          <w:fldChar w:fldCharType="separate"/>
        </w:r>
        <w:r w:rsidR="00E16738">
          <w:rPr>
            <w:noProof/>
            <w:webHidden/>
          </w:rPr>
          <w:t>45</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0" w:history="1">
        <w:r w:rsidR="00E16738" w:rsidRPr="00DC48B3">
          <w:rPr>
            <w:rStyle w:val="-"/>
            <w:noProof/>
          </w:rPr>
          <w:t>4.10 Ο ρόλος των διαπραγματευτών τίτλων στην χρηματαγορά</w:t>
        </w:r>
        <w:r w:rsidR="00E16738">
          <w:rPr>
            <w:noProof/>
            <w:webHidden/>
          </w:rPr>
          <w:tab/>
        </w:r>
        <w:r w:rsidR="00E16738">
          <w:rPr>
            <w:noProof/>
            <w:webHidden/>
          </w:rPr>
          <w:fldChar w:fldCharType="begin"/>
        </w:r>
        <w:r w:rsidR="00E16738">
          <w:rPr>
            <w:noProof/>
            <w:webHidden/>
          </w:rPr>
          <w:instrText xml:space="preserve"> PAGEREF _Toc393111070 \h </w:instrText>
        </w:r>
        <w:r w:rsidR="00E16738">
          <w:rPr>
            <w:noProof/>
            <w:webHidden/>
          </w:rPr>
        </w:r>
        <w:r w:rsidR="00E16738">
          <w:rPr>
            <w:noProof/>
            <w:webHidden/>
          </w:rPr>
          <w:fldChar w:fldCharType="separate"/>
        </w:r>
        <w:r w:rsidR="00E16738">
          <w:rPr>
            <w:noProof/>
            <w:webHidden/>
          </w:rPr>
          <w:t>47</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1" w:history="1">
        <w:r w:rsidR="00E16738" w:rsidRPr="00DC48B3">
          <w:rPr>
            <w:rStyle w:val="-"/>
            <w:noProof/>
          </w:rPr>
          <w:t>4.11 Μελέτες περίπτωσης Τραπεζικών Συστημάτων</w:t>
        </w:r>
        <w:r w:rsidR="00E16738">
          <w:rPr>
            <w:noProof/>
            <w:webHidden/>
          </w:rPr>
          <w:tab/>
        </w:r>
        <w:r w:rsidR="00E16738">
          <w:rPr>
            <w:noProof/>
            <w:webHidden/>
          </w:rPr>
          <w:fldChar w:fldCharType="begin"/>
        </w:r>
        <w:r w:rsidR="00E16738">
          <w:rPr>
            <w:noProof/>
            <w:webHidden/>
          </w:rPr>
          <w:instrText xml:space="preserve"> PAGEREF _Toc393111071 \h </w:instrText>
        </w:r>
        <w:r w:rsidR="00E16738">
          <w:rPr>
            <w:noProof/>
            <w:webHidden/>
          </w:rPr>
        </w:r>
        <w:r w:rsidR="00E16738">
          <w:rPr>
            <w:noProof/>
            <w:webHidden/>
          </w:rPr>
          <w:fldChar w:fldCharType="separate"/>
        </w:r>
        <w:r w:rsidR="00E16738">
          <w:rPr>
            <w:noProof/>
            <w:webHidden/>
          </w:rPr>
          <w:t>53</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2" w:history="1">
        <w:r w:rsidR="00E16738" w:rsidRPr="00DC48B3">
          <w:rPr>
            <w:rStyle w:val="-"/>
            <w:noProof/>
          </w:rPr>
          <w:t>4.11.1 Το Ευρωπαϊκό τραπεζικό σύστημα</w:t>
        </w:r>
        <w:r w:rsidR="00E16738">
          <w:rPr>
            <w:noProof/>
            <w:webHidden/>
          </w:rPr>
          <w:tab/>
        </w:r>
        <w:r w:rsidR="00E16738">
          <w:rPr>
            <w:noProof/>
            <w:webHidden/>
          </w:rPr>
          <w:fldChar w:fldCharType="begin"/>
        </w:r>
        <w:r w:rsidR="00E16738">
          <w:rPr>
            <w:noProof/>
            <w:webHidden/>
          </w:rPr>
          <w:instrText xml:space="preserve"> PAGEREF _Toc393111072 \h </w:instrText>
        </w:r>
        <w:r w:rsidR="00E16738">
          <w:rPr>
            <w:noProof/>
            <w:webHidden/>
          </w:rPr>
        </w:r>
        <w:r w:rsidR="00E16738">
          <w:rPr>
            <w:noProof/>
            <w:webHidden/>
          </w:rPr>
          <w:fldChar w:fldCharType="separate"/>
        </w:r>
        <w:r w:rsidR="00E16738">
          <w:rPr>
            <w:noProof/>
            <w:webHidden/>
          </w:rPr>
          <w:t>53</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3" w:history="1">
        <w:r w:rsidR="00E16738" w:rsidRPr="00DC48B3">
          <w:rPr>
            <w:rStyle w:val="-"/>
            <w:noProof/>
          </w:rPr>
          <w:t>4.11.2 Το Αμερικανικό τραπεζικό σύστημα</w:t>
        </w:r>
        <w:r w:rsidR="00E16738">
          <w:rPr>
            <w:noProof/>
            <w:webHidden/>
          </w:rPr>
          <w:tab/>
        </w:r>
        <w:r w:rsidR="00E16738">
          <w:rPr>
            <w:noProof/>
            <w:webHidden/>
          </w:rPr>
          <w:fldChar w:fldCharType="begin"/>
        </w:r>
        <w:r w:rsidR="00E16738">
          <w:rPr>
            <w:noProof/>
            <w:webHidden/>
          </w:rPr>
          <w:instrText xml:space="preserve"> PAGEREF _Toc393111073 \h </w:instrText>
        </w:r>
        <w:r w:rsidR="00E16738">
          <w:rPr>
            <w:noProof/>
            <w:webHidden/>
          </w:rPr>
        </w:r>
        <w:r w:rsidR="00E16738">
          <w:rPr>
            <w:noProof/>
            <w:webHidden/>
          </w:rPr>
          <w:fldChar w:fldCharType="separate"/>
        </w:r>
        <w:r w:rsidR="00E16738">
          <w:rPr>
            <w:noProof/>
            <w:webHidden/>
          </w:rPr>
          <w:t>58</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4" w:history="1">
        <w:r w:rsidR="00E16738" w:rsidRPr="00DC48B3">
          <w:rPr>
            <w:rStyle w:val="-"/>
            <w:noProof/>
          </w:rPr>
          <w:t>4.11.3 Το Ελληνικό τραπεζικό σύστημα</w:t>
        </w:r>
        <w:r w:rsidR="00E16738">
          <w:rPr>
            <w:noProof/>
            <w:webHidden/>
          </w:rPr>
          <w:tab/>
        </w:r>
        <w:r w:rsidR="00E16738">
          <w:rPr>
            <w:noProof/>
            <w:webHidden/>
          </w:rPr>
          <w:fldChar w:fldCharType="begin"/>
        </w:r>
        <w:r w:rsidR="00E16738">
          <w:rPr>
            <w:noProof/>
            <w:webHidden/>
          </w:rPr>
          <w:instrText xml:space="preserve"> PAGEREF _Toc393111074 \h </w:instrText>
        </w:r>
        <w:r w:rsidR="00E16738">
          <w:rPr>
            <w:noProof/>
            <w:webHidden/>
          </w:rPr>
        </w:r>
        <w:r w:rsidR="00E16738">
          <w:rPr>
            <w:noProof/>
            <w:webHidden/>
          </w:rPr>
          <w:fldChar w:fldCharType="separate"/>
        </w:r>
        <w:r w:rsidR="00E16738">
          <w:rPr>
            <w:noProof/>
            <w:webHidden/>
          </w:rPr>
          <w:t>63</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5" w:history="1">
        <w:r w:rsidR="00E16738" w:rsidRPr="00DC48B3">
          <w:rPr>
            <w:rStyle w:val="-"/>
            <w:noProof/>
          </w:rPr>
          <w:t>Ερωτήσεις Μελέτης Κεφαλαίου</w:t>
        </w:r>
        <w:r w:rsidR="00E16738">
          <w:rPr>
            <w:noProof/>
            <w:webHidden/>
          </w:rPr>
          <w:tab/>
        </w:r>
        <w:r w:rsidR="00E16738">
          <w:rPr>
            <w:noProof/>
            <w:webHidden/>
          </w:rPr>
          <w:fldChar w:fldCharType="begin"/>
        </w:r>
        <w:r w:rsidR="00E16738">
          <w:rPr>
            <w:noProof/>
            <w:webHidden/>
          </w:rPr>
          <w:instrText xml:space="preserve"> PAGEREF _Toc393111075 \h </w:instrText>
        </w:r>
        <w:r w:rsidR="00E16738">
          <w:rPr>
            <w:noProof/>
            <w:webHidden/>
          </w:rPr>
        </w:r>
        <w:r w:rsidR="00E16738">
          <w:rPr>
            <w:noProof/>
            <w:webHidden/>
          </w:rPr>
          <w:fldChar w:fldCharType="separate"/>
        </w:r>
        <w:r w:rsidR="00E16738">
          <w:rPr>
            <w:noProof/>
            <w:webHidden/>
          </w:rPr>
          <w:t>74</w:t>
        </w:r>
        <w:r w:rsidR="00E16738">
          <w:rPr>
            <w:noProof/>
            <w:webHidden/>
          </w:rPr>
          <w:fldChar w:fldCharType="end"/>
        </w:r>
      </w:hyperlink>
    </w:p>
    <w:p w:rsidR="00E16738" w:rsidRDefault="000C510F">
      <w:pPr>
        <w:pStyle w:val="20"/>
        <w:tabs>
          <w:tab w:val="right" w:leader="dot" w:pos="8302"/>
        </w:tabs>
        <w:rPr>
          <w:rFonts w:asciiTheme="minorHAnsi" w:eastAsiaTheme="minorEastAsia" w:hAnsiTheme="minorHAnsi" w:cstheme="minorBidi"/>
          <w:noProof/>
          <w:sz w:val="22"/>
          <w:szCs w:val="22"/>
        </w:rPr>
      </w:pPr>
      <w:hyperlink w:anchor="_Toc393111076" w:history="1">
        <w:r w:rsidR="00E16738" w:rsidRPr="00DC48B3">
          <w:rPr>
            <w:rStyle w:val="-"/>
            <w:noProof/>
          </w:rPr>
          <w:t>Βιβλιογραφικές Αναφορές Κεφαλαίου</w:t>
        </w:r>
        <w:r w:rsidR="00E16738">
          <w:rPr>
            <w:noProof/>
            <w:webHidden/>
          </w:rPr>
          <w:tab/>
        </w:r>
        <w:r w:rsidR="00E16738">
          <w:rPr>
            <w:noProof/>
            <w:webHidden/>
          </w:rPr>
          <w:fldChar w:fldCharType="begin"/>
        </w:r>
        <w:r w:rsidR="00E16738">
          <w:rPr>
            <w:noProof/>
            <w:webHidden/>
          </w:rPr>
          <w:instrText xml:space="preserve"> PAGEREF _Toc393111076 \h </w:instrText>
        </w:r>
        <w:r w:rsidR="00E16738">
          <w:rPr>
            <w:noProof/>
            <w:webHidden/>
          </w:rPr>
        </w:r>
        <w:r w:rsidR="00E16738">
          <w:rPr>
            <w:noProof/>
            <w:webHidden/>
          </w:rPr>
          <w:fldChar w:fldCharType="separate"/>
        </w:r>
        <w:r w:rsidR="00E16738">
          <w:rPr>
            <w:noProof/>
            <w:webHidden/>
          </w:rPr>
          <w:t>76</w:t>
        </w:r>
        <w:r w:rsidR="00E16738">
          <w:rPr>
            <w:noProof/>
            <w:webHidden/>
          </w:rPr>
          <w:fldChar w:fldCharType="end"/>
        </w:r>
      </w:hyperlink>
    </w:p>
    <w:p w:rsidR="001672EE" w:rsidRPr="00390868" w:rsidRDefault="001672EE">
      <w:pPr>
        <w:pStyle w:val="1"/>
        <w:spacing w:before="0" w:after="0" w:line="360" w:lineRule="auto"/>
        <w:jc w:val="both"/>
        <w:rPr>
          <w:rFonts w:ascii="Times New Roman" w:hAnsi="Times New Roman" w:cs="Times New Roman"/>
        </w:rPr>
      </w:pPr>
      <w:r w:rsidRPr="00390868">
        <w:rPr>
          <w:rFonts w:ascii="Times New Roman" w:hAnsi="Times New Roman" w:cs="Times New Roman"/>
        </w:rPr>
        <w:fldChar w:fldCharType="end"/>
      </w:r>
      <w:bookmarkEnd w:id="0"/>
    </w:p>
    <w:p w:rsidR="00EC3DC9" w:rsidRPr="00EC3DC9" w:rsidRDefault="001672EE" w:rsidP="00294428">
      <w:pPr>
        <w:pStyle w:val="1"/>
        <w:spacing w:before="0" w:after="0" w:line="360" w:lineRule="auto"/>
        <w:jc w:val="both"/>
        <w:rPr>
          <w:rStyle w:val="hps"/>
          <w:color w:val="FF0000"/>
          <w:shd w:val="clear" w:color="auto" w:fill="FFFFFF"/>
        </w:rPr>
      </w:pPr>
      <w:r w:rsidRPr="00390868">
        <w:rPr>
          <w:rFonts w:ascii="Times New Roman" w:hAnsi="Times New Roman" w:cs="Times New Roman"/>
        </w:rPr>
        <w:br w:type="page"/>
      </w:r>
    </w:p>
    <w:p w:rsidR="00E16738" w:rsidRPr="00E16738" w:rsidRDefault="0040797E" w:rsidP="00E16738">
      <w:pPr>
        <w:pStyle w:val="1"/>
        <w:spacing w:before="0" w:after="0" w:line="360" w:lineRule="auto"/>
        <w:rPr>
          <w:rFonts w:ascii="Times New Roman" w:hAnsi="Times New Roman" w:cs="Times New Roman"/>
        </w:rPr>
      </w:pPr>
      <w:bookmarkStart w:id="1" w:name="_Toc393111058"/>
      <w:r w:rsidRPr="00390868">
        <w:rPr>
          <w:rFonts w:ascii="Times New Roman" w:hAnsi="Times New Roman" w:cs="Times New Roman"/>
        </w:rPr>
        <w:lastRenderedPageBreak/>
        <w:t xml:space="preserve">ΚΕΦΑΛΑΙΟ </w:t>
      </w:r>
      <w:r>
        <w:rPr>
          <w:rFonts w:ascii="Times New Roman" w:hAnsi="Times New Roman" w:cs="Times New Roman"/>
        </w:rPr>
        <w:t>4</w:t>
      </w:r>
      <w:bookmarkEnd w:id="1"/>
      <w:r w:rsidRPr="00390868">
        <w:rPr>
          <w:rFonts w:ascii="Times New Roman" w:hAnsi="Times New Roman" w:cs="Times New Roman"/>
        </w:rPr>
        <w:t xml:space="preserve"> </w:t>
      </w:r>
      <w:bookmarkStart w:id="2" w:name="_Toc393111059"/>
    </w:p>
    <w:p w:rsidR="0040797E" w:rsidRPr="003214B8" w:rsidRDefault="00527BAA" w:rsidP="00E16738">
      <w:pPr>
        <w:pStyle w:val="1"/>
        <w:spacing w:before="0" w:after="0" w:line="360" w:lineRule="auto"/>
        <w:rPr>
          <w:rFonts w:ascii="Times New Roman" w:hAnsi="Times New Roman" w:cs="Times New Roman"/>
          <w:sz w:val="28"/>
        </w:rPr>
      </w:pPr>
      <w:r>
        <w:rPr>
          <w:rFonts w:ascii="Times New Roman" w:hAnsi="Times New Roman" w:cs="Times New Roman"/>
        </w:rPr>
        <w:t>Η ΧΡΗΜΑΤΑΓΟΡΑ ΚΑΙ ΤΟ ΤΡΑΠΕΖΙΚΟ</w:t>
      </w:r>
      <w:r w:rsidR="00117FAD" w:rsidRPr="00460FE5">
        <w:rPr>
          <w:rFonts w:ascii="Times New Roman" w:hAnsi="Times New Roman" w:cs="Times New Roman"/>
        </w:rPr>
        <w:t xml:space="preserve"> ΣΥΣΤΗΜ</w:t>
      </w:r>
      <w:r>
        <w:rPr>
          <w:rFonts w:ascii="Times New Roman" w:hAnsi="Times New Roman" w:cs="Times New Roman"/>
        </w:rPr>
        <w:t>Α</w:t>
      </w:r>
      <w:bookmarkEnd w:id="2"/>
    </w:p>
    <w:p w:rsidR="0040797E" w:rsidRPr="00390868" w:rsidRDefault="0040797E" w:rsidP="0040797E">
      <w:pPr>
        <w:spacing w:line="360" w:lineRule="auto"/>
        <w:ind w:firstLine="720"/>
        <w:jc w:val="both"/>
        <w:rPr>
          <w:rFonts w:eastAsia="Batang"/>
        </w:rPr>
      </w:pPr>
    </w:p>
    <w:p w:rsidR="0040797E" w:rsidRPr="009A022B" w:rsidRDefault="0040797E" w:rsidP="0040797E">
      <w:pPr>
        <w:pStyle w:val="2"/>
        <w:spacing w:before="0" w:after="0" w:line="360" w:lineRule="auto"/>
        <w:jc w:val="both"/>
        <w:rPr>
          <w:rFonts w:ascii="Times New Roman" w:eastAsia="Batang" w:hAnsi="Times New Roman" w:cs="Times New Roman"/>
          <w:i w:val="0"/>
        </w:rPr>
      </w:pPr>
      <w:bookmarkStart w:id="3" w:name="_Toc393111060"/>
      <w:r>
        <w:rPr>
          <w:rFonts w:ascii="Times New Roman" w:hAnsi="Times New Roman" w:cs="Times New Roman"/>
          <w:i w:val="0"/>
        </w:rPr>
        <w:t>4</w:t>
      </w:r>
      <w:r w:rsidRPr="00390868">
        <w:rPr>
          <w:rFonts w:ascii="Times New Roman" w:hAnsi="Times New Roman" w:cs="Times New Roman"/>
          <w:i w:val="0"/>
        </w:rPr>
        <w:t xml:space="preserve">.1 </w:t>
      </w:r>
      <w:r w:rsidR="009A022B">
        <w:rPr>
          <w:rFonts w:ascii="Times New Roman" w:eastAsia="Batang" w:hAnsi="Times New Roman" w:cs="Times New Roman"/>
          <w:i w:val="0"/>
        </w:rPr>
        <w:t xml:space="preserve">Ο ρόλος του </w:t>
      </w:r>
      <w:r w:rsidR="00527BAA">
        <w:rPr>
          <w:rFonts w:ascii="Times New Roman" w:eastAsia="Batang" w:hAnsi="Times New Roman" w:cs="Times New Roman"/>
          <w:i w:val="0"/>
        </w:rPr>
        <w:t>χρηματοπιστωτικού</w:t>
      </w:r>
      <w:r w:rsidR="009A022B">
        <w:rPr>
          <w:rFonts w:ascii="Times New Roman" w:eastAsia="Batang" w:hAnsi="Times New Roman" w:cs="Times New Roman"/>
          <w:i w:val="0"/>
        </w:rPr>
        <w:t xml:space="preserve"> συστήματος στην οικονομία</w:t>
      </w:r>
      <w:bookmarkEnd w:id="3"/>
    </w:p>
    <w:p w:rsidR="00597721" w:rsidRPr="00597721" w:rsidRDefault="00597721" w:rsidP="00597721">
      <w:pPr>
        <w:spacing w:line="360" w:lineRule="auto"/>
        <w:ind w:firstLine="720"/>
        <w:jc w:val="both"/>
        <w:rPr>
          <w:rFonts w:eastAsia="Calibri"/>
          <w:lang w:eastAsia="en-US"/>
        </w:rPr>
      </w:pPr>
      <w:r w:rsidRPr="00754609">
        <w:rPr>
          <w:rFonts w:eastAsia="Calibri"/>
          <w:bCs/>
          <w:lang w:eastAsia="en-US"/>
        </w:rPr>
        <w:t>Το χρηματοπιστωτικό σύστημα α</w:t>
      </w:r>
      <w:r w:rsidR="004F2806" w:rsidRPr="00754609">
        <w:rPr>
          <w:rFonts w:eastAsia="Calibri"/>
          <w:bCs/>
          <w:lang w:eastAsia="en-US"/>
        </w:rPr>
        <w:t>ποτελείται</w:t>
      </w:r>
      <w:r w:rsidRPr="00754609">
        <w:rPr>
          <w:rFonts w:eastAsia="Calibri"/>
          <w:bCs/>
          <w:lang w:eastAsia="en-US"/>
        </w:rPr>
        <w:t xml:space="preserve"> </w:t>
      </w:r>
      <w:r w:rsidR="00976BC4" w:rsidRPr="00754609">
        <w:rPr>
          <w:rFonts w:eastAsia="Calibri"/>
          <w:bCs/>
          <w:lang w:eastAsia="en-US"/>
        </w:rPr>
        <w:t>από</w:t>
      </w:r>
      <w:r w:rsidR="00976BC4">
        <w:rPr>
          <w:rFonts w:eastAsia="Calibri"/>
          <w:b/>
          <w:bCs/>
          <w:lang w:eastAsia="en-US"/>
        </w:rPr>
        <w:t xml:space="preserve"> </w:t>
      </w:r>
      <w:r w:rsidR="004F2806">
        <w:rPr>
          <w:rFonts w:eastAsia="Calibri"/>
          <w:lang w:eastAsia="en-US"/>
        </w:rPr>
        <w:t>θ</w:t>
      </w:r>
      <w:r>
        <w:rPr>
          <w:rFonts w:eastAsia="Calibri"/>
          <w:lang w:eastAsia="en-US"/>
        </w:rPr>
        <w:t>εσμούς, οργανισμούς και α</w:t>
      </w:r>
      <w:r w:rsidRPr="00597721">
        <w:rPr>
          <w:rFonts w:eastAsia="Calibri"/>
          <w:lang w:eastAsia="en-US"/>
        </w:rPr>
        <w:t>γορές.</w:t>
      </w:r>
      <w:r>
        <w:rPr>
          <w:rFonts w:eastAsia="Calibri"/>
          <w:lang w:eastAsia="en-US"/>
        </w:rPr>
        <w:t xml:space="preserve"> </w:t>
      </w:r>
      <w:r w:rsidRPr="00597721">
        <w:rPr>
          <w:rFonts w:eastAsia="Calibri"/>
          <w:lang w:eastAsia="en-US"/>
        </w:rPr>
        <w:t xml:space="preserve">Η κύρια λειτουργία ενός χρηματοπιστωτικού συστήματος, είναι η διαμεσολάβηση μεταξύ πλεονασματικών και ελλειμματικών οικονομικών μονάδων. </w:t>
      </w:r>
      <w:r>
        <w:rPr>
          <w:rFonts w:eastAsia="Calibri"/>
          <w:lang w:eastAsia="en-US"/>
        </w:rPr>
        <w:t>Με βασικό στόχο την ο</w:t>
      </w:r>
      <w:r w:rsidRPr="00597721">
        <w:rPr>
          <w:rFonts w:eastAsia="Calibri"/>
          <w:lang w:eastAsia="en-US"/>
        </w:rPr>
        <w:t>ρθολογική κατανομή κεφαλαίων</w:t>
      </w:r>
      <w:r>
        <w:rPr>
          <w:rFonts w:eastAsia="Calibri"/>
          <w:lang w:eastAsia="en-US"/>
        </w:rPr>
        <w:t xml:space="preserve"> από τις λιγότερο παραγωγικές στις περισσότερο παραγωγικές οικονομικές μονάδες, μειώνοντας ταυτόχρονα τον κίνδυνο και το κόστος των συναλλαγών γενικότερα.</w:t>
      </w:r>
    </w:p>
    <w:p w:rsidR="0023719B" w:rsidRDefault="004F2806" w:rsidP="004F2806">
      <w:pPr>
        <w:spacing w:line="360" w:lineRule="auto"/>
        <w:ind w:firstLine="720"/>
        <w:jc w:val="both"/>
        <w:rPr>
          <w:rFonts w:eastAsia="Calibri"/>
          <w:lang w:eastAsia="en-US"/>
        </w:rPr>
      </w:pPr>
      <w:r>
        <w:rPr>
          <w:rFonts w:eastAsia="Calibri"/>
          <w:lang w:eastAsia="en-US"/>
        </w:rPr>
        <w:t>Η χρηματοδότηση των επιχειρ</w:t>
      </w:r>
      <w:r w:rsidR="00976BC4">
        <w:rPr>
          <w:rFonts w:eastAsia="Calibri"/>
          <w:lang w:eastAsia="en-US"/>
        </w:rPr>
        <w:t xml:space="preserve">ήσεων </w:t>
      </w:r>
      <w:r>
        <w:rPr>
          <w:rFonts w:eastAsia="Calibri"/>
          <w:lang w:eastAsia="en-US"/>
        </w:rPr>
        <w:t>μπορεί να γίνει με δύο τρόπους είτε άμεσα μέσω των αγορών</w:t>
      </w:r>
      <w:r w:rsidR="00976BC4">
        <w:rPr>
          <w:rFonts w:eastAsia="Calibri"/>
          <w:lang w:eastAsia="en-US"/>
        </w:rPr>
        <w:t xml:space="preserve"> είτε έμμεσα μέσω των ενδιάμεσων χρηματοπιστωτικών οργανισμών</w:t>
      </w:r>
      <w:r>
        <w:rPr>
          <w:rFonts w:eastAsia="Calibri"/>
          <w:lang w:eastAsia="en-US"/>
        </w:rPr>
        <w:t xml:space="preserve">. </w:t>
      </w:r>
      <w:r w:rsidR="00754609">
        <w:rPr>
          <w:rFonts w:eastAsia="Calibri"/>
          <w:lang w:eastAsia="en-US"/>
        </w:rPr>
        <w:t>Ο</w:t>
      </w:r>
      <w:r>
        <w:rPr>
          <w:rFonts w:eastAsia="Calibri"/>
          <w:lang w:eastAsia="en-US"/>
        </w:rPr>
        <w:t>ι επιχειρήσεις (συνήθως ελλειμματικές μονάδες) εκδίδουν τίτλους τους οποίους πωλούν στο χρηματιστήριο για την άμεση χρηματοδότηση των επενδύσεων τους από τις πλε</w:t>
      </w:r>
      <w:r w:rsidR="00754609">
        <w:rPr>
          <w:rFonts w:eastAsia="Calibri"/>
          <w:lang w:eastAsia="en-US"/>
        </w:rPr>
        <w:t>ονασματικές οικονομικές μονάδες</w:t>
      </w:r>
      <w:r>
        <w:rPr>
          <w:rFonts w:eastAsia="Calibri"/>
          <w:lang w:eastAsia="en-US"/>
        </w:rPr>
        <w:t xml:space="preserve">. Ανάλογα με το εάν αυτοί οι τίτλοι έχουν βραχυπρόθεσμη ή μακροπρόθεσμη διάρκεια κάνουμε αντίστοιχα την διάκριση μεταξύ χρηματαγοράς και κεφαλαιαγοράς. Εδώ επίσης θα πρέπει να τονίσουμε μια ακόμα σημαντική διάκριση των αγορών σε πρωτογενείς και δευτερογενείς αγορές. Η πρωτογενής αγορά έχει να κάνει με την εισαγωγή τίτλων για πρώτη φορά στο χρηματιστήριο. Μια νέα έκδοση τίτλων ή άντληση κεφαλαίων μέσω αύξησης μετοχικών κεφαλαίων αποτελούν κλασσικά παραδείγματα. Ενώ η λεγόμενη δευτερογενής αγορά έχει να κάνει με την αγοροπωλησία τίτλων ήδη εισηγμένων στο χρηματιστήριο.  </w:t>
      </w:r>
    </w:p>
    <w:p w:rsidR="00A5176B" w:rsidRPr="0082004F" w:rsidRDefault="00627979" w:rsidP="00A5176B">
      <w:pPr>
        <w:spacing w:line="360" w:lineRule="auto"/>
        <w:ind w:firstLine="720"/>
        <w:jc w:val="both"/>
        <w:rPr>
          <w:rFonts w:eastAsia="Calibri"/>
          <w:lang w:eastAsia="en-US"/>
        </w:rPr>
      </w:pPr>
      <w:r>
        <w:rPr>
          <w:rFonts w:eastAsia="Calibri"/>
          <w:lang w:eastAsia="en-US"/>
        </w:rPr>
        <w:t>Από την άλλη η χρηματοδότηση των επιχειρήσεων μπορεί να επιτευχθεί μέσω δανεισμού από τους ενδιάμεσους χρηματοπιστωτικούς οργανισμούς όπως φαίνεται στο ακόλουθο γράφημα.</w:t>
      </w:r>
      <w:r w:rsidR="00A5176B">
        <w:rPr>
          <w:rFonts w:eastAsia="Calibri"/>
          <w:lang w:eastAsia="en-US"/>
        </w:rPr>
        <w:t xml:space="preserve"> Οι τράπεζες για παράδειγμα δέχονται καταθέσεις τις οποίες στην συνέχεια τις διοχετεύουν σε δάνεια των επιχειρήσεων ή και των ιδιωτών συμβάλλοντας στην αποτελεσματική κατανομή των πόρων και την βελτίωση της κοινωνικής ευημερίας. Αυτό γίνεται καλύτερα αντιληπτό μέσα από το ακόλουθο παράδειγμα. Έστω </w:t>
      </w:r>
      <w:r w:rsidR="00A5176B" w:rsidRPr="0082004F">
        <w:rPr>
          <w:rFonts w:eastAsia="Calibri"/>
          <w:lang w:eastAsia="en-US"/>
        </w:rPr>
        <w:t>ότι κάποιος α</w:t>
      </w:r>
      <w:r w:rsidR="00A5176B" w:rsidRPr="0082004F">
        <w:rPr>
          <w:rFonts w:eastAsia="Calibri"/>
          <w:bCs/>
          <w:lang w:eastAsia="en-US"/>
        </w:rPr>
        <w:t xml:space="preserve">ποταμίευσε 1000 Ευρώ και δεν υπάρχει χρηματοπιστωτικό σύστημα. Ο γείτονας του από την άλλη ανακάλυψε μια νέα τεχνολογία που θα αυξήσει την παραγωγή του και θα του αποφέρει  έσοδα 1200 ευρώ </w:t>
      </w:r>
      <w:r w:rsidR="00A5176B" w:rsidRPr="0082004F">
        <w:rPr>
          <w:rFonts w:eastAsia="Calibri"/>
          <w:bCs/>
          <w:lang w:eastAsia="en-US"/>
        </w:rPr>
        <w:lastRenderedPageBreak/>
        <w:t>τον επόμενο χρόνο. Δεν έχει όμως τα απαιτούμενα κεφάλαια των 1000 ευρώ για την επένδυση. Αν του δάνειζε λοιπόν ό γείτονας του 1000 ευρώ και αυτός δε</w:t>
      </w:r>
      <w:r w:rsidR="00754609">
        <w:rPr>
          <w:rFonts w:eastAsia="Calibri"/>
          <w:bCs/>
          <w:lang w:eastAsia="en-US"/>
        </w:rPr>
        <w:t>χόταν να επιστρέψει πίσω σε αυτό</w:t>
      </w:r>
      <w:r w:rsidR="00A5176B" w:rsidRPr="0082004F">
        <w:rPr>
          <w:rFonts w:eastAsia="Calibri"/>
          <w:bCs/>
          <w:lang w:eastAsia="en-US"/>
        </w:rPr>
        <w:t>ν 1100 ευρώ το επόμενο έτος</w:t>
      </w:r>
      <w:r w:rsidR="00754609">
        <w:rPr>
          <w:rFonts w:eastAsia="Calibri"/>
          <w:bCs/>
          <w:lang w:eastAsia="en-US"/>
        </w:rPr>
        <w:t>, τ</w:t>
      </w:r>
      <w:r w:rsidR="00A5176B" w:rsidRPr="0082004F">
        <w:rPr>
          <w:rFonts w:eastAsia="Calibri"/>
          <w:bCs/>
          <w:lang w:eastAsia="en-US"/>
        </w:rPr>
        <w:t>ότε και οι δύο θα έβγαιναν ωφελημένοι κατά  100 ευρώ ο καθένας από την αποτελεσμα</w:t>
      </w:r>
      <w:r w:rsidR="00754609">
        <w:rPr>
          <w:rFonts w:eastAsia="Calibri"/>
          <w:bCs/>
          <w:lang w:eastAsia="en-US"/>
        </w:rPr>
        <w:t xml:space="preserve">τική χρήση αυτών των κεφαλαίων </w:t>
      </w:r>
      <w:r w:rsidR="00A5176B" w:rsidRPr="0082004F">
        <w:rPr>
          <w:rFonts w:eastAsia="Calibri"/>
          <w:bCs/>
          <w:lang w:eastAsia="en-US"/>
        </w:rPr>
        <w:t>(</w:t>
      </w:r>
      <w:r w:rsidR="00A5176B" w:rsidRPr="0082004F">
        <w:rPr>
          <w:rFonts w:eastAsia="Calibri"/>
          <w:bCs/>
          <w:lang w:val="en-US" w:eastAsia="en-US"/>
        </w:rPr>
        <w:t>Asset</w:t>
      </w:r>
      <w:r w:rsidR="00A5176B" w:rsidRPr="0082004F">
        <w:rPr>
          <w:rFonts w:eastAsia="Calibri"/>
          <w:bCs/>
          <w:lang w:eastAsia="en-US"/>
        </w:rPr>
        <w:t xml:space="preserve"> </w:t>
      </w:r>
      <w:r w:rsidR="00A5176B" w:rsidRPr="0082004F">
        <w:rPr>
          <w:rFonts w:eastAsia="Calibri"/>
          <w:bCs/>
          <w:lang w:val="en-US" w:eastAsia="en-US"/>
        </w:rPr>
        <w:t>allocation</w:t>
      </w:r>
      <w:r w:rsidR="00A5176B" w:rsidRPr="0082004F">
        <w:rPr>
          <w:rFonts w:eastAsia="Calibri"/>
          <w:bCs/>
          <w:lang w:eastAsia="en-US"/>
        </w:rPr>
        <w:t xml:space="preserve"> </w:t>
      </w:r>
      <w:r w:rsidR="00A5176B" w:rsidRPr="0082004F">
        <w:rPr>
          <w:rFonts w:eastAsia="Calibri"/>
          <w:bCs/>
          <w:lang w:val="en-US" w:eastAsia="en-US"/>
        </w:rPr>
        <w:t>efficiency</w:t>
      </w:r>
      <w:r w:rsidR="00A5176B" w:rsidRPr="0082004F">
        <w:rPr>
          <w:rFonts w:eastAsia="Calibri"/>
          <w:bCs/>
          <w:lang w:eastAsia="en-US"/>
        </w:rPr>
        <w:t>).</w:t>
      </w:r>
    </w:p>
    <w:p w:rsidR="00627979" w:rsidRPr="000C510F" w:rsidRDefault="00627979" w:rsidP="00627979">
      <w:pPr>
        <w:spacing w:line="360" w:lineRule="auto"/>
        <w:ind w:firstLine="720"/>
        <w:jc w:val="both"/>
        <w:rPr>
          <w:rFonts w:eastAsia="Calibri"/>
          <w:bCs/>
          <w:lang w:eastAsia="en-US"/>
        </w:rPr>
      </w:pPr>
      <w:r w:rsidRPr="0082004F">
        <w:rPr>
          <w:rFonts w:eastAsia="Calibri"/>
          <w:bCs/>
          <w:lang w:eastAsia="en-US"/>
        </w:rPr>
        <w:t xml:space="preserve">Το χρηματοπιστωτικό </w:t>
      </w:r>
      <w:r w:rsidR="0082004F" w:rsidRPr="0082004F">
        <w:rPr>
          <w:rFonts w:eastAsia="Calibri"/>
          <w:bCs/>
          <w:lang w:eastAsia="en-US"/>
        </w:rPr>
        <w:t>σύστημα</w:t>
      </w:r>
      <w:r w:rsidRPr="0082004F">
        <w:rPr>
          <w:rFonts w:eastAsia="Calibri"/>
          <w:bCs/>
          <w:lang w:eastAsia="en-US"/>
        </w:rPr>
        <w:t xml:space="preserve"> παρέ</w:t>
      </w:r>
      <w:r w:rsidR="00A5176B" w:rsidRPr="0082004F">
        <w:rPr>
          <w:rFonts w:eastAsia="Calibri"/>
          <w:bCs/>
          <w:lang w:eastAsia="en-US"/>
        </w:rPr>
        <w:t>χει την δυνατότητα να δανειστεί κάποιος</w:t>
      </w:r>
      <w:r w:rsidRPr="0082004F">
        <w:rPr>
          <w:rFonts w:eastAsia="Calibri"/>
          <w:bCs/>
          <w:lang w:eastAsia="en-US"/>
        </w:rPr>
        <w:t xml:space="preserve"> από το μελλοντικό</w:t>
      </w:r>
      <w:r w:rsidR="00A5176B" w:rsidRPr="0082004F">
        <w:rPr>
          <w:rFonts w:eastAsia="Calibri"/>
          <w:bCs/>
          <w:lang w:eastAsia="en-US"/>
        </w:rPr>
        <w:t xml:space="preserve"> του</w:t>
      </w:r>
      <w:r w:rsidRPr="0082004F">
        <w:rPr>
          <w:rFonts w:eastAsia="Calibri"/>
          <w:bCs/>
          <w:lang w:eastAsia="en-US"/>
        </w:rPr>
        <w:t xml:space="preserve"> εισό</w:t>
      </w:r>
      <w:r w:rsidR="00A5176B" w:rsidRPr="0082004F">
        <w:rPr>
          <w:rFonts w:eastAsia="Calibri"/>
          <w:bCs/>
          <w:lang w:eastAsia="en-US"/>
        </w:rPr>
        <w:t>δημα προκειμένου να καταναλώσει</w:t>
      </w:r>
      <w:r w:rsidRPr="0082004F">
        <w:rPr>
          <w:rFonts w:eastAsia="Calibri"/>
          <w:bCs/>
          <w:lang w:eastAsia="en-US"/>
        </w:rPr>
        <w:t xml:space="preserve">. Δεν θα </w:t>
      </w:r>
      <w:r w:rsidR="00A5176B" w:rsidRPr="0082004F">
        <w:rPr>
          <w:rFonts w:eastAsia="Calibri"/>
          <w:bCs/>
          <w:lang w:eastAsia="en-US"/>
        </w:rPr>
        <w:t>μπορούσε να αγοράσει</w:t>
      </w:r>
      <w:r w:rsidRPr="0082004F">
        <w:rPr>
          <w:rFonts w:eastAsia="Calibri"/>
          <w:bCs/>
          <w:lang w:eastAsia="en-US"/>
        </w:rPr>
        <w:t xml:space="preserve"> αυτοκίνητο ή σπίτι στα 2</w:t>
      </w:r>
      <w:r w:rsidR="00754609">
        <w:rPr>
          <w:rFonts w:eastAsia="Calibri"/>
          <w:bCs/>
          <w:lang w:eastAsia="en-US"/>
        </w:rPr>
        <w:t>4</w:t>
      </w:r>
      <w:r w:rsidR="00A5176B" w:rsidRPr="0082004F">
        <w:rPr>
          <w:rFonts w:eastAsia="Calibri"/>
          <w:bCs/>
          <w:lang w:eastAsia="en-US"/>
        </w:rPr>
        <w:t xml:space="preserve"> τ</w:t>
      </w:r>
      <w:r w:rsidRPr="0082004F">
        <w:rPr>
          <w:rFonts w:eastAsia="Calibri"/>
          <w:bCs/>
          <w:lang w:eastAsia="en-US"/>
        </w:rPr>
        <w:t>ου</w:t>
      </w:r>
      <w:r w:rsidR="00A5176B" w:rsidRPr="0082004F">
        <w:rPr>
          <w:rFonts w:eastAsia="Calibri"/>
          <w:bCs/>
          <w:lang w:eastAsia="en-US"/>
        </w:rPr>
        <w:t>. Συμβάλλει έτσι στην άνοδος της κοινωνικής ε</w:t>
      </w:r>
      <w:r w:rsidRPr="0082004F">
        <w:rPr>
          <w:rFonts w:eastAsia="Calibri"/>
          <w:bCs/>
          <w:lang w:eastAsia="en-US"/>
        </w:rPr>
        <w:t>υημερίας</w:t>
      </w:r>
      <w:r w:rsidR="0082004F" w:rsidRPr="0082004F">
        <w:rPr>
          <w:rFonts w:eastAsia="Calibri"/>
          <w:bCs/>
          <w:lang w:eastAsia="en-US"/>
        </w:rPr>
        <w:t>.</w:t>
      </w:r>
    </w:p>
    <w:p w:rsidR="00E16738" w:rsidRPr="000C510F" w:rsidRDefault="00E16738" w:rsidP="00627979">
      <w:pPr>
        <w:spacing w:line="360" w:lineRule="auto"/>
        <w:ind w:firstLine="720"/>
        <w:jc w:val="both"/>
        <w:rPr>
          <w:rFonts w:eastAsia="Calibri"/>
          <w:lang w:eastAsia="en-US"/>
        </w:rPr>
      </w:pPr>
    </w:p>
    <w:p w:rsidR="00627979" w:rsidRPr="0082004F" w:rsidRDefault="00DD7A3D" w:rsidP="00E16738">
      <w:pPr>
        <w:ind w:firstLine="720"/>
        <w:jc w:val="center"/>
        <w:rPr>
          <w:rFonts w:eastAsia="Calibri"/>
          <w:lang w:eastAsia="en-US"/>
        </w:rPr>
      </w:pPr>
      <w:r w:rsidRPr="00DD7A3D">
        <w:rPr>
          <w:rFonts w:eastAsia="Calibri"/>
          <w:b/>
          <w:lang w:eastAsia="en-US"/>
        </w:rPr>
        <w:t xml:space="preserve">Γράφημα </w:t>
      </w:r>
      <w:r w:rsidR="00674678">
        <w:rPr>
          <w:rFonts w:eastAsia="Calibri"/>
          <w:b/>
          <w:lang w:eastAsia="en-US"/>
        </w:rPr>
        <w:t xml:space="preserve">4.1 </w:t>
      </w:r>
      <w:r>
        <w:rPr>
          <w:rFonts w:eastAsia="Calibri"/>
          <w:lang w:eastAsia="en-US"/>
        </w:rPr>
        <w:t xml:space="preserve"> Άμεση έναντι έμμεσης χρηματοδότησης</w:t>
      </w:r>
    </w:p>
    <w:p w:rsidR="00754609" w:rsidRDefault="0023719B" w:rsidP="00754609">
      <w:pPr>
        <w:jc w:val="center"/>
        <w:rPr>
          <w:rFonts w:ascii="Arial" w:eastAsia="Calibri" w:hAnsi="Arial" w:cs="Arial"/>
          <w:i/>
          <w:color w:val="000000"/>
          <w:sz w:val="18"/>
          <w:szCs w:val="18"/>
          <w:lang w:eastAsia="en-US"/>
        </w:rPr>
      </w:pPr>
      <w:r w:rsidRPr="0082004F">
        <w:rPr>
          <w:rFonts w:ascii="Arial" w:eastAsia="Calibri" w:hAnsi="Arial" w:cs="Arial"/>
          <w:noProof/>
        </w:rPr>
        <w:drawing>
          <wp:inline distT="0" distB="0" distL="0" distR="0" wp14:anchorId="1EFEFA68" wp14:editId="36D91C4F">
            <wp:extent cx="5063319" cy="2501920"/>
            <wp:effectExtent l="19050" t="19050" r="23495" b="12700"/>
            <wp:docPr id="78874" name="Εικόνα 7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9">
                      <a:extLst>
                        <a:ext uri="{28A0092B-C50C-407E-A947-70E740481C1C}">
                          <a14:useLocalDpi xmlns:a14="http://schemas.microsoft.com/office/drawing/2010/main" val="0"/>
                        </a:ext>
                      </a:extLst>
                    </a:blip>
                    <a:srcRect t="11450"/>
                    <a:stretch/>
                  </pic:blipFill>
                  <pic:spPr bwMode="auto">
                    <a:xfrm>
                      <a:off x="0" y="0"/>
                      <a:ext cx="5066935" cy="25037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3719B" w:rsidRPr="00E16738" w:rsidRDefault="00E16738" w:rsidP="00E16738">
      <w:pPr>
        <w:spacing w:line="360" w:lineRule="auto"/>
        <w:jc w:val="both"/>
        <w:rPr>
          <w:rFonts w:eastAsia="Calibri"/>
          <w:bCs/>
          <w:sz w:val="22"/>
          <w:szCs w:val="22"/>
          <w:lang w:eastAsia="en-US"/>
        </w:rPr>
      </w:pPr>
      <w:r w:rsidRPr="000C510F">
        <w:rPr>
          <w:rFonts w:eastAsia="Calibri"/>
          <w:b/>
          <w:bCs/>
          <w:sz w:val="22"/>
          <w:szCs w:val="22"/>
          <w:lang w:eastAsia="en-US"/>
        </w:rPr>
        <w:t xml:space="preserve">   </w:t>
      </w:r>
      <w:r w:rsidR="00754609" w:rsidRPr="00E16738">
        <w:rPr>
          <w:rFonts w:eastAsia="Calibri"/>
          <w:b/>
          <w:bCs/>
          <w:sz w:val="22"/>
          <w:szCs w:val="22"/>
          <w:lang w:eastAsia="en-US"/>
        </w:rPr>
        <w:t>Πηγή:</w:t>
      </w:r>
      <w:r w:rsidR="00754609" w:rsidRPr="00E16738">
        <w:rPr>
          <w:rFonts w:eastAsia="Calibri"/>
          <w:bCs/>
          <w:sz w:val="22"/>
          <w:szCs w:val="22"/>
          <w:lang w:eastAsia="en-US"/>
        </w:rPr>
        <w:t xml:space="preserve"> </w:t>
      </w:r>
      <w:hyperlink r:id="rId10" w:history="1">
        <w:r w:rsidR="0023719B" w:rsidRPr="00E16738">
          <w:rPr>
            <w:rFonts w:eastAsia="Calibri"/>
            <w:bCs/>
            <w:sz w:val="22"/>
            <w:szCs w:val="22"/>
            <w:lang w:eastAsia="en-US"/>
          </w:rPr>
          <w:t>www.ecb.int</w:t>
        </w:r>
      </w:hyperlink>
    </w:p>
    <w:p w:rsidR="0023719B" w:rsidRPr="00F10F20" w:rsidRDefault="0023719B" w:rsidP="00754609">
      <w:pPr>
        <w:spacing w:before="240" w:line="360" w:lineRule="auto"/>
        <w:ind w:firstLine="720"/>
        <w:jc w:val="both"/>
        <w:rPr>
          <w:rFonts w:eastAsia="Calibri"/>
          <w:lang w:eastAsia="en-US"/>
        </w:rPr>
      </w:pPr>
      <w:r w:rsidRPr="00F10F20">
        <w:rPr>
          <w:rFonts w:eastAsia="Calibri"/>
          <w:lang w:eastAsia="en-US"/>
        </w:rPr>
        <w:t>Για την προστασία του χρηματοπιστωτικού συστήματος και τη διασφάλιση της χρηματοπιστωτικής σταθερότητας, θα πρέπει να εντοπίζονται οι κύριες πηγές κινδύνων και αδυναμιών, ενώ όλοι οι σχετικοί φορείς, όπως τα χρηματοπιστωτικά ιδρύματα και οι εποπτικές αρχές, θα πρέπει να ενημερώνονται για τους κινδύνους.</w:t>
      </w:r>
      <w:r w:rsidR="0082004F" w:rsidRPr="00F10F20">
        <w:rPr>
          <w:rFonts w:eastAsia="Calibri"/>
          <w:lang w:eastAsia="en-US"/>
        </w:rPr>
        <w:t xml:space="preserve"> Στους ενδιάμεσους χρηματοπιστωτικούς οργανισμούς </w:t>
      </w:r>
      <w:r w:rsidRPr="00F10F20">
        <w:rPr>
          <w:rFonts w:eastAsia="Calibri"/>
          <w:lang w:eastAsia="en-US"/>
        </w:rPr>
        <w:t>περιλαμβάνονται:</w:t>
      </w:r>
    </w:p>
    <w:p w:rsidR="0023719B" w:rsidRPr="00F10F20" w:rsidRDefault="0023719B" w:rsidP="002E12D2">
      <w:pPr>
        <w:pStyle w:val="ae"/>
        <w:numPr>
          <w:ilvl w:val="0"/>
          <w:numId w:val="11"/>
        </w:numPr>
        <w:spacing w:line="360" w:lineRule="auto"/>
        <w:jc w:val="both"/>
        <w:rPr>
          <w:rFonts w:eastAsia="Calibri"/>
          <w:lang w:eastAsia="en-US"/>
        </w:rPr>
      </w:pPr>
      <w:r w:rsidRPr="00F10F20">
        <w:rPr>
          <w:rFonts w:eastAsia="Calibri"/>
          <w:lang w:eastAsia="en-US"/>
        </w:rPr>
        <w:t xml:space="preserve">Τα πιστωτικά ιδρύματα, δηλ. </w:t>
      </w:r>
      <w:r w:rsidR="0082004F" w:rsidRPr="00F10F20">
        <w:rPr>
          <w:rFonts w:eastAsia="Calibri"/>
          <w:lang w:eastAsia="en-US"/>
        </w:rPr>
        <w:t>εγχώριες</w:t>
      </w:r>
      <w:r w:rsidRPr="00F10F20">
        <w:rPr>
          <w:rFonts w:eastAsia="Calibri"/>
          <w:lang w:eastAsia="en-US"/>
        </w:rPr>
        <w:t xml:space="preserve"> εμπορικές τράπεζες, υποκαταστήματα ξένων τραπεζών, συνεταιριστικές τράπεζες και ειδικοί πιστωτικοί οργανισμοί.</w:t>
      </w:r>
    </w:p>
    <w:p w:rsidR="0023719B" w:rsidRPr="00F10F20" w:rsidRDefault="0023719B" w:rsidP="002E12D2">
      <w:pPr>
        <w:pStyle w:val="ae"/>
        <w:numPr>
          <w:ilvl w:val="0"/>
          <w:numId w:val="11"/>
        </w:numPr>
        <w:spacing w:line="360" w:lineRule="auto"/>
        <w:jc w:val="both"/>
        <w:rPr>
          <w:rFonts w:eastAsia="Calibri"/>
          <w:lang w:eastAsia="en-US"/>
        </w:rPr>
      </w:pPr>
      <w:r w:rsidRPr="00F10F20">
        <w:rPr>
          <w:rFonts w:eastAsia="Calibri"/>
          <w:lang w:eastAsia="en-US"/>
        </w:rPr>
        <w:t>Οι θεσμικοί επενδυτές, δηλ. ασφαλιστικές εταιρίες, φορείς κοινωνικής ασφάλισης και οργανισμοί συλλογικών επενδύσεων σε κινητές αξίες.</w:t>
      </w:r>
    </w:p>
    <w:p w:rsidR="0023719B" w:rsidRPr="00F10F20" w:rsidRDefault="0023719B" w:rsidP="002E12D2">
      <w:pPr>
        <w:pStyle w:val="ae"/>
        <w:numPr>
          <w:ilvl w:val="0"/>
          <w:numId w:val="11"/>
        </w:numPr>
        <w:spacing w:line="360" w:lineRule="auto"/>
        <w:jc w:val="both"/>
        <w:rPr>
          <w:rFonts w:eastAsia="Calibri"/>
          <w:lang w:eastAsia="en-US"/>
        </w:rPr>
      </w:pPr>
      <w:r w:rsidRPr="00F10F20">
        <w:rPr>
          <w:rFonts w:eastAsia="Calibri"/>
          <w:lang w:eastAsia="en-US"/>
        </w:rPr>
        <w:lastRenderedPageBreak/>
        <w:t>Οι λοιπές μη τραπεζικές επιχειρήσεις, δηλ. χρηματιστηριακές εταιρίες, εταιρίες χρηματοδοτικής μίσθωσης (</w:t>
      </w:r>
      <w:proofErr w:type="spellStart"/>
      <w:r w:rsidRPr="00F10F20">
        <w:rPr>
          <w:rFonts w:eastAsia="Calibri"/>
          <w:lang w:eastAsia="en-US"/>
        </w:rPr>
        <w:t>leasing</w:t>
      </w:r>
      <w:proofErr w:type="spellEnd"/>
      <w:r w:rsidRPr="00F10F20">
        <w:rPr>
          <w:rFonts w:eastAsia="Calibri"/>
          <w:lang w:eastAsia="en-US"/>
        </w:rPr>
        <w:t>), εταιρίες πρακτόρευσης απαιτήσεων (</w:t>
      </w:r>
      <w:proofErr w:type="spellStart"/>
      <w:r w:rsidRPr="00F10F20">
        <w:rPr>
          <w:rFonts w:eastAsia="Calibri"/>
          <w:lang w:eastAsia="en-US"/>
        </w:rPr>
        <w:t>factoring</w:t>
      </w:r>
      <w:proofErr w:type="spellEnd"/>
      <w:r w:rsidRPr="00F10F20">
        <w:rPr>
          <w:rFonts w:eastAsia="Calibri"/>
          <w:lang w:eastAsia="en-US"/>
        </w:rPr>
        <w:t>), εταιρίες παροχής πιστώσεων και εταιρίες κεφαλαίου επιχειρηματικών συμμετοχών.</w:t>
      </w:r>
      <w:r w:rsidRPr="00F10F20">
        <w:rPr>
          <w:rFonts w:eastAsia="Calibri"/>
          <w:lang w:eastAsia="en-US"/>
        </w:rPr>
        <w:tab/>
      </w:r>
    </w:p>
    <w:p w:rsidR="0023719B" w:rsidRPr="0082004F" w:rsidRDefault="0023719B" w:rsidP="002E12D2">
      <w:pPr>
        <w:pStyle w:val="ae"/>
        <w:numPr>
          <w:ilvl w:val="0"/>
          <w:numId w:val="11"/>
        </w:numPr>
        <w:spacing w:line="360" w:lineRule="auto"/>
        <w:jc w:val="both"/>
        <w:rPr>
          <w:rFonts w:ascii="Arial" w:eastAsia="Calibri" w:hAnsi="Arial" w:cs="Arial"/>
          <w:lang w:eastAsia="en-US"/>
        </w:rPr>
      </w:pPr>
      <w:r w:rsidRPr="00F10F20">
        <w:rPr>
          <w:rFonts w:eastAsia="Calibri"/>
          <w:lang w:eastAsia="en-US"/>
        </w:rPr>
        <w:t>Ως «Ειδικοί Πιστωτικοί Οργανισμοί», εμφανίζονται τράπεζες με «ειδικό» καθεστώς λειτουργίας και (συχ</w:t>
      </w:r>
      <w:r w:rsidR="0082004F" w:rsidRPr="00F10F20">
        <w:rPr>
          <w:rFonts w:eastAsia="Calibri"/>
          <w:lang w:eastAsia="en-US"/>
        </w:rPr>
        <w:t>νά) ρόλο τον οποίο επιδοτεί το δ</w:t>
      </w:r>
      <w:r w:rsidRPr="00F10F20">
        <w:rPr>
          <w:rFonts w:eastAsia="Calibri"/>
          <w:lang w:eastAsia="en-US"/>
        </w:rPr>
        <w:t>ημόσιο, όπως παλαιότερα  στην Ελλάδα ήταν οι λεγόμενες «αναπτυ</w:t>
      </w:r>
      <w:r w:rsidR="0082004F" w:rsidRPr="00F10F20">
        <w:rPr>
          <w:rFonts w:eastAsia="Calibri"/>
          <w:lang w:eastAsia="en-US"/>
        </w:rPr>
        <w:t>ξιακές» τράπεζες (π.χ. ΕΤΒΑ</w:t>
      </w:r>
      <w:r w:rsidRPr="00F10F20">
        <w:rPr>
          <w:rFonts w:eastAsia="Calibri"/>
          <w:lang w:eastAsia="en-US"/>
        </w:rPr>
        <w:t>)</w:t>
      </w:r>
      <w:r w:rsidR="00754609">
        <w:rPr>
          <w:rFonts w:eastAsia="Calibri"/>
          <w:lang w:eastAsia="en-US"/>
        </w:rPr>
        <w:t xml:space="preserve"> οι</w:t>
      </w:r>
      <w:r w:rsidRPr="00F10F20">
        <w:rPr>
          <w:rFonts w:eastAsia="Calibri"/>
          <w:lang w:eastAsia="en-US"/>
        </w:rPr>
        <w:t xml:space="preserve"> οποίες ήταν ένα είδος «επενδυτικών» τραπεζών</w:t>
      </w:r>
      <w:r w:rsidRPr="0082004F">
        <w:rPr>
          <w:rFonts w:ascii="Arial" w:eastAsia="Calibri" w:hAnsi="Arial" w:cs="Arial"/>
          <w:lang w:eastAsia="en-US"/>
        </w:rPr>
        <w:t>.</w:t>
      </w:r>
    </w:p>
    <w:p w:rsidR="00674678" w:rsidRDefault="00674678" w:rsidP="00674678">
      <w:pPr>
        <w:tabs>
          <w:tab w:val="num" w:pos="720"/>
        </w:tabs>
        <w:spacing w:line="360" w:lineRule="auto"/>
        <w:ind w:firstLine="720"/>
        <w:jc w:val="both"/>
        <w:rPr>
          <w:rFonts w:eastAsia="Calibri"/>
          <w:lang w:eastAsia="en-US"/>
        </w:rPr>
      </w:pPr>
      <w:r>
        <w:rPr>
          <w:rFonts w:eastAsia="Calibri"/>
          <w:lang w:eastAsia="en-US"/>
        </w:rPr>
        <w:t>Στα πλαίσια ενός</w:t>
      </w:r>
      <w:r w:rsidRPr="007C15F6">
        <w:rPr>
          <w:rFonts w:eastAsia="Calibri"/>
          <w:lang w:eastAsia="en-US"/>
        </w:rPr>
        <w:t xml:space="preserve"> μακροοικονομικού πλαισίου ανάλυσης μπορούμε να αναδείξουμε τον ρόλο του</w:t>
      </w:r>
      <w:r>
        <w:rPr>
          <w:rFonts w:eastAsia="Calibri"/>
          <w:lang w:eastAsia="en-US"/>
        </w:rPr>
        <w:t xml:space="preserve"> χρηματοπιστωτικού συστήματος. </w:t>
      </w:r>
      <w:r w:rsidR="00754609">
        <w:rPr>
          <w:rFonts w:eastAsia="Calibri"/>
          <w:lang w:eastAsia="en-US"/>
        </w:rPr>
        <w:t>Κ</w:t>
      </w:r>
      <w:r>
        <w:rPr>
          <w:rFonts w:eastAsia="Calibri"/>
          <w:lang w:eastAsia="en-US"/>
        </w:rPr>
        <w:t>αίριας σημασίας στο π</w:t>
      </w:r>
      <w:r w:rsidRPr="00976BC4">
        <w:rPr>
          <w:rFonts w:eastAsia="Calibri"/>
          <w:lang w:eastAsia="en-US"/>
        </w:rPr>
        <w:t xml:space="preserve">ρόβλημα από τη </w:t>
      </w:r>
      <w:r w:rsidRPr="00976BC4">
        <w:rPr>
          <w:rFonts w:eastAsia="Calibri"/>
          <w:bCs/>
          <w:lang w:eastAsia="en-US"/>
        </w:rPr>
        <w:t>μη σύμπτωση</w:t>
      </w:r>
      <w:r w:rsidRPr="00976BC4">
        <w:rPr>
          <w:rFonts w:eastAsia="Calibri"/>
          <w:lang w:eastAsia="en-US"/>
        </w:rPr>
        <w:t xml:space="preserve"> των αποταμιευτών (</w:t>
      </w:r>
      <w:r w:rsidRPr="00976BC4">
        <w:rPr>
          <w:rFonts w:eastAsia="Calibri"/>
          <w:lang w:val="en-US" w:eastAsia="en-US"/>
        </w:rPr>
        <w:t>S</w:t>
      </w:r>
      <w:r w:rsidRPr="00976BC4">
        <w:rPr>
          <w:rFonts w:eastAsia="Calibri"/>
          <w:lang w:eastAsia="en-US"/>
        </w:rPr>
        <w:t xml:space="preserve"> πλεονασματικές μονάδες) και των επενδ</w:t>
      </w:r>
      <w:r w:rsidR="00754609">
        <w:rPr>
          <w:rFonts w:eastAsia="Calibri"/>
          <w:lang w:eastAsia="en-US"/>
        </w:rPr>
        <w:t>υτών (Ι, ελλειμματικές μονάδες) είναι</w:t>
      </w:r>
      <w:r w:rsidRPr="00976BC4">
        <w:rPr>
          <w:rFonts w:eastAsia="Calibri"/>
          <w:lang w:eastAsia="en-US"/>
        </w:rPr>
        <w:t xml:space="preserve"> οι </w:t>
      </w:r>
      <w:r w:rsidRPr="00976BC4">
        <w:rPr>
          <w:rFonts w:eastAsia="Calibri"/>
          <w:bCs/>
          <w:lang w:eastAsia="en-US"/>
        </w:rPr>
        <w:t>θεσμοί και οι μηχανισμοί</w:t>
      </w:r>
      <w:r w:rsidRPr="00976BC4">
        <w:rPr>
          <w:rFonts w:eastAsia="Calibri"/>
          <w:lang w:eastAsia="en-US"/>
        </w:rPr>
        <w:t xml:space="preserve"> που επιτρέπουν την </w:t>
      </w:r>
      <w:r w:rsidRPr="00976BC4">
        <w:rPr>
          <w:rFonts w:eastAsia="Calibri"/>
          <w:bCs/>
          <w:lang w:eastAsia="en-US"/>
        </w:rPr>
        <w:t xml:space="preserve">σύζευξη </w:t>
      </w:r>
      <w:r w:rsidRPr="00976BC4">
        <w:rPr>
          <w:rFonts w:eastAsia="Calibri"/>
          <w:lang w:eastAsia="en-US"/>
        </w:rPr>
        <w:t>της προσφοράς αποταμιευτικών πόρων και ζήτησης δανειακών κεφαλαίων.</w:t>
      </w:r>
      <w:r>
        <w:rPr>
          <w:rFonts w:eastAsia="Calibri"/>
          <w:lang w:eastAsia="en-US"/>
        </w:rPr>
        <w:t xml:space="preserve"> </w:t>
      </w:r>
    </w:p>
    <w:p w:rsidR="00E8636A" w:rsidRDefault="00DD7A3D" w:rsidP="00E8636A">
      <w:pPr>
        <w:spacing w:line="360" w:lineRule="auto"/>
        <w:ind w:firstLine="720"/>
        <w:jc w:val="both"/>
      </w:pPr>
      <w:r w:rsidRPr="00E8636A">
        <w:t>Ξεκινώντας και αναλύοντας το κύκλωμα εισοδήματος δαπάνης σε μια κλειστή οικονομία με κρατικό τομέα</w:t>
      </w:r>
      <w:r w:rsidR="00641D64" w:rsidRPr="00641D64">
        <w:t>.</w:t>
      </w:r>
      <w:r w:rsidR="00641D64">
        <w:t xml:space="preserve"> </w:t>
      </w:r>
      <w:r w:rsidR="00641D64">
        <w:rPr>
          <w:lang w:val="en-US"/>
        </w:rPr>
        <w:t>O</w:t>
      </w:r>
      <w:r w:rsidR="007807AE" w:rsidRPr="00E8636A">
        <w:t xml:space="preserve">ι επιχειρήσεις </w:t>
      </w:r>
      <w:r w:rsidRPr="00E8636A">
        <w:t xml:space="preserve">δημόσιες και ιδιωτικές </w:t>
      </w:r>
      <w:r w:rsidR="007807AE" w:rsidRPr="00E8636A">
        <w:t>παράγουν ότι ζητείται από τη δαπάνη που γίνεται για την αγορά καταναλωτικών</w:t>
      </w:r>
      <w:r w:rsidRPr="00E8636A">
        <w:t xml:space="preserve"> (</w:t>
      </w:r>
      <w:proofErr w:type="spellStart"/>
      <w:r w:rsidRPr="00E8636A">
        <w:t>C=Cp+Cg</w:t>
      </w:r>
      <w:proofErr w:type="spellEnd"/>
      <w:r w:rsidRPr="00E8636A">
        <w:t xml:space="preserve">, </w:t>
      </w:r>
      <w:proofErr w:type="spellStart"/>
      <w:r w:rsidRPr="00E8636A">
        <w:t>Private</w:t>
      </w:r>
      <w:proofErr w:type="spellEnd"/>
      <w:r w:rsidRPr="00E8636A">
        <w:t xml:space="preserve"> </w:t>
      </w:r>
      <w:proofErr w:type="spellStart"/>
      <w:r w:rsidRPr="00E8636A">
        <w:t>and</w:t>
      </w:r>
      <w:proofErr w:type="spellEnd"/>
      <w:r w:rsidRPr="00E8636A">
        <w:t xml:space="preserve"> </w:t>
      </w:r>
      <w:proofErr w:type="spellStart"/>
      <w:r w:rsidRPr="00E8636A">
        <w:t>Government</w:t>
      </w:r>
      <w:proofErr w:type="spellEnd"/>
      <w:r w:rsidRPr="00E8636A">
        <w:t xml:space="preserve"> </w:t>
      </w:r>
      <w:proofErr w:type="spellStart"/>
      <w:r w:rsidRPr="00E8636A">
        <w:t>consumption</w:t>
      </w:r>
      <w:proofErr w:type="spellEnd"/>
      <w:r w:rsidRPr="00E8636A">
        <w:t>)</w:t>
      </w:r>
      <w:r w:rsidR="007807AE" w:rsidRPr="00E8636A">
        <w:t xml:space="preserve"> και κεφαλαιουχικών αγαθών</w:t>
      </w:r>
      <w:r w:rsidRPr="00E8636A">
        <w:t xml:space="preserve"> (</w:t>
      </w:r>
      <w:proofErr w:type="spellStart"/>
      <w:r w:rsidRPr="00E8636A">
        <w:t>I=Ip+Ig</w:t>
      </w:r>
      <w:proofErr w:type="spellEnd"/>
      <w:r w:rsidRPr="00E8636A">
        <w:t xml:space="preserve">, </w:t>
      </w:r>
      <w:proofErr w:type="spellStart"/>
      <w:r w:rsidRPr="00E8636A">
        <w:t>Private</w:t>
      </w:r>
      <w:proofErr w:type="spellEnd"/>
      <w:r w:rsidRPr="00E8636A">
        <w:t xml:space="preserve"> </w:t>
      </w:r>
      <w:proofErr w:type="spellStart"/>
      <w:r w:rsidRPr="00E8636A">
        <w:t>and</w:t>
      </w:r>
      <w:proofErr w:type="spellEnd"/>
      <w:r w:rsidRPr="00E8636A">
        <w:t xml:space="preserve"> </w:t>
      </w:r>
      <w:proofErr w:type="spellStart"/>
      <w:r w:rsidRPr="00E8636A">
        <w:t>Government</w:t>
      </w:r>
      <w:proofErr w:type="spellEnd"/>
      <w:r w:rsidRPr="00E8636A">
        <w:t xml:space="preserve"> </w:t>
      </w:r>
      <w:proofErr w:type="spellStart"/>
      <w:r w:rsidRPr="00E8636A">
        <w:t>investment</w:t>
      </w:r>
      <w:proofErr w:type="spellEnd"/>
      <w:r w:rsidRPr="00E8636A">
        <w:t>). Διακρίνοντας την καταναλωτική</w:t>
      </w:r>
      <w:r w:rsidR="00E8636A" w:rsidRPr="00E8636A">
        <w:t xml:space="preserve"> </w:t>
      </w:r>
      <w:r w:rsidR="00E8636A">
        <w:t>και την επενδυτική</w:t>
      </w:r>
      <w:r w:rsidRPr="00E8636A">
        <w:t xml:space="preserve"> δαπάνη</w:t>
      </w:r>
      <w:r w:rsidR="00E8636A">
        <w:t xml:space="preserve"> του δημοσίου σε </w:t>
      </w:r>
      <w:r w:rsidR="00E8636A">
        <w:rPr>
          <w:lang w:val="en-US"/>
        </w:rPr>
        <w:t>G</w:t>
      </w:r>
      <w:r w:rsidR="00E8636A" w:rsidRPr="00E8636A">
        <w:t xml:space="preserve">= </w:t>
      </w:r>
      <w:proofErr w:type="spellStart"/>
      <w:r w:rsidR="00E8636A" w:rsidRPr="00E8636A">
        <w:t>Cg+</w:t>
      </w:r>
      <w:r w:rsidR="00E8636A">
        <w:t>Ig</w:t>
      </w:r>
      <w:proofErr w:type="spellEnd"/>
      <w:r w:rsidR="00E8636A" w:rsidRPr="00E8636A">
        <w:t xml:space="preserve"> </w:t>
      </w:r>
      <w:r w:rsidR="00754609">
        <w:t xml:space="preserve"> μπορούμε να γράψουμε την</w:t>
      </w:r>
      <w:r w:rsidR="00E8636A">
        <w:t xml:space="preserve"> εξίσωση σχηματισμού</w:t>
      </w:r>
      <w:r w:rsidRPr="00E8636A">
        <w:t xml:space="preserve"> του εισοδήματος: </w:t>
      </w:r>
    </w:p>
    <w:p w:rsidR="00DD7A3D" w:rsidRPr="00E8636A" w:rsidRDefault="00DD7A3D" w:rsidP="00E8636A">
      <w:pPr>
        <w:spacing w:line="360" w:lineRule="auto"/>
        <w:ind w:firstLine="720"/>
        <w:jc w:val="both"/>
      </w:pPr>
      <w:proofErr w:type="spellStart"/>
      <w:r w:rsidRPr="00E8636A">
        <w:t>Υ=C</w:t>
      </w:r>
      <w:r w:rsidR="00E8636A" w:rsidRPr="00E8636A">
        <w:t>p</w:t>
      </w:r>
      <w:r w:rsidRPr="00E8636A">
        <w:t>+I</w:t>
      </w:r>
      <w:r w:rsidR="00E8636A" w:rsidRPr="00E8636A">
        <w:t>p+(Cg+Ig</w:t>
      </w:r>
      <w:proofErr w:type="spellEnd"/>
      <w:r w:rsidR="00E8636A" w:rsidRPr="00E8636A">
        <w:t xml:space="preserve">) ή  </w:t>
      </w:r>
      <w:proofErr w:type="spellStart"/>
      <w:r w:rsidR="00E8636A" w:rsidRPr="00E8636A">
        <w:t>Υ=Cp+Ip+G</w:t>
      </w:r>
      <w:proofErr w:type="spellEnd"/>
    </w:p>
    <w:p w:rsidR="00E8636A" w:rsidRDefault="00E8636A" w:rsidP="00E8636A">
      <w:pPr>
        <w:spacing w:line="360" w:lineRule="auto"/>
        <w:jc w:val="both"/>
      </w:pPr>
      <w:r>
        <w:t>Από την άλλη τ</w:t>
      </w:r>
      <w:r w:rsidR="007807AE" w:rsidRPr="00E8636A">
        <w:t>α νοικοκυριά που εισπράττουν το Υ, το διαθέτουν για κατανάλωση ή αποταμίευση</w:t>
      </w:r>
      <w:r w:rsidR="00DD7A3D" w:rsidRPr="00E8636A">
        <w:t xml:space="preserve"> αλλά και για πληρωμή των φόρων (T, </w:t>
      </w:r>
      <w:proofErr w:type="spellStart"/>
      <w:r w:rsidR="00DD7A3D" w:rsidRPr="00E8636A">
        <w:t>Taxes</w:t>
      </w:r>
      <w:proofErr w:type="spellEnd"/>
      <w:r w:rsidR="00DD7A3D" w:rsidRPr="00E8636A">
        <w:t xml:space="preserve">). </w:t>
      </w:r>
      <w:r>
        <w:t>Από την πλευρά δ</w:t>
      </w:r>
      <w:r w:rsidR="00DD7A3D" w:rsidRPr="00E8636A">
        <w:t>ιάθεση</w:t>
      </w:r>
      <w:r>
        <w:t>ς</w:t>
      </w:r>
      <w:r w:rsidR="00DD7A3D" w:rsidRPr="00E8636A">
        <w:t xml:space="preserve"> του </w:t>
      </w:r>
      <w:r w:rsidR="00641D64">
        <w:t>ε</w:t>
      </w:r>
      <w:r w:rsidR="00DD7A3D" w:rsidRPr="00E8636A">
        <w:t>ισοδήματος</w:t>
      </w:r>
      <w:r>
        <w:t xml:space="preserve"> έχουμε λοιπόν</w:t>
      </w:r>
      <w:r w:rsidR="00DD7A3D" w:rsidRPr="00E8636A">
        <w:t xml:space="preserve">: </w:t>
      </w:r>
    </w:p>
    <w:p w:rsidR="00DD7A3D" w:rsidRPr="00E8636A" w:rsidRDefault="00DD7A3D" w:rsidP="00E8636A">
      <w:pPr>
        <w:spacing w:line="360" w:lineRule="auto"/>
        <w:ind w:firstLine="720"/>
        <w:jc w:val="both"/>
      </w:pPr>
      <w:proofErr w:type="spellStart"/>
      <w:r w:rsidRPr="00E8636A">
        <w:t>Y=C</w:t>
      </w:r>
      <w:r w:rsidR="00E8636A" w:rsidRPr="00E8636A">
        <w:t>p</w:t>
      </w:r>
      <w:r w:rsidRPr="00E8636A">
        <w:t>+S</w:t>
      </w:r>
      <w:r w:rsidR="00E8636A" w:rsidRPr="00E8636A">
        <w:t>p</w:t>
      </w:r>
      <w:r w:rsidRPr="00E8636A">
        <w:t>+T</w:t>
      </w:r>
      <w:proofErr w:type="spellEnd"/>
    </w:p>
    <w:p w:rsidR="00641D64" w:rsidRDefault="00E8636A" w:rsidP="00E8636A">
      <w:pPr>
        <w:spacing w:line="360" w:lineRule="auto"/>
        <w:ind w:firstLine="720"/>
        <w:jc w:val="both"/>
      </w:pPr>
      <w:r w:rsidRPr="00E8636A">
        <w:t>Εξισώνοντας τις δύο εξισώσεις καταλήγουμε ότι στην ισορροπία όπου θα πρέπει οι αποταμιεύσεις να επαρκούν για την χρηματοδότηση τόσο των επενδύσεων όσο και του ελλείμματος του δημόσιου τομέα (</w:t>
      </w:r>
      <w:proofErr w:type="spellStart"/>
      <w:r w:rsidRPr="00E8636A">
        <w:t>Dg=G</w:t>
      </w:r>
      <w:proofErr w:type="spellEnd"/>
      <w:r w:rsidRPr="00E8636A">
        <w:t>-T</w:t>
      </w:r>
      <w:r w:rsidR="00C81AA0">
        <w:t>&gt;0</w:t>
      </w:r>
      <w:r w:rsidRPr="00E8636A">
        <w:t xml:space="preserve">, </w:t>
      </w:r>
      <w:proofErr w:type="spellStart"/>
      <w:r w:rsidRPr="00E8636A">
        <w:t>Government</w:t>
      </w:r>
      <w:proofErr w:type="spellEnd"/>
      <w:r w:rsidRPr="00E8636A">
        <w:t xml:space="preserve"> </w:t>
      </w:r>
      <w:proofErr w:type="spellStart"/>
      <w:r w:rsidRPr="00E8636A">
        <w:t>Deficit</w:t>
      </w:r>
      <w:proofErr w:type="spellEnd"/>
      <w:r w:rsidRPr="00E8636A">
        <w:t xml:space="preserve">) </w:t>
      </w:r>
    </w:p>
    <w:p w:rsidR="009D1860" w:rsidRPr="00E8636A" w:rsidRDefault="009D1860" w:rsidP="00641D64">
      <w:pPr>
        <w:spacing w:line="360" w:lineRule="auto"/>
        <w:ind w:left="720"/>
        <w:jc w:val="both"/>
      </w:pPr>
      <w:proofErr w:type="spellStart"/>
      <w:r w:rsidRPr="00E8636A">
        <w:t>I</w:t>
      </w:r>
      <w:r w:rsidR="00E8636A" w:rsidRPr="00E8636A">
        <w:t>p+Dg</w:t>
      </w:r>
      <w:r w:rsidRPr="00E8636A">
        <w:t>=S</w:t>
      </w:r>
      <w:r w:rsidR="00E8636A" w:rsidRPr="00E8636A">
        <w:t>p</w:t>
      </w:r>
      <w:proofErr w:type="spellEnd"/>
    </w:p>
    <w:p w:rsidR="00181D3E" w:rsidRPr="00E3786F" w:rsidRDefault="007807AE" w:rsidP="00E8636A">
      <w:pPr>
        <w:spacing w:line="360" w:lineRule="auto"/>
        <w:ind w:firstLine="720"/>
        <w:jc w:val="both"/>
      </w:pPr>
      <w:r w:rsidRPr="00E8636A">
        <w:t xml:space="preserve">Πώς </w:t>
      </w:r>
      <w:r w:rsidR="00DD7A3D" w:rsidRPr="00E8636A">
        <w:t xml:space="preserve">όμως </w:t>
      </w:r>
      <w:r w:rsidRPr="00E8636A">
        <w:t>το μέρος του Υ που δεν καταναλώνεται θα διοχετευθεί σε εκείνους που το χρειάζονται για την αγορά κεφαλαιουχικών αγαθών</w:t>
      </w:r>
      <w:r w:rsidR="00DD7A3D" w:rsidRPr="00E8636A">
        <w:t xml:space="preserve">; Η απάντηση είναι μέσα </w:t>
      </w:r>
      <w:r w:rsidR="00DD7A3D" w:rsidRPr="00E8636A">
        <w:lastRenderedPageBreak/>
        <w:t>από τις χρηματοπιστωτικές αγορές</w:t>
      </w:r>
      <w:r w:rsidR="00641D64">
        <w:t>.</w:t>
      </w:r>
      <w:r w:rsidR="00E3786F">
        <w:t xml:space="preserve"> Σύμφωνα με τον νόμο του </w:t>
      </w:r>
      <w:r w:rsidR="00E3786F">
        <w:rPr>
          <w:lang w:val="en-US"/>
        </w:rPr>
        <w:t>Say</w:t>
      </w:r>
      <w:r w:rsidR="00E3786F" w:rsidRPr="00E3786F">
        <w:t xml:space="preserve"> </w:t>
      </w:r>
      <w:r w:rsidR="00E3786F">
        <w:t>μια οικονομία προσφέρει ότι ζητείται. Οι τράπεζες και οι κεφαλαιαγορές μεσολαβούν για την παροχή των κεφαλαίων από τις πλεονασματικές (συνήθως νοικοκυριά) στις ελλειμματικές μονάδες (συνήθως επιχειρήσεις) όπως χαρακτηριστικά βλέπουμε στο ακόλουθο γράφημα.</w:t>
      </w:r>
    </w:p>
    <w:p w:rsidR="00E3786F" w:rsidRPr="00E8636A" w:rsidRDefault="00E3786F" w:rsidP="00E8636A">
      <w:pPr>
        <w:spacing w:line="360" w:lineRule="auto"/>
        <w:ind w:firstLine="720"/>
        <w:jc w:val="both"/>
      </w:pPr>
    </w:p>
    <w:p w:rsidR="009D1860" w:rsidRPr="00E3786F" w:rsidRDefault="00E3786F" w:rsidP="00674678">
      <w:pPr>
        <w:ind w:firstLine="720"/>
        <w:jc w:val="center"/>
      </w:pPr>
      <w:r w:rsidRPr="00674678">
        <w:rPr>
          <w:b/>
        </w:rPr>
        <w:t>Γράφημα 4.</w:t>
      </w:r>
      <w:r w:rsidR="00674678" w:rsidRPr="00674678">
        <w:rPr>
          <w:b/>
        </w:rPr>
        <w:t>2</w:t>
      </w:r>
      <w:r w:rsidRPr="00E3786F">
        <w:t xml:space="preserve"> Ο νόμος του </w:t>
      </w:r>
      <w:proofErr w:type="spellStart"/>
      <w:r w:rsidRPr="00E3786F">
        <w:t>Say</w:t>
      </w:r>
      <w:proofErr w:type="spellEnd"/>
      <w:r w:rsidRPr="00E3786F">
        <w:t xml:space="preserve"> και το κύκλωμα εισοδήματος δαπάνης</w:t>
      </w:r>
    </w:p>
    <w:p w:rsidR="00641D64" w:rsidRPr="009D1860" w:rsidRDefault="00641D64" w:rsidP="00674678">
      <w:pPr>
        <w:spacing w:after="200" w:line="276" w:lineRule="auto"/>
        <w:ind w:left="720"/>
        <w:jc w:val="center"/>
        <w:rPr>
          <w:rFonts w:ascii="Arial" w:eastAsia="Calibri" w:hAnsi="Arial" w:cs="Arial"/>
          <w:lang w:eastAsia="en-US"/>
        </w:rPr>
      </w:pPr>
      <w:r>
        <w:rPr>
          <w:rFonts w:ascii="Arial" w:eastAsia="Calibri" w:hAnsi="Arial" w:cs="Arial"/>
          <w:noProof/>
        </w:rPr>
        <w:drawing>
          <wp:inline distT="0" distB="0" distL="0" distR="0" wp14:anchorId="421FCE57" wp14:editId="593BB446">
            <wp:extent cx="4140464" cy="1665027"/>
            <wp:effectExtent l="19050" t="19050" r="12700" b="11430"/>
            <wp:docPr id="47129" name="Εικόνα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_4_Gr_1.jpg"/>
                    <pic:cNvPicPr/>
                  </pic:nvPicPr>
                  <pic:blipFill rotWithShape="1">
                    <a:blip r:embed="rId11">
                      <a:grayscl/>
                      <a:extLst>
                        <a:ext uri="{28A0092B-C50C-407E-A947-70E740481C1C}">
                          <a14:useLocalDpi xmlns:a14="http://schemas.microsoft.com/office/drawing/2010/main" val="0"/>
                        </a:ext>
                      </a:extLst>
                    </a:blip>
                    <a:srcRect l="3100" t="14615" r="24289" b="35344"/>
                    <a:stretch/>
                  </pic:blipFill>
                  <pic:spPr bwMode="auto">
                    <a:xfrm>
                      <a:off x="0" y="0"/>
                      <a:ext cx="4137672" cy="1663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3786F" w:rsidRDefault="00E3786F" w:rsidP="00E3786F">
      <w:pPr>
        <w:spacing w:line="360" w:lineRule="auto"/>
        <w:ind w:firstLine="720"/>
        <w:jc w:val="both"/>
      </w:pPr>
      <w:r w:rsidRPr="00E3786F">
        <w:t xml:space="preserve">Η αποταμίευση αποτελεί διαρροή ενώ η επένδυση προσθήκη στο εθνικό εισόδημα. </w:t>
      </w:r>
      <w:r>
        <w:t xml:space="preserve">Προχωρώντας την ανάλυση σε μια ανοικτή οικονομία </w:t>
      </w:r>
      <w:r w:rsidRPr="00E3786F">
        <w:t>άλλες διαρροές είναι οι φόροι και οι εισαγωγές. Ενώ εισροές σε μια ανοικτή οικονομία αποτελούν δαπάνες καταναλωτικών και κεφαλαιουχικών αγαθών αλλά και οι εξαγωγές που προστίθενται στο εθνικό εισόδημα.</w:t>
      </w:r>
      <w:r>
        <w:t xml:space="preserve"> Έτσι από την πλευρά δημιουργίας και διάθεσης του εισοδήματος έχουμε:  </w:t>
      </w:r>
    </w:p>
    <w:p w:rsidR="005B0509" w:rsidRDefault="00E3786F" w:rsidP="00E3786F">
      <w:pPr>
        <w:spacing w:line="360" w:lineRule="auto"/>
        <w:ind w:firstLine="720"/>
        <w:jc w:val="both"/>
      </w:pPr>
      <w:proofErr w:type="spellStart"/>
      <w:r w:rsidRPr="00E8636A">
        <w:t>Υ=Cp+Ip+G</w:t>
      </w:r>
      <w:r>
        <w:t>+Χ</w:t>
      </w:r>
      <w:proofErr w:type="spellEnd"/>
      <w:r>
        <w:t>-Μ</w:t>
      </w:r>
    </w:p>
    <w:p w:rsidR="00E3786F" w:rsidRPr="00E8636A" w:rsidRDefault="00E3786F" w:rsidP="00E3786F">
      <w:pPr>
        <w:spacing w:line="360" w:lineRule="auto"/>
        <w:ind w:firstLine="720"/>
        <w:jc w:val="both"/>
      </w:pPr>
      <w:proofErr w:type="spellStart"/>
      <w:r w:rsidRPr="00E8636A">
        <w:t>Y=Cp+Sp+T</w:t>
      </w:r>
      <w:proofErr w:type="spellEnd"/>
    </w:p>
    <w:p w:rsidR="00E3786F" w:rsidRPr="00E3786F" w:rsidRDefault="00754609" w:rsidP="00E3786F">
      <w:pPr>
        <w:spacing w:line="360" w:lineRule="auto"/>
        <w:jc w:val="both"/>
      </w:pPr>
      <w:r>
        <w:t>Τώρα μπορούμε να δείξουμε τη</w:t>
      </w:r>
      <w:r w:rsidR="00E3786F">
        <w:t xml:space="preserve"> νέα συνθήκη ισορροπίας</w:t>
      </w:r>
      <w:r>
        <w:t>, η</w:t>
      </w:r>
      <w:r w:rsidR="00E3786F">
        <w:t xml:space="preserve"> οποία υποστηρίζει ότι</w:t>
      </w:r>
      <w:r w:rsidR="00674678" w:rsidRPr="00674678">
        <w:t xml:space="preserve"> </w:t>
      </w:r>
      <w:r w:rsidR="00674678">
        <w:t>οι αποταμιεύσεις του ιδιωτικού τομέα και τα δανειακά κεφάλαια από το εξωτερικό (</w:t>
      </w:r>
      <w:proofErr w:type="spellStart"/>
      <w:r w:rsidR="00674678">
        <w:rPr>
          <w:lang w:val="en-US"/>
        </w:rPr>
        <w:t>D</w:t>
      </w:r>
      <w:r w:rsidR="00674678" w:rsidRPr="00674678">
        <w:rPr>
          <w:vertAlign w:val="subscript"/>
          <w:lang w:val="en-US"/>
        </w:rPr>
        <w:t>f</w:t>
      </w:r>
      <w:proofErr w:type="spellEnd"/>
      <w:r w:rsidR="00674678" w:rsidRPr="00674678">
        <w:t>=</w:t>
      </w:r>
      <w:r w:rsidR="00674678">
        <w:rPr>
          <w:lang w:val="en-US"/>
        </w:rPr>
        <w:t>M</w:t>
      </w:r>
      <w:r w:rsidR="00674678" w:rsidRPr="00674678">
        <w:t>-</w:t>
      </w:r>
      <w:r w:rsidR="00674678">
        <w:rPr>
          <w:lang w:val="en-US"/>
        </w:rPr>
        <w:t>X</w:t>
      </w:r>
      <w:r w:rsidR="00674678" w:rsidRPr="00674678">
        <w:t>,</w:t>
      </w:r>
      <w:r w:rsidR="00674678">
        <w:t xml:space="preserve"> όπου</w:t>
      </w:r>
      <w:r w:rsidR="00674678" w:rsidRPr="00674678">
        <w:t xml:space="preserve"> </w:t>
      </w:r>
      <w:r w:rsidR="00674678">
        <w:rPr>
          <w:lang w:val="en-US"/>
        </w:rPr>
        <w:t>M</w:t>
      </w:r>
      <w:r w:rsidR="00674678">
        <w:t>:εισαγωγές και Χ: εξαγωγές) χρηματοδοτούν τις ιδιωτικές επενδύσεις και το έλλειμμα του δημόσιου τομέα</w:t>
      </w:r>
      <w:r w:rsidR="00E3786F">
        <w:t>.</w:t>
      </w:r>
    </w:p>
    <w:p w:rsidR="00E3786F" w:rsidRPr="00674678" w:rsidRDefault="00E3786F" w:rsidP="00E3786F">
      <w:pPr>
        <w:spacing w:line="360" w:lineRule="auto"/>
        <w:ind w:left="720"/>
        <w:jc w:val="both"/>
      </w:pPr>
      <w:proofErr w:type="spellStart"/>
      <w:r w:rsidRPr="00E8636A">
        <w:t>Ip+Dg=Sp</w:t>
      </w:r>
      <w:proofErr w:type="spellEnd"/>
      <w:r>
        <w:t>+</w:t>
      </w:r>
      <w:proofErr w:type="spellStart"/>
      <w:r>
        <w:rPr>
          <w:lang w:val="en-US"/>
        </w:rPr>
        <w:t>D</w:t>
      </w:r>
      <w:r w:rsidRPr="00674678">
        <w:rPr>
          <w:vertAlign w:val="subscript"/>
          <w:lang w:val="en-US"/>
        </w:rPr>
        <w:t>f</w:t>
      </w:r>
      <w:proofErr w:type="spellEnd"/>
    </w:p>
    <w:p w:rsidR="00E3786F" w:rsidRPr="00E3786F" w:rsidRDefault="00674678" w:rsidP="00674678">
      <w:pPr>
        <w:spacing w:line="360" w:lineRule="auto"/>
        <w:jc w:val="both"/>
      </w:pPr>
      <w:r>
        <w:t>Όπως προκύπτει από την ανάλυση του μακροοικονομικού πλαισίου το χρηματοπιστωτικό σύστημα είναι αυτό που μπορεί να διασφαλίσει αποτελεσματική κατανομή των πόρων για την επίτευξη του στόχου της οικονομικής ανάπτυξης και της ευημερίας.</w:t>
      </w:r>
    </w:p>
    <w:p w:rsidR="00E3786F" w:rsidRPr="00E3786F" w:rsidRDefault="00E3786F" w:rsidP="00E3786F"/>
    <w:p w:rsidR="005B0509" w:rsidRPr="008576F3" w:rsidRDefault="005B0509" w:rsidP="008576F3">
      <w:pPr>
        <w:pStyle w:val="2"/>
        <w:spacing w:before="0" w:after="0" w:line="360" w:lineRule="auto"/>
        <w:jc w:val="both"/>
        <w:rPr>
          <w:rFonts w:ascii="Times New Roman" w:hAnsi="Times New Roman" w:cs="Times New Roman"/>
          <w:i w:val="0"/>
        </w:rPr>
      </w:pPr>
      <w:bookmarkStart w:id="4" w:name="_Toc393111061"/>
      <w:r>
        <w:rPr>
          <w:rFonts w:ascii="Times New Roman" w:hAnsi="Times New Roman" w:cs="Times New Roman"/>
          <w:i w:val="0"/>
        </w:rPr>
        <w:lastRenderedPageBreak/>
        <w:t>4</w:t>
      </w:r>
      <w:r w:rsidRPr="00390868">
        <w:rPr>
          <w:rFonts w:ascii="Times New Roman" w:hAnsi="Times New Roman" w:cs="Times New Roman"/>
          <w:i w:val="0"/>
        </w:rPr>
        <w:t>.</w:t>
      </w:r>
      <w:r>
        <w:rPr>
          <w:rFonts w:ascii="Times New Roman" w:hAnsi="Times New Roman" w:cs="Times New Roman"/>
          <w:i w:val="0"/>
        </w:rPr>
        <w:t>2</w:t>
      </w:r>
      <w:r w:rsidRPr="00390868">
        <w:rPr>
          <w:rFonts w:ascii="Times New Roman" w:hAnsi="Times New Roman" w:cs="Times New Roman"/>
          <w:i w:val="0"/>
        </w:rPr>
        <w:t xml:space="preserve"> </w:t>
      </w:r>
      <w:r>
        <w:rPr>
          <w:rFonts w:ascii="Times New Roman" w:hAnsi="Times New Roman" w:cs="Times New Roman"/>
          <w:i w:val="0"/>
        </w:rPr>
        <w:t>Χρήμα έναντι Πίστης</w:t>
      </w:r>
      <w:bookmarkEnd w:id="4"/>
    </w:p>
    <w:p w:rsidR="005B0509" w:rsidRDefault="00C81AA0" w:rsidP="001C7F85">
      <w:pPr>
        <w:spacing w:line="360" w:lineRule="auto"/>
        <w:ind w:firstLine="720"/>
        <w:jc w:val="both"/>
      </w:pPr>
      <w:r>
        <w:t>Τα</w:t>
      </w:r>
      <w:r w:rsidRPr="00C81AA0">
        <w:t xml:space="preserve"> </w:t>
      </w:r>
      <w:r w:rsidR="005B0509">
        <w:t xml:space="preserve">νομισματικά συστήματα είναι ιεραρχικά. Ένας τρόπος για να καταλάβουμε καλύτερα αυτό το σημείο, είναι η διάκριση του </w:t>
      </w:r>
      <w:r w:rsidR="005B0509" w:rsidRPr="001C7F85">
        <w:t>χρήματος</w:t>
      </w:r>
      <w:r w:rsidR="005B0509">
        <w:t xml:space="preserve"> (μέσο τελικής πληρωμής) από την </w:t>
      </w:r>
      <w:r w:rsidR="005B0509" w:rsidRPr="001C7F85">
        <w:t>πίστη</w:t>
      </w:r>
      <w:r w:rsidR="005B0509">
        <w:t xml:space="preserve">  (υπόσχεση για πληρωμή χρήματος, μέσο</w:t>
      </w:r>
      <w:r>
        <w:t xml:space="preserve"> για καθυστέρηση της τελικής</w:t>
      </w:r>
      <w:r w:rsidRPr="00C81AA0">
        <w:t xml:space="preserve"> </w:t>
      </w:r>
      <w:r w:rsidR="005B0509">
        <w:t xml:space="preserve">πληρωμής). Είναι ιδιαίτερα κατατοπιστική η ανάλυση που κάνει ο </w:t>
      </w:r>
      <w:proofErr w:type="spellStart"/>
      <w:r w:rsidR="005B0509" w:rsidRPr="00C81AA0">
        <w:t>Mehrling</w:t>
      </w:r>
      <w:proofErr w:type="spellEnd"/>
      <w:r w:rsidR="005B0509" w:rsidRPr="00C81AA0">
        <w:t xml:space="preserve"> (</w:t>
      </w:r>
      <w:r w:rsidRPr="00C81AA0">
        <w:t>2010, 2011</w:t>
      </w:r>
      <w:r w:rsidR="005B0509" w:rsidRPr="00C81AA0">
        <w:t xml:space="preserve">) </w:t>
      </w:r>
      <w:r w:rsidR="005B0509">
        <w:t>θεωρώντας ένα νομισματικό σύστημα που λειτουργεί κάτω από έναν κανόνα χρυσού</w:t>
      </w:r>
      <w:r>
        <w:t xml:space="preserve">. Περισσότερο ενδιαφέρουσα γίνεται η </w:t>
      </w:r>
      <w:r w:rsidR="005B0509">
        <w:t>ανάλυση όχι με την γενική διάκριση μεταξύ χρήματος και πίστης αφηρημένα, αλλά περισσότερο συγκεκριμένα υποθέτοντας την ύπαρξη τεσσάρων χρηματοοικονομικών στοιχείων τον χρυσό, το νόμισμα, τις τραπεζικές καταθέσεις, και τους τίτλους.</w:t>
      </w:r>
    </w:p>
    <w:p w:rsidR="005B0509" w:rsidRPr="000C510F" w:rsidRDefault="005B0509" w:rsidP="001C7F85">
      <w:pPr>
        <w:spacing w:line="360" w:lineRule="auto"/>
        <w:ind w:firstLine="720"/>
        <w:jc w:val="both"/>
      </w:pPr>
      <w:r>
        <w:t xml:space="preserve">Σε ένα τέτοιο περιβάλλον ανάλυσης ο </w:t>
      </w:r>
      <w:r w:rsidRPr="001C7F85">
        <w:t>χρυσός</w:t>
      </w:r>
      <w:r>
        <w:t xml:space="preserve"> είναι το έσχατο χρήμα επειδή είναι το έσχατο διεθνές μέσο πληρωμής. Τα εθνικά </w:t>
      </w:r>
      <w:r w:rsidRPr="001C7F85">
        <w:t>νομίσματα</w:t>
      </w:r>
      <w:r>
        <w:t xml:space="preserve"> αποτελούν μια μορφή πίστης με την έννοια ότι είναι υποσχέσεις για πληρωμή σε χρυσό. Τα εθνικά νομίσματα μπορεί να «υποστηριχτούν» από χρυσό, με την έννοια ότι ο εκδότης του νομίσματος κρατά κάποια ποσότητα χρυσού, αλλά αυτό δε σημαίνει ότι αυτά τα νομίσματα αντιπροσωπεύουν χρυσό ή ότι βρίσκονται στο ίδιο ιεραρχικό επίπεδο με το χρυσό. Όταν ένα νόμισμα υποστηρίζεται από αποθέματα χρυσού, εξακολουθεί να είναι μια υπόσχεση για πληρωμή, απλά είναι μια πιο αξιόπιστη υπόσχεση πληρωμής επειδή η παρουσία του χρυσού αυξάνει την πιθανότητα ο εκδότης του νομίσματος να κρατήσει την υπόσχεση του όταν κληθεί να το κάνει. Ακόμη χαμηλότερα στην ιεραρχία, οι τραπεζικές </w:t>
      </w:r>
      <w:r w:rsidRPr="001C7F85">
        <w:t>καταθέσεις</w:t>
      </w:r>
      <w:r>
        <w:t xml:space="preserve"> είναι υποσχέσεις πληρωμής του νομίσματος σε πρώτη ζήτηση, άρα είναι δυο φορές απομακρυσμένες υποσχέσεις πληρωμής του έσχατου χρήματος. Τέλος οι </w:t>
      </w:r>
      <w:r w:rsidRPr="001C7F85">
        <w:t>τίτλοι</w:t>
      </w:r>
      <w:r>
        <w:t xml:space="preserve"> είναι υποσχέσεις πληρωμής νομίσματος μέσα σε κάποιο χρονικό ορίζοντα στο μέλλον, άρα είναι ακόμη πιο μακροχρόνιες υποσχέσεις πληρωμής. Η αξιοπιστία αυτών των υποσχέσεων πληρωμής είναι ένα θέμα και υπάρχουν όπως θα δούμε θεσμοί, όπως για παράδειγμα η ΚΤ, οι οποίοι συμβάλλουν στην σταθερότητα και αξιοπιστία του συστήματος. Στον πίνακα που ακολουθεί φαίνεται διαγραμματικά η ιεραρχία που παρουσιάσαμε. </w:t>
      </w:r>
    </w:p>
    <w:p w:rsidR="005B0509" w:rsidRDefault="005B0509" w:rsidP="005B0509">
      <w:pPr>
        <w:jc w:val="center"/>
      </w:pPr>
      <w:r w:rsidRPr="00674678">
        <w:rPr>
          <w:b/>
        </w:rPr>
        <w:t>Πίνακας</w:t>
      </w:r>
      <w:r w:rsidR="00674678" w:rsidRPr="00674678">
        <w:rPr>
          <w:b/>
        </w:rPr>
        <w:t xml:space="preserve"> 4.1</w:t>
      </w:r>
      <w:r>
        <w:t xml:space="preserve"> Μια Απλή Ιεραρχία</w:t>
      </w:r>
    </w:p>
    <w:tbl>
      <w:tblPr>
        <w:tblStyle w:val="af3"/>
        <w:tblW w:w="0" w:type="auto"/>
        <w:jc w:val="center"/>
        <w:tblLook w:val="04A0" w:firstRow="1" w:lastRow="0" w:firstColumn="1" w:lastColumn="0" w:noHBand="0" w:noVBand="1"/>
      </w:tblPr>
      <w:tblGrid>
        <w:gridCol w:w="955"/>
        <w:gridCol w:w="1343"/>
      </w:tblGrid>
      <w:tr w:rsidR="005B0509" w:rsidRPr="00E16738" w:rsidTr="003150CE">
        <w:trPr>
          <w:jc w:val="center"/>
        </w:trPr>
        <w:tc>
          <w:tcPr>
            <w:tcW w:w="955" w:type="dxa"/>
          </w:tcPr>
          <w:p w:rsidR="005B0509" w:rsidRPr="00E16738" w:rsidRDefault="005B0509" w:rsidP="003150CE">
            <w:pPr>
              <w:jc w:val="center"/>
              <w:rPr>
                <w:rFonts w:ascii="Times New Roman" w:hAnsi="Times New Roman"/>
              </w:rPr>
            </w:pPr>
            <w:r w:rsidRPr="00E16738">
              <w:rPr>
                <w:rFonts w:ascii="Times New Roman" w:hAnsi="Times New Roman"/>
              </w:rPr>
              <w:t>Χρήμα</w:t>
            </w:r>
          </w:p>
        </w:tc>
        <w:tc>
          <w:tcPr>
            <w:tcW w:w="1292" w:type="dxa"/>
          </w:tcPr>
          <w:p w:rsidR="005B0509" w:rsidRPr="00E16738" w:rsidRDefault="005B0509" w:rsidP="003150CE">
            <w:pPr>
              <w:jc w:val="center"/>
              <w:rPr>
                <w:rFonts w:ascii="Times New Roman" w:hAnsi="Times New Roman"/>
              </w:rPr>
            </w:pPr>
            <w:r w:rsidRPr="00E16738">
              <w:rPr>
                <w:rFonts w:ascii="Times New Roman" w:hAnsi="Times New Roman"/>
              </w:rPr>
              <w:t>Χρυσός</w:t>
            </w:r>
          </w:p>
        </w:tc>
      </w:tr>
      <w:tr w:rsidR="005B0509" w:rsidRPr="00E16738" w:rsidTr="003150CE">
        <w:trPr>
          <w:jc w:val="center"/>
        </w:trPr>
        <w:tc>
          <w:tcPr>
            <w:tcW w:w="955" w:type="dxa"/>
          </w:tcPr>
          <w:p w:rsidR="005B0509" w:rsidRPr="00E16738" w:rsidRDefault="005B0509" w:rsidP="003150CE">
            <w:pPr>
              <w:jc w:val="center"/>
              <w:rPr>
                <w:rFonts w:ascii="Times New Roman" w:hAnsi="Times New Roman"/>
              </w:rPr>
            </w:pPr>
            <w:r w:rsidRPr="00E16738">
              <w:rPr>
                <w:rFonts w:ascii="Times New Roman" w:hAnsi="Times New Roman"/>
              </w:rPr>
              <w:t>↑</w:t>
            </w:r>
          </w:p>
        </w:tc>
        <w:tc>
          <w:tcPr>
            <w:tcW w:w="1292" w:type="dxa"/>
          </w:tcPr>
          <w:p w:rsidR="005B0509" w:rsidRPr="00E16738" w:rsidRDefault="005B0509" w:rsidP="003150CE">
            <w:pPr>
              <w:jc w:val="center"/>
              <w:rPr>
                <w:rFonts w:ascii="Times New Roman" w:hAnsi="Times New Roman"/>
              </w:rPr>
            </w:pPr>
            <w:r w:rsidRPr="00E16738">
              <w:rPr>
                <w:rFonts w:ascii="Times New Roman" w:hAnsi="Times New Roman"/>
              </w:rPr>
              <w:t>Νόμισμα</w:t>
            </w:r>
          </w:p>
        </w:tc>
      </w:tr>
      <w:tr w:rsidR="005B0509" w:rsidRPr="00E16738" w:rsidTr="003150CE">
        <w:trPr>
          <w:jc w:val="center"/>
        </w:trPr>
        <w:tc>
          <w:tcPr>
            <w:tcW w:w="955" w:type="dxa"/>
          </w:tcPr>
          <w:p w:rsidR="005B0509" w:rsidRPr="00E16738" w:rsidRDefault="005B0509" w:rsidP="003150CE">
            <w:pPr>
              <w:jc w:val="center"/>
              <w:rPr>
                <w:rFonts w:ascii="Times New Roman" w:hAnsi="Times New Roman"/>
              </w:rPr>
            </w:pPr>
            <w:r w:rsidRPr="00E16738">
              <w:rPr>
                <w:rFonts w:ascii="Times New Roman" w:hAnsi="Times New Roman"/>
              </w:rPr>
              <w:t>↑</w:t>
            </w:r>
          </w:p>
        </w:tc>
        <w:tc>
          <w:tcPr>
            <w:tcW w:w="1292" w:type="dxa"/>
          </w:tcPr>
          <w:p w:rsidR="005B0509" w:rsidRPr="00E16738" w:rsidRDefault="005B0509" w:rsidP="003150CE">
            <w:pPr>
              <w:jc w:val="center"/>
              <w:rPr>
                <w:rFonts w:ascii="Times New Roman" w:hAnsi="Times New Roman"/>
              </w:rPr>
            </w:pPr>
            <w:r w:rsidRPr="00E16738">
              <w:rPr>
                <w:rFonts w:ascii="Times New Roman" w:hAnsi="Times New Roman"/>
              </w:rPr>
              <w:t>Καταθέσεις</w:t>
            </w:r>
          </w:p>
        </w:tc>
      </w:tr>
      <w:tr w:rsidR="005B0509" w:rsidRPr="00E16738" w:rsidTr="003150CE">
        <w:trPr>
          <w:jc w:val="center"/>
        </w:trPr>
        <w:tc>
          <w:tcPr>
            <w:tcW w:w="955" w:type="dxa"/>
          </w:tcPr>
          <w:p w:rsidR="005B0509" w:rsidRPr="00E16738" w:rsidRDefault="005B0509" w:rsidP="003150CE">
            <w:pPr>
              <w:jc w:val="center"/>
              <w:rPr>
                <w:rFonts w:ascii="Times New Roman" w:hAnsi="Times New Roman"/>
              </w:rPr>
            </w:pPr>
            <w:r w:rsidRPr="00E16738">
              <w:rPr>
                <w:rFonts w:ascii="Times New Roman" w:hAnsi="Times New Roman"/>
              </w:rPr>
              <w:t>Πίστη</w:t>
            </w:r>
          </w:p>
        </w:tc>
        <w:tc>
          <w:tcPr>
            <w:tcW w:w="1292" w:type="dxa"/>
          </w:tcPr>
          <w:p w:rsidR="005B0509" w:rsidRPr="00E16738" w:rsidRDefault="005B0509" w:rsidP="003150CE">
            <w:pPr>
              <w:jc w:val="center"/>
              <w:rPr>
                <w:rFonts w:ascii="Times New Roman" w:hAnsi="Times New Roman"/>
              </w:rPr>
            </w:pPr>
            <w:r w:rsidRPr="00E16738">
              <w:rPr>
                <w:rFonts w:ascii="Times New Roman" w:hAnsi="Times New Roman"/>
              </w:rPr>
              <w:t>Τίτλοι</w:t>
            </w:r>
          </w:p>
        </w:tc>
      </w:tr>
    </w:tbl>
    <w:p w:rsidR="005B0509" w:rsidRDefault="005B0509" w:rsidP="005B0509">
      <w:pPr>
        <w:jc w:val="both"/>
      </w:pPr>
    </w:p>
    <w:p w:rsidR="005B0509" w:rsidRDefault="00C81AA0" w:rsidP="00C81AA0">
      <w:pPr>
        <w:spacing w:line="360" w:lineRule="auto"/>
        <w:ind w:firstLine="720"/>
        <w:jc w:val="both"/>
      </w:pPr>
      <w:r>
        <w:lastRenderedPageBreak/>
        <w:t xml:space="preserve">Μια σημαντική παρατήρηση είναι ότι </w:t>
      </w:r>
      <w:r w:rsidR="005B0509">
        <w:t>μοιάζει με χρήμα σε ένα επίπεδο του συστήματος, μοιάζει με πίστη στο αμέσως πιο πάνω επίπεδο. Σε αυτή την ιεραρχία, που βρίσκεται η διαχωριστική γραμμή μεταξύ χρήματος και πίστης εξαρτάται από την θέση στην οποία βρισκόμαστε. Για μια τράπεζα που διευθετεί τους λογαριασμούς της στο τέλος της μέρας, το νόμισμα είναι αναμφισβήτητα το μέσο αυτής της διευθέτησης. Και άρα η διαχωριστική γραμμή μεταξύ χρήματος και πίστης χαράσσεται στο ύψος του νομίσματος. Αλλά τα πράγματα μοιάζουν διαφορετικά ακόμη πιο χαμηλά στην ιεραρχία. Για εμάς συνήθως οι τραπεζικές καταθέσεις είναι το μέσο διευθέτησης. Άρα μπορεί να έχουμε την τάση να βλέπουμε τις καταθέσεις (και οτιδήποτε πιο πάνω από αυτές στην ιεραρχία) ως χρήμα και τους τίτλους ως πίστη. Διαφέρουν όμως τα πράγματα και ψηλότερα  στην ιεραρχία. Για μια χώρα που διευθετεί τους λογαριασμούς της στο τέλος της μέρας, το εθνικό νόμισμα έχει περιορισμένη σημασία. Αυτό που θέλουν οι άλλες χώρες είναι να έχουν το δικό τους νόμισμα, ή το διεθνές μέσο διευθέτησης, που σημαίνει χρυσό στην περίπτωση υιοθέτησης του κανόνα χρυσού.</w:t>
      </w:r>
    </w:p>
    <w:p w:rsidR="005B0509" w:rsidRDefault="005B0509" w:rsidP="001C7F85">
      <w:pPr>
        <w:spacing w:line="360" w:lineRule="auto"/>
        <w:ind w:firstLine="720"/>
        <w:jc w:val="both"/>
      </w:pPr>
      <w:r>
        <w:t>Στο πραγματικό κόσμο βλέπουμε πολύ περισσότερα στρώματα και πιο ακριβείς διαβαθμίσεις στην ιεραρχία αλλά το τί ισχύει ως χρήμα και τι ισχύει ως πίστη εξαρτάται από την δική σου οπτική, που σημαίνει ότι εξαρτάται στο που βρίσκεσαι στην ιεραρχία. Επομένως μας αρκεί μια γενική διάκριση μεταξύ πίστης και χρήματος.</w:t>
      </w:r>
    </w:p>
    <w:p w:rsidR="005B0509" w:rsidRDefault="005B0509" w:rsidP="001C7F85">
      <w:pPr>
        <w:spacing w:line="360" w:lineRule="auto"/>
        <w:ind w:firstLine="720"/>
        <w:jc w:val="both"/>
      </w:pPr>
      <w:r>
        <w:t xml:space="preserve">Η ιεραρχία όμως δεν είναι μόνο ένα ζήτημα ποιοτικής διαφοράς μεταξύ διαφόρων χρηματοοικονομικών εργαλείων. Είναι ιδιαίτερα διαφωτιστικό </w:t>
      </w:r>
      <w:r w:rsidR="00C81AA0">
        <w:t xml:space="preserve">θέμα </w:t>
      </w:r>
      <w:r>
        <w:t xml:space="preserve">στη προσπάθεια μας να μελετήσουμε το χρηματοπιστωτικό περιβάλλον μιας σύγχρονης οικονομίας να δούμε την ιεραρχία από τη θέση των διάφορων χρηματοοικονομικών </w:t>
      </w:r>
      <w:r w:rsidRPr="00AE321F">
        <w:rPr>
          <w:i/>
        </w:rPr>
        <w:t>θεσμών</w:t>
      </w:r>
      <w:r>
        <w:t xml:space="preserve"> που εκδίδουν τα εργαλεία (δες ακόλουθο πίνακα).</w:t>
      </w:r>
    </w:p>
    <w:p w:rsidR="00E16738" w:rsidRPr="000C510F" w:rsidRDefault="00E16738" w:rsidP="00E16738">
      <w:pPr>
        <w:rPr>
          <w:b/>
        </w:rPr>
      </w:pPr>
    </w:p>
    <w:p w:rsidR="005B0509" w:rsidRPr="00674678" w:rsidRDefault="005B0509" w:rsidP="00674678">
      <w:pPr>
        <w:rPr>
          <w:b/>
        </w:rPr>
      </w:pPr>
      <w:r>
        <w:rPr>
          <w:b/>
        </w:rPr>
        <w:t>Πίνακας</w:t>
      </w:r>
      <w:r w:rsidR="00674678">
        <w:rPr>
          <w:b/>
        </w:rPr>
        <w:t xml:space="preserve"> 4.2 </w:t>
      </w:r>
      <w:r w:rsidRPr="00C61C8E">
        <w:t xml:space="preserve"> Η Ιεραρχία στους Ισολογισμούς</w:t>
      </w:r>
    </w:p>
    <w:tbl>
      <w:tblPr>
        <w:tblStyle w:val="af3"/>
        <w:tblW w:w="0" w:type="auto"/>
        <w:tblLook w:val="04A0" w:firstRow="1" w:lastRow="0" w:firstColumn="1" w:lastColumn="0" w:noHBand="0" w:noVBand="1"/>
      </w:tblPr>
      <w:tblGrid>
        <w:gridCol w:w="1420"/>
        <w:gridCol w:w="1420"/>
        <w:gridCol w:w="1420"/>
        <w:gridCol w:w="1420"/>
        <w:gridCol w:w="1421"/>
        <w:gridCol w:w="1421"/>
      </w:tblGrid>
      <w:tr w:rsidR="00877C0E" w:rsidRPr="00C81AA0" w:rsidTr="00877C0E">
        <w:tc>
          <w:tcPr>
            <w:tcW w:w="2840" w:type="dxa"/>
            <w:gridSpan w:val="2"/>
            <w:shd w:val="clear" w:color="auto" w:fill="D9D9D9" w:themeFill="background1" w:themeFillShade="D9"/>
          </w:tcPr>
          <w:p w:rsidR="00877C0E" w:rsidRPr="00C81AA0" w:rsidRDefault="00877C0E" w:rsidP="00877C0E">
            <w:pPr>
              <w:jc w:val="center"/>
              <w:rPr>
                <w:sz w:val="22"/>
                <w:szCs w:val="22"/>
              </w:rPr>
            </w:pPr>
            <w:r w:rsidRPr="00C81AA0">
              <w:rPr>
                <w:b/>
                <w:sz w:val="22"/>
                <w:szCs w:val="22"/>
              </w:rPr>
              <w:t>Κεντρική τράπεζα</w:t>
            </w:r>
          </w:p>
        </w:tc>
        <w:tc>
          <w:tcPr>
            <w:tcW w:w="2840" w:type="dxa"/>
            <w:gridSpan w:val="2"/>
            <w:shd w:val="clear" w:color="auto" w:fill="D9D9D9" w:themeFill="background1" w:themeFillShade="D9"/>
          </w:tcPr>
          <w:p w:rsidR="00877C0E" w:rsidRPr="00C81AA0" w:rsidRDefault="00877C0E" w:rsidP="00877C0E">
            <w:pPr>
              <w:jc w:val="center"/>
              <w:rPr>
                <w:sz w:val="22"/>
                <w:szCs w:val="22"/>
              </w:rPr>
            </w:pPr>
            <w:r w:rsidRPr="00C81AA0">
              <w:rPr>
                <w:b/>
                <w:sz w:val="22"/>
                <w:szCs w:val="22"/>
              </w:rPr>
              <w:t>Τραπεζικό Σύστημα</w:t>
            </w:r>
          </w:p>
        </w:tc>
        <w:tc>
          <w:tcPr>
            <w:tcW w:w="2842" w:type="dxa"/>
            <w:gridSpan w:val="2"/>
            <w:shd w:val="clear" w:color="auto" w:fill="D9D9D9" w:themeFill="background1" w:themeFillShade="D9"/>
          </w:tcPr>
          <w:p w:rsidR="00877C0E" w:rsidRPr="00C81AA0" w:rsidRDefault="00877C0E" w:rsidP="00877C0E">
            <w:pPr>
              <w:jc w:val="center"/>
              <w:rPr>
                <w:sz w:val="22"/>
                <w:szCs w:val="22"/>
              </w:rPr>
            </w:pPr>
            <w:r w:rsidRPr="00C81AA0">
              <w:rPr>
                <w:b/>
                <w:sz w:val="22"/>
                <w:szCs w:val="22"/>
              </w:rPr>
              <w:t>Ιδιωτικός Τομέας</w:t>
            </w:r>
          </w:p>
        </w:tc>
      </w:tr>
      <w:tr w:rsidR="005B0509" w:rsidRPr="00C81AA0" w:rsidTr="002864D1">
        <w:tc>
          <w:tcPr>
            <w:tcW w:w="1420" w:type="dxa"/>
            <w:shd w:val="clear" w:color="auto" w:fill="auto"/>
          </w:tcPr>
          <w:p w:rsidR="005B0509" w:rsidRPr="00C81AA0" w:rsidRDefault="005B0509" w:rsidP="003150CE">
            <w:pPr>
              <w:rPr>
                <w:b/>
                <w:sz w:val="22"/>
                <w:szCs w:val="22"/>
              </w:rPr>
            </w:pPr>
            <w:r w:rsidRPr="00C81AA0">
              <w:rPr>
                <w:b/>
                <w:sz w:val="22"/>
                <w:szCs w:val="22"/>
              </w:rPr>
              <w:t>Ενεργητικό</w:t>
            </w:r>
          </w:p>
        </w:tc>
        <w:tc>
          <w:tcPr>
            <w:tcW w:w="1420" w:type="dxa"/>
            <w:shd w:val="clear" w:color="auto" w:fill="auto"/>
          </w:tcPr>
          <w:p w:rsidR="005B0509" w:rsidRPr="00C81AA0" w:rsidRDefault="005B0509" w:rsidP="003150CE">
            <w:pPr>
              <w:rPr>
                <w:b/>
                <w:sz w:val="22"/>
                <w:szCs w:val="22"/>
              </w:rPr>
            </w:pPr>
            <w:r w:rsidRPr="00C81AA0">
              <w:rPr>
                <w:b/>
                <w:sz w:val="22"/>
                <w:szCs w:val="22"/>
              </w:rPr>
              <w:t>Παθητικό</w:t>
            </w:r>
          </w:p>
        </w:tc>
        <w:tc>
          <w:tcPr>
            <w:tcW w:w="1420" w:type="dxa"/>
            <w:shd w:val="clear" w:color="auto" w:fill="auto"/>
          </w:tcPr>
          <w:p w:rsidR="005B0509" w:rsidRPr="00C81AA0" w:rsidRDefault="005B0509" w:rsidP="003150CE">
            <w:pPr>
              <w:rPr>
                <w:b/>
                <w:sz w:val="22"/>
                <w:szCs w:val="22"/>
              </w:rPr>
            </w:pPr>
            <w:r w:rsidRPr="00C81AA0">
              <w:rPr>
                <w:b/>
                <w:sz w:val="22"/>
                <w:szCs w:val="22"/>
              </w:rPr>
              <w:t>Ενεργητικό</w:t>
            </w:r>
          </w:p>
        </w:tc>
        <w:tc>
          <w:tcPr>
            <w:tcW w:w="1420" w:type="dxa"/>
            <w:shd w:val="clear" w:color="auto" w:fill="auto"/>
          </w:tcPr>
          <w:p w:rsidR="005B0509" w:rsidRPr="00C81AA0" w:rsidRDefault="005B0509" w:rsidP="003150CE">
            <w:pPr>
              <w:rPr>
                <w:b/>
                <w:sz w:val="22"/>
                <w:szCs w:val="22"/>
              </w:rPr>
            </w:pPr>
            <w:r w:rsidRPr="00C81AA0">
              <w:rPr>
                <w:b/>
                <w:sz w:val="22"/>
                <w:szCs w:val="22"/>
              </w:rPr>
              <w:t>Παθητικό</w:t>
            </w:r>
          </w:p>
        </w:tc>
        <w:tc>
          <w:tcPr>
            <w:tcW w:w="1421" w:type="dxa"/>
            <w:shd w:val="clear" w:color="auto" w:fill="auto"/>
          </w:tcPr>
          <w:p w:rsidR="005B0509" w:rsidRPr="00C81AA0" w:rsidRDefault="005B0509" w:rsidP="003150CE">
            <w:pPr>
              <w:rPr>
                <w:b/>
                <w:sz w:val="22"/>
                <w:szCs w:val="22"/>
              </w:rPr>
            </w:pPr>
            <w:r w:rsidRPr="00C81AA0">
              <w:rPr>
                <w:b/>
                <w:sz w:val="22"/>
                <w:szCs w:val="22"/>
              </w:rPr>
              <w:t>Ενεργητικό</w:t>
            </w:r>
          </w:p>
        </w:tc>
        <w:tc>
          <w:tcPr>
            <w:tcW w:w="1421" w:type="dxa"/>
            <w:shd w:val="clear" w:color="auto" w:fill="auto"/>
          </w:tcPr>
          <w:p w:rsidR="005B0509" w:rsidRPr="00C81AA0" w:rsidRDefault="005B0509" w:rsidP="003150CE">
            <w:pPr>
              <w:rPr>
                <w:b/>
                <w:sz w:val="22"/>
                <w:szCs w:val="22"/>
              </w:rPr>
            </w:pPr>
            <w:r w:rsidRPr="00C81AA0">
              <w:rPr>
                <w:b/>
                <w:sz w:val="22"/>
                <w:szCs w:val="22"/>
              </w:rPr>
              <w:t>Παθητικό</w:t>
            </w:r>
          </w:p>
        </w:tc>
      </w:tr>
      <w:tr w:rsidR="005B0509" w:rsidRPr="00C81AA0" w:rsidTr="003150CE">
        <w:tc>
          <w:tcPr>
            <w:tcW w:w="1420" w:type="dxa"/>
          </w:tcPr>
          <w:p w:rsidR="005B0509" w:rsidRPr="00C81AA0" w:rsidRDefault="005B0509" w:rsidP="003150CE">
            <w:pPr>
              <w:rPr>
                <w:sz w:val="22"/>
                <w:szCs w:val="22"/>
              </w:rPr>
            </w:pPr>
            <w:r w:rsidRPr="00C81AA0">
              <w:rPr>
                <w:sz w:val="22"/>
                <w:szCs w:val="22"/>
              </w:rPr>
              <w:t>Χρυσός</w:t>
            </w:r>
          </w:p>
        </w:tc>
        <w:tc>
          <w:tcPr>
            <w:tcW w:w="1420" w:type="dxa"/>
          </w:tcPr>
          <w:p w:rsidR="005B0509" w:rsidRPr="00C81AA0" w:rsidRDefault="005B0509" w:rsidP="003150CE">
            <w:pPr>
              <w:rPr>
                <w:sz w:val="22"/>
                <w:szCs w:val="22"/>
              </w:rPr>
            </w:pPr>
            <w:r w:rsidRPr="00C81AA0">
              <w:rPr>
                <w:sz w:val="22"/>
                <w:szCs w:val="22"/>
              </w:rPr>
              <w:t>Νόμισμα</w:t>
            </w:r>
          </w:p>
        </w:tc>
        <w:tc>
          <w:tcPr>
            <w:tcW w:w="1420" w:type="dxa"/>
          </w:tcPr>
          <w:p w:rsidR="005B0509" w:rsidRPr="00C81AA0" w:rsidRDefault="005B0509" w:rsidP="003150CE">
            <w:pPr>
              <w:rPr>
                <w:sz w:val="22"/>
                <w:szCs w:val="22"/>
              </w:rPr>
            </w:pPr>
            <w:r w:rsidRPr="00C81AA0">
              <w:rPr>
                <w:sz w:val="22"/>
                <w:szCs w:val="22"/>
              </w:rPr>
              <w:t>Νόμισμα</w:t>
            </w:r>
          </w:p>
        </w:tc>
        <w:tc>
          <w:tcPr>
            <w:tcW w:w="1420" w:type="dxa"/>
          </w:tcPr>
          <w:p w:rsidR="005B0509" w:rsidRPr="00C81AA0" w:rsidRDefault="005B0509" w:rsidP="003150CE">
            <w:pPr>
              <w:rPr>
                <w:sz w:val="22"/>
                <w:szCs w:val="22"/>
              </w:rPr>
            </w:pPr>
            <w:r w:rsidRPr="00C81AA0">
              <w:rPr>
                <w:sz w:val="22"/>
                <w:szCs w:val="22"/>
              </w:rPr>
              <w:t>Καταθέσεις</w:t>
            </w:r>
          </w:p>
        </w:tc>
        <w:tc>
          <w:tcPr>
            <w:tcW w:w="1421" w:type="dxa"/>
          </w:tcPr>
          <w:p w:rsidR="005B0509" w:rsidRPr="00C81AA0" w:rsidRDefault="005B0509" w:rsidP="003150CE">
            <w:pPr>
              <w:rPr>
                <w:sz w:val="22"/>
                <w:szCs w:val="22"/>
              </w:rPr>
            </w:pPr>
            <w:r w:rsidRPr="00C81AA0">
              <w:rPr>
                <w:sz w:val="22"/>
                <w:szCs w:val="22"/>
              </w:rPr>
              <w:t>Καταθέσεις</w:t>
            </w:r>
          </w:p>
        </w:tc>
        <w:tc>
          <w:tcPr>
            <w:tcW w:w="1421" w:type="dxa"/>
          </w:tcPr>
          <w:p w:rsidR="005B0509" w:rsidRPr="00C81AA0" w:rsidRDefault="005B0509" w:rsidP="003150CE">
            <w:pPr>
              <w:rPr>
                <w:sz w:val="22"/>
                <w:szCs w:val="22"/>
              </w:rPr>
            </w:pPr>
            <w:r w:rsidRPr="00C81AA0">
              <w:rPr>
                <w:sz w:val="22"/>
                <w:szCs w:val="22"/>
              </w:rPr>
              <w:t>Τίτλοι</w:t>
            </w:r>
          </w:p>
        </w:tc>
      </w:tr>
    </w:tbl>
    <w:p w:rsidR="005B0509" w:rsidRDefault="005B0509" w:rsidP="005B0509"/>
    <w:p w:rsidR="005B0509" w:rsidRDefault="005B0509" w:rsidP="001C7F85">
      <w:pPr>
        <w:spacing w:line="360" w:lineRule="auto"/>
        <w:ind w:firstLine="720"/>
        <w:jc w:val="both"/>
      </w:pPr>
      <w:r>
        <w:t xml:space="preserve">Για να κρατήσουμε την ανάλυση σε ένα απλό επίπεδο για παιδαγωγικούς κυρίως λόγους παρουσιάζουμε αφαιρετικά τους ισολογισμούς τριών βασικών πυλώνων του οικονομικού συστήματος της κεντρικής τράπεζας, του τραπεζικού </w:t>
      </w:r>
      <w:r>
        <w:lastRenderedPageBreak/>
        <w:t xml:space="preserve">συστήματος και του ιδιωτικού τομέα. Άρα υπάρχουν σημαντικά πράγματα που λείπουν για παράδειγμα το κρατικό χρέος ως το πιο σημαντικό στοιχείο ενεργητικού της κεντρικής τράπεζας, τα δάνεια ως στοιχείο ενεργητικού του τραπεζικού συστήματος, και οι τίτλοι ως στοιχείο ενεργητικού του ιδιωτικού τομέα. Για τις παρούσες ανάγκες, με την ύπαρξη όλων των μορφών πίστης το σημαντικό σημείο που πρέπει να αντιληφθούμε είναι ότι όλα τα εργαλεία εκτός  από το χρυσό εμφανίζονται ως στοιχεία και του ενεργητικού και του παθητικού. Σε έναν ενοποιημένο ισολογισμό  όλες οι μορφές πίστης θα εμφανίζονταν και ως στοιχεία του ενεργητικού και του παθητικού, και επομένως θα ακυρώνονταν. Μόνο ο χρυσός θα απέμενε επειδή μόνο ο χρυσός είναι στοιχείο ενεργητικού χωρίς να είναι στοιχείο παθητικού οποιουδήποτε. </w:t>
      </w:r>
    </w:p>
    <w:p w:rsidR="005B0509" w:rsidRDefault="005B0509" w:rsidP="001C7F85">
      <w:pPr>
        <w:spacing w:line="360" w:lineRule="auto"/>
        <w:ind w:firstLine="720"/>
        <w:jc w:val="both"/>
      </w:pPr>
      <w:r>
        <w:t>Γενικότερα, η διαφορά μεταξύ χρυσού και των άλλων μορφών χρήματος είνα</w:t>
      </w:r>
      <w:r w:rsidR="00C81AA0">
        <w:t>ι η διαφορά μεταξύ «εξωτερικού» χρήματος και «εσωτερικού»</w:t>
      </w:r>
      <w:r>
        <w:t xml:space="preserve"> χρήματος, κατά τους </w:t>
      </w:r>
      <w:r w:rsidRPr="00C81AA0">
        <w:rPr>
          <w:lang w:val="en-US"/>
        </w:rPr>
        <w:t>Gurley</w:t>
      </w:r>
      <w:r w:rsidRPr="00C81AA0">
        <w:t xml:space="preserve"> </w:t>
      </w:r>
      <w:r w:rsidR="00C81AA0" w:rsidRPr="00C81AA0">
        <w:rPr>
          <w:lang w:val="en-US"/>
        </w:rPr>
        <w:t>et</w:t>
      </w:r>
      <w:r w:rsidR="00C81AA0" w:rsidRPr="00C81AA0">
        <w:t xml:space="preserve"> </w:t>
      </w:r>
      <w:r w:rsidR="00C81AA0" w:rsidRPr="00C81AA0">
        <w:rPr>
          <w:lang w:val="en-US"/>
        </w:rPr>
        <w:t>al</w:t>
      </w:r>
      <w:r w:rsidR="00C81AA0" w:rsidRPr="00C81AA0">
        <w:t>.,</w:t>
      </w:r>
      <w:r w:rsidRPr="00C81AA0">
        <w:t xml:space="preserve"> (1960)</w:t>
      </w:r>
      <w:r w:rsidR="00C81AA0" w:rsidRPr="00C81AA0">
        <w:t xml:space="preserve">. </w:t>
      </w:r>
      <w:r>
        <w:t>Από τη δική τους οπτική το νόμισμα καθώς και ο χρυσός εμφανίζεται να είναι ένα στοιχείο ενεργητικού χωρίς αντιστάθμισμα στο παθητικό σε αντίθεση με τις καταθέσεις. Για</w:t>
      </w:r>
      <w:r w:rsidR="004F4169">
        <w:t xml:space="preserve"> να εμπεδώσουμε την ιδέα ενός «εσωτερικού»</w:t>
      </w:r>
      <w:r>
        <w:t xml:space="preserve"> στοιχείου ενεργητικού, μπορεί να βοηθήσει η </w:t>
      </w:r>
      <w:proofErr w:type="spellStart"/>
      <w:r>
        <w:t>οπτικοποίηση</w:t>
      </w:r>
      <w:proofErr w:type="spellEnd"/>
      <w:r>
        <w:t xml:space="preserve"> της ιεραρχίας από τον </w:t>
      </w:r>
      <w:proofErr w:type="spellStart"/>
      <w:r w:rsidRPr="004F4169">
        <w:rPr>
          <w:lang w:val="en-US"/>
        </w:rPr>
        <w:t>Merhling</w:t>
      </w:r>
      <w:proofErr w:type="spellEnd"/>
      <w:r w:rsidRPr="004F4169">
        <w:t xml:space="preserve"> (</w:t>
      </w:r>
      <w:r w:rsidR="004F4169" w:rsidRPr="004F4169">
        <w:t>2010</w:t>
      </w:r>
      <w:r w:rsidRPr="004F4169">
        <w:t xml:space="preserve">) </w:t>
      </w:r>
      <w:r>
        <w:t xml:space="preserve">ως συμμετρική πυραμίδα που υψώνεται σε έναν άξονα πίστης –χρήματος από μια γραμμή που έχει κέντρο το μηδέν, ώστε η καθαρή διακριτή πίστη σε κάθε επίπεδο να είναι μηδέν. Τοποθετεί την κορυφή της πυραμίδας στο μηδέν μολονότι υπάρχει θετική ποσότητα χρυσού, απλά για να δώσει έμφαση στο ότι αυτή η ποσότητα είναι απειροελάχιστη συγκριτικά με το μεγάλο οικοδόμημα πίστης από κάτω. Θεωρώντας το σύστημα ως σύνολο, κάθε στοιχείο του παθητικού είναι στοιχείο ενεργητικού κάποιου άλλου. </w:t>
      </w:r>
    </w:p>
    <w:p w:rsidR="001C7F85" w:rsidRDefault="001C7F85" w:rsidP="005B0509">
      <w:pPr>
        <w:jc w:val="center"/>
        <w:rPr>
          <w:b/>
        </w:rPr>
      </w:pPr>
    </w:p>
    <w:p w:rsidR="005B0509" w:rsidRDefault="005B0509" w:rsidP="005B0509">
      <w:pPr>
        <w:jc w:val="center"/>
      </w:pPr>
      <w:r w:rsidRPr="00154C64">
        <w:rPr>
          <w:b/>
        </w:rPr>
        <w:t xml:space="preserve">Γράφημα </w:t>
      </w:r>
      <w:r w:rsidR="002864D1">
        <w:rPr>
          <w:b/>
        </w:rPr>
        <w:t>4.3</w:t>
      </w:r>
      <w:r>
        <w:t xml:space="preserve"> Η ιεραρχία μέσα από ένα συμμετρικό τρίγωνο</w:t>
      </w:r>
    </w:p>
    <w:p w:rsidR="005B0509" w:rsidRDefault="005B0509" w:rsidP="005B0509">
      <w:pPr>
        <w:jc w:val="center"/>
      </w:pPr>
      <w:r>
        <w:rPr>
          <w:noProof/>
        </w:rPr>
        <w:drawing>
          <wp:inline distT="0" distB="0" distL="0" distR="0" wp14:anchorId="6901E21B" wp14:editId="084C0BCA">
            <wp:extent cx="2434442" cy="1894679"/>
            <wp:effectExtent l="0" t="0" r="444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ling_1.jpg"/>
                    <pic:cNvPicPr/>
                  </pic:nvPicPr>
                  <pic:blipFill rotWithShape="1">
                    <a:blip r:embed="rId12">
                      <a:extLst>
                        <a:ext uri="{28A0092B-C50C-407E-A947-70E740481C1C}">
                          <a14:useLocalDpi xmlns:a14="http://schemas.microsoft.com/office/drawing/2010/main" val="0"/>
                        </a:ext>
                      </a:extLst>
                    </a:blip>
                    <a:srcRect r="55443" b="38691"/>
                    <a:stretch/>
                  </pic:blipFill>
                  <pic:spPr bwMode="auto">
                    <a:xfrm>
                      <a:off x="0" y="0"/>
                      <a:ext cx="2434702" cy="1894881"/>
                    </a:xfrm>
                    <a:prstGeom prst="rect">
                      <a:avLst/>
                    </a:prstGeom>
                    <a:ln>
                      <a:noFill/>
                    </a:ln>
                    <a:extLst>
                      <a:ext uri="{53640926-AAD7-44D8-BBD7-CCE9431645EC}">
                        <a14:shadowObscured xmlns:a14="http://schemas.microsoft.com/office/drawing/2010/main"/>
                      </a:ext>
                    </a:extLst>
                  </pic:spPr>
                </pic:pic>
              </a:graphicData>
            </a:graphic>
          </wp:inline>
        </w:drawing>
      </w:r>
    </w:p>
    <w:p w:rsidR="001C7F85" w:rsidRPr="00277C12" w:rsidRDefault="00277C12" w:rsidP="00277C12">
      <w:pPr>
        <w:spacing w:line="360" w:lineRule="auto"/>
        <w:ind w:left="1440" w:firstLine="720"/>
        <w:jc w:val="both"/>
        <w:rPr>
          <w:sz w:val="22"/>
          <w:szCs w:val="22"/>
        </w:rPr>
      </w:pPr>
      <w:r>
        <w:rPr>
          <w:b/>
          <w:sz w:val="22"/>
          <w:szCs w:val="22"/>
        </w:rPr>
        <w:t xml:space="preserve"> </w:t>
      </w:r>
      <w:r w:rsidRPr="00277C12">
        <w:rPr>
          <w:b/>
          <w:sz w:val="22"/>
          <w:szCs w:val="22"/>
        </w:rPr>
        <w:t>Πηγή:</w:t>
      </w:r>
      <w:r w:rsidRPr="00277C12">
        <w:rPr>
          <w:sz w:val="22"/>
          <w:szCs w:val="22"/>
        </w:rPr>
        <w:t xml:space="preserve"> </w:t>
      </w:r>
      <w:proofErr w:type="spellStart"/>
      <w:r w:rsidRPr="00277C12">
        <w:rPr>
          <w:sz w:val="22"/>
          <w:szCs w:val="22"/>
          <w:lang w:val="en-US"/>
        </w:rPr>
        <w:t>Merhling</w:t>
      </w:r>
      <w:proofErr w:type="spellEnd"/>
      <w:r w:rsidRPr="00277C12">
        <w:rPr>
          <w:sz w:val="22"/>
          <w:szCs w:val="22"/>
        </w:rPr>
        <w:t xml:space="preserve"> (2010)</w:t>
      </w:r>
    </w:p>
    <w:p w:rsidR="005B0509" w:rsidRDefault="005B0509" w:rsidP="001C7F85">
      <w:pPr>
        <w:spacing w:line="360" w:lineRule="auto"/>
        <w:ind w:firstLine="720"/>
        <w:jc w:val="both"/>
      </w:pPr>
      <w:r>
        <w:lastRenderedPageBreak/>
        <w:t xml:space="preserve">Εάν επικεντρώσουμε την προσοχή μας στην ιεραρχία για οποιαδήποτε χρονική περίοδο, ένα πράγμα γίνεται αμέσως ξεκάθαρο, το ότι η ιεραρχία είναι </w:t>
      </w:r>
      <w:r w:rsidRPr="004F4169">
        <w:t>δυναμική.</w:t>
      </w:r>
      <w:r>
        <w:t xml:space="preserve"> Σε κάθε χρονική κλίμακα, βλέπουμε επέκταση και συστολή της ιεραρχίας. Καθώς επεκτείνεται, η ιεραρχία γίνεται πιο επίπεδη και η ποιοτική διαφορά μεταξύ πίστης και χρήματος αμβλύνεται, αλλά τότε το σύστημα συστέλλεται και η ιεραρχία επαναβεβαιώνεται (εμφανές στο ακόλουθο γράφημα). Στη συχνότητα του επιχειρηματικού κύκλου, τα φαινόμενα που εμφανίζονται είναι αυ</w:t>
      </w:r>
      <w:r w:rsidR="0057493E">
        <w:t xml:space="preserve">τά της </w:t>
      </w:r>
      <w:r w:rsidRPr="0057493E">
        <w:rPr>
          <w:i/>
        </w:rPr>
        <w:t>παράλογης αφθονία</w:t>
      </w:r>
      <w:r w:rsidR="0057493E" w:rsidRPr="0057493E">
        <w:rPr>
          <w:i/>
        </w:rPr>
        <w:t>ς</w:t>
      </w:r>
      <w:r w:rsidR="0057493E">
        <w:t xml:space="preserve"> στη φάση επέκτασης και της </w:t>
      </w:r>
      <w:r w:rsidR="0057493E" w:rsidRPr="0057493E">
        <w:rPr>
          <w:i/>
        </w:rPr>
        <w:t>χρηματοοικονομικής κρίσης</w:t>
      </w:r>
      <w:r>
        <w:t xml:space="preserve"> στη φάση συστολής.</w:t>
      </w:r>
    </w:p>
    <w:p w:rsidR="001C7F85" w:rsidRDefault="001C7F85" w:rsidP="005B0509">
      <w:pPr>
        <w:jc w:val="center"/>
        <w:rPr>
          <w:b/>
        </w:rPr>
      </w:pPr>
    </w:p>
    <w:p w:rsidR="005B0509" w:rsidRDefault="005B0509" w:rsidP="005B0509">
      <w:pPr>
        <w:jc w:val="center"/>
      </w:pPr>
      <w:r w:rsidRPr="00154C64">
        <w:rPr>
          <w:b/>
        </w:rPr>
        <w:t xml:space="preserve">Γράφημα </w:t>
      </w:r>
      <w:r w:rsidR="002864D1">
        <w:rPr>
          <w:b/>
        </w:rPr>
        <w:t>4.4</w:t>
      </w:r>
      <w:r>
        <w:t xml:space="preserve"> Συστολή/</w:t>
      </w:r>
      <w:r w:rsidR="00277C12">
        <w:t>διαστολή (Οικονομική ανάπτυξη /Χ</w:t>
      </w:r>
      <w:r>
        <w:t>ρηματοοικονομική κρίση)</w:t>
      </w:r>
    </w:p>
    <w:p w:rsidR="005B0509" w:rsidRDefault="005B0509" w:rsidP="005B0509">
      <w:pPr>
        <w:jc w:val="center"/>
      </w:pPr>
      <w:r>
        <w:rPr>
          <w:noProof/>
        </w:rPr>
        <w:drawing>
          <wp:inline distT="0" distB="0" distL="0" distR="0" wp14:anchorId="686D0006" wp14:editId="38A6D67F">
            <wp:extent cx="2814451" cy="1782975"/>
            <wp:effectExtent l="0" t="0" r="5080" b="8255"/>
            <wp:docPr id="78852" name="Εικόνα 7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ling_2.jpg"/>
                    <pic:cNvPicPr/>
                  </pic:nvPicPr>
                  <pic:blipFill rotWithShape="1">
                    <a:blip r:embed="rId13">
                      <a:extLst>
                        <a:ext uri="{28A0092B-C50C-407E-A947-70E740481C1C}">
                          <a14:useLocalDpi xmlns:a14="http://schemas.microsoft.com/office/drawing/2010/main" val="0"/>
                        </a:ext>
                      </a:extLst>
                    </a:blip>
                    <a:srcRect r="61492" b="56870"/>
                    <a:stretch/>
                  </pic:blipFill>
                  <pic:spPr bwMode="auto">
                    <a:xfrm>
                      <a:off x="0" y="0"/>
                      <a:ext cx="2817448" cy="1784874"/>
                    </a:xfrm>
                    <a:prstGeom prst="rect">
                      <a:avLst/>
                    </a:prstGeom>
                    <a:ln>
                      <a:noFill/>
                    </a:ln>
                    <a:extLst>
                      <a:ext uri="{53640926-AAD7-44D8-BBD7-CCE9431645EC}">
                        <a14:shadowObscured xmlns:a14="http://schemas.microsoft.com/office/drawing/2010/main"/>
                      </a:ext>
                    </a:extLst>
                  </pic:spPr>
                </pic:pic>
              </a:graphicData>
            </a:graphic>
          </wp:inline>
        </w:drawing>
      </w:r>
    </w:p>
    <w:p w:rsidR="001C7F85" w:rsidRDefault="00277C12" w:rsidP="00277C12">
      <w:pPr>
        <w:spacing w:line="360" w:lineRule="auto"/>
        <w:ind w:left="1440"/>
        <w:jc w:val="both"/>
      </w:pPr>
      <w:r>
        <w:rPr>
          <w:b/>
          <w:sz w:val="22"/>
          <w:szCs w:val="22"/>
        </w:rPr>
        <w:t xml:space="preserve">         </w:t>
      </w:r>
      <w:r w:rsidRPr="00277C12">
        <w:rPr>
          <w:b/>
          <w:sz w:val="22"/>
          <w:szCs w:val="22"/>
        </w:rPr>
        <w:t>Πηγή:</w:t>
      </w:r>
      <w:r w:rsidRPr="00277C12">
        <w:rPr>
          <w:sz w:val="22"/>
          <w:szCs w:val="22"/>
        </w:rPr>
        <w:t xml:space="preserve"> </w:t>
      </w:r>
      <w:proofErr w:type="spellStart"/>
      <w:r w:rsidRPr="00277C12">
        <w:rPr>
          <w:sz w:val="22"/>
          <w:szCs w:val="22"/>
          <w:lang w:val="en-US"/>
        </w:rPr>
        <w:t>Merhling</w:t>
      </w:r>
      <w:proofErr w:type="spellEnd"/>
      <w:r w:rsidRPr="00277C12">
        <w:rPr>
          <w:sz w:val="22"/>
          <w:szCs w:val="22"/>
        </w:rPr>
        <w:t xml:space="preserve"> (2010)</w:t>
      </w:r>
    </w:p>
    <w:p w:rsidR="00277C12" w:rsidRDefault="00277C12" w:rsidP="004F4169">
      <w:pPr>
        <w:spacing w:line="360" w:lineRule="auto"/>
        <w:ind w:firstLine="720"/>
        <w:jc w:val="both"/>
      </w:pPr>
    </w:p>
    <w:p w:rsidR="004F4169" w:rsidRDefault="005B0509" w:rsidP="004F4169">
      <w:pPr>
        <w:spacing w:line="360" w:lineRule="auto"/>
        <w:ind w:firstLine="720"/>
        <w:jc w:val="both"/>
      </w:pPr>
      <w:r>
        <w:t xml:space="preserve">Μπορούμε να διακρίνουμε δύο πηγές αυτής της μεταβλητότητας. Πρώτη, και απλούστερη, είναι η επέκταση και συστολή της </w:t>
      </w:r>
      <w:r w:rsidRPr="00AE321F">
        <w:rPr>
          <w:i/>
        </w:rPr>
        <w:t>ποσότητας</w:t>
      </w:r>
      <w:r>
        <w:t xml:space="preserve"> πίστης, που λαμβάνει χώρα σε όλα τα επίπεδα του συστήματος. Δεύτερη, και πιο πον</w:t>
      </w:r>
      <w:r w:rsidR="004F4169">
        <w:t>ηρή είναι η μεταβλητότητα του πόσο μοιάζει με χρήμα</w:t>
      </w:r>
      <w:r>
        <w:t xml:space="preserve"> κάθε δεδομένος τύπος </w:t>
      </w:r>
      <w:r w:rsidR="004F4169">
        <w:t>πίστης. Λαμβάνοντας αυτό υπόψη</w:t>
      </w:r>
      <w:r>
        <w:t xml:space="preserve">, </w:t>
      </w:r>
      <w:r w:rsidRPr="004F4169">
        <w:t>η ποιότητα</w:t>
      </w:r>
      <w:r>
        <w:t xml:space="preserve">  της πίστης τείνει να αυξηθεί κατά τη διάρκεια μιας επέκτασης, και να μειωθεί κατά τη διάρκεια μιας συστολής. Σε κάθε περίπτωση, το νομισματικό σύστημα μπορεί να χαρακτηρισθεί από την ισορροπία ανάμεσα σε αυτές τις δύο διαστάσεις. Πρόκειται σαν να έχουμε μια ταλάντευση από </w:t>
      </w:r>
      <w:r w:rsidRPr="00C45989">
        <w:rPr>
          <w:i/>
        </w:rPr>
        <w:t>σπανιότητα</w:t>
      </w:r>
      <w:r>
        <w:rPr>
          <w:i/>
        </w:rPr>
        <w:t xml:space="preserve"> </w:t>
      </w:r>
      <w:r w:rsidRPr="00C45989">
        <w:t>σε</w:t>
      </w:r>
      <w:r>
        <w:rPr>
          <w:i/>
        </w:rPr>
        <w:t xml:space="preserve"> ελαστικότητα </w:t>
      </w:r>
      <w:r>
        <w:t>και πάλι πίσω.</w:t>
      </w:r>
    </w:p>
    <w:p w:rsidR="005B0509" w:rsidRDefault="005B0509" w:rsidP="004F4169">
      <w:pPr>
        <w:spacing w:line="360" w:lineRule="auto"/>
        <w:ind w:firstLine="720"/>
        <w:jc w:val="both"/>
        <w:rPr>
          <w:rFonts w:eastAsia="TimesNewRomanPS-BoldMT" w:cs="TimesNewRomanPS-BoldMT"/>
          <w:bCs/>
        </w:rPr>
      </w:pPr>
      <w:r w:rsidRPr="00102755">
        <w:t>Η ιστορία της νομισματικής θεωρίας κυριαρχείται σε μεγάλο βαθμό από ένα διάλογο μεταξύ</w:t>
      </w:r>
      <w:r>
        <w:t xml:space="preserve"> δύο απόψεων, που συχνά διαχωρίζονται ως η </w:t>
      </w:r>
      <w:r w:rsidR="004F4169">
        <w:rPr>
          <w:i/>
        </w:rPr>
        <w:t>Νομισματική Σ</w:t>
      </w:r>
      <w:r w:rsidRPr="009875A1">
        <w:rPr>
          <w:i/>
        </w:rPr>
        <w:t>χολή</w:t>
      </w:r>
      <w:r w:rsidR="004F4169">
        <w:rPr>
          <w:i/>
        </w:rPr>
        <w:t xml:space="preserve"> και η Τραπεζική Σχολή</w:t>
      </w:r>
      <w:r w:rsidR="004F4169">
        <w:t>.</w:t>
      </w:r>
      <w:r>
        <w:t xml:space="preserve"> </w:t>
      </w:r>
      <w:r w:rsidR="004F4169">
        <w:t xml:space="preserve">Η πρώτη δίνει </w:t>
      </w:r>
      <w:r>
        <w:t xml:space="preserve">έμφαση </w:t>
      </w:r>
      <w:r w:rsidR="004F4169">
        <w:t xml:space="preserve">στη σπανιότητα του έσχατου χρήματος. Η δεύτερη στην ελαστικότητα της δημιουργίας πίστης. </w:t>
      </w:r>
      <w:r>
        <w:t xml:space="preserve">Σύμφωνα με τον </w:t>
      </w:r>
      <w:proofErr w:type="spellStart"/>
      <w:r w:rsidRPr="009875A1">
        <w:rPr>
          <w:lang w:val="en-US"/>
        </w:rPr>
        <w:t>Mehrling</w:t>
      </w:r>
      <w:proofErr w:type="spellEnd"/>
      <w:r w:rsidR="004F4169">
        <w:t xml:space="preserve"> </w:t>
      </w:r>
      <w:r w:rsidRPr="009875A1">
        <w:lastRenderedPageBreak/>
        <w:t>(</w:t>
      </w:r>
      <w:r w:rsidR="004F4169">
        <w:t>2010</w:t>
      </w:r>
      <w:r w:rsidRPr="009875A1">
        <w:t>)</w:t>
      </w:r>
      <w:r>
        <w:t>, και οι δύο έχουν μέρος της αλήθειας αλλά καμία δεν έχει όλη την αλήθεια. Επομένως, η ρευστότητα είναι ταυτόχρονα και φυσικά σπάνια και φυσικά ελαστική</w:t>
      </w:r>
      <w:r w:rsidR="004F4169">
        <w:t xml:space="preserve">.  </w:t>
      </w:r>
      <w:r>
        <w:rPr>
          <w:rFonts w:eastAsia="TimesNewRomanPS-BoldMT" w:cs="TimesNewRomanPS-BoldMT"/>
          <w:bCs/>
        </w:rPr>
        <w:t>Η φυσική σπανιότητα προέρχεται από το γεγονός ότι οι οικονομικές μονάδες (</w:t>
      </w:r>
      <w:r>
        <w:rPr>
          <w:rFonts w:eastAsia="TimesNewRomanPS-BoldMT" w:cs="TimesNewRomanPS-BoldMT"/>
          <w:bCs/>
          <w:lang w:val="en-US"/>
        </w:rPr>
        <w:t>agents</w:t>
      </w:r>
      <w:r w:rsidRPr="00406243">
        <w:rPr>
          <w:rFonts w:eastAsia="TimesNewRomanPS-BoldMT" w:cs="TimesNewRomanPS-BoldMT"/>
          <w:bCs/>
        </w:rPr>
        <w:t xml:space="preserve">) </w:t>
      </w:r>
      <w:r>
        <w:rPr>
          <w:rFonts w:eastAsia="TimesNewRomanPS-BoldMT" w:cs="TimesNewRomanPS-BoldMT"/>
          <w:bCs/>
        </w:rPr>
        <w:t>σε κάθε συγκεκριμένο επίπεδο της ιεραρχίας δε μπορούν μόνο με τις δικές τους δράσεις να αυξήσουν την ποσότητα των μορφών του χρήματος σε υψηλότερο επίπεδο από το δικό τους. Ακριβώς έτσι, οι κυβερνήσεις δε μπορούν να αυξήσουν την ποσότητα χρυσού, και οι τράπεζες να αυξήσουν την ποσότητα του κρατικού νομίσματος. Η διαθεσιμότητα χρήματος επομένως χρησιμεύει ως περιορισμός που κρατά πίσω το σύστημα στις προσπάθειες του να εξαπλωθεί.</w:t>
      </w:r>
    </w:p>
    <w:p w:rsidR="005B0509" w:rsidRPr="00102755" w:rsidRDefault="005B0509" w:rsidP="001C7F85">
      <w:pPr>
        <w:spacing w:line="360" w:lineRule="auto"/>
        <w:ind w:firstLine="720"/>
        <w:jc w:val="both"/>
        <w:rPr>
          <w:rFonts w:eastAsia="TimesNewRomanPS-BoldMT" w:cs="TimesNewRomanPS-BoldMT"/>
          <w:bCs/>
        </w:rPr>
      </w:pPr>
      <w:r>
        <w:rPr>
          <w:rFonts w:eastAsia="TimesNewRomanPS-BoldMT" w:cs="TimesNewRomanPS-BoldMT"/>
          <w:bCs/>
        </w:rPr>
        <w:t>Για παράδειγμα εάν η τράπεζα Α και η τράπεζα Β θέλουνε να κάνουνε μια συναλλαγή και η Β είναι πρόθυμη να δεχθεί μια ανάληψη υποχρέωσης</w:t>
      </w:r>
      <w:r w:rsidRPr="00406243">
        <w:rPr>
          <w:rFonts w:eastAsia="TimesNewRomanPS-BoldMT" w:cs="TimesNewRomanPS-BoldMT"/>
          <w:bCs/>
        </w:rPr>
        <w:t xml:space="preserve"> </w:t>
      </w:r>
      <w:r>
        <w:rPr>
          <w:rFonts w:eastAsia="TimesNewRomanPS-BoldMT" w:cs="TimesNewRomanPS-BoldMT"/>
          <w:bCs/>
        </w:rPr>
        <w:t>από την Α, τότε αυτό που κάνει εφικτή τη συναλλαγή είναι μια επέκταση της πίστης. Η ελαστικότητα της πίστης επομένως χρησιμεύει σαν ένα στοιχείο ελευθερίας που διευκολύνει την απελευθέρωση από τον περιορισμό των διαθεσίμων της κεντρικής τράπεζας που μπορεί να σταθεί ως εμπόδιο στο δρόμο της επέκτασης. Το σημαντικό σημείο είναι ότι το σύστημα περιλαμβάνει σε κάθε περίπτωση μια ισορροπία μεταξύ πειθαρχίας και ελαστικότητας, με μερικές φορές τη μία και μερικές την άλλη να λειτουργεί ως η πιο ισχυρή.</w:t>
      </w:r>
    </w:p>
    <w:p w:rsidR="005B0509" w:rsidRDefault="005B0509" w:rsidP="00802C1C">
      <w:pPr>
        <w:spacing w:line="360" w:lineRule="auto"/>
        <w:jc w:val="both"/>
        <w:rPr>
          <w:rFonts w:eastAsia="TimesNewRomanPS-BoldMT" w:cs="TimesNewRomanPS-BoldMT"/>
          <w:b/>
          <w:bCs/>
          <w:u w:val="single"/>
        </w:rPr>
      </w:pPr>
    </w:p>
    <w:p w:rsidR="005B0509" w:rsidRPr="00F861D4" w:rsidRDefault="008576F3" w:rsidP="00802C1C">
      <w:pPr>
        <w:pStyle w:val="2"/>
        <w:spacing w:before="0" w:after="0" w:line="360" w:lineRule="auto"/>
        <w:jc w:val="both"/>
        <w:rPr>
          <w:rFonts w:ascii="Times New Roman" w:hAnsi="Times New Roman" w:cs="Times New Roman"/>
          <w:i w:val="0"/>
        </w:rPr>
      </w:pPr>
      <w:bookmarkStart w:id="5" w:name="_Toc393111062"/>
      <w:r>
        <w:rPr>
          <w:rFonts w:ascii="Times New Roman" w:hAnsi="Times New Roman" w:cs="Times New Roman"/>
          <w:i w:val="0"/>
        </w:rPr>
        <w:t>4</w:t>
      </w:r>
      <w:r w:rsidRPr="00390868">
        <w:rPr>
          <w:rFonts w:ascii="Times New Roman" w:hAnsi="Times New Roman" w:cs="Times New Roman"/>
          <w:i w:val="0"/>
        </w:rPr>
        <w:t>.</w:t>
      </w:r>
      <w:r>
        <w:rPr>
          <w:rFonts w:ascii="Times New Roman" w:hAnsi="Times New Roman" w:cs="Times New Roman"/>
          <w:i w:val="0"/>
        </w:rPr>
        <w:t>2</w:t>
      </w:r>
      <w:r w:rsidRPr="00390868">
        <w:rPr>
          <w:rFonts w:ascii="Times New Roman" w:hAnsi="Times New Roman" w:cs="Times New Roman"/>
          <w:i w:val="0"/>
        </w:rPr>
        <w:t xml:space="preserve"> </w:t>
      </w:r>
      <w:r w:rsidR="005B0509" w:rsidRPr="00F861D4">
        <w:rPr>
          <w:rFonts w:ascii="Times New Roman" w:hAnsi="Times New Roman" w:cs="Times New Roman"/>
          <w:i w:val="0"/>
        </w:rPr>
        <w:t xml:space="preserve">Οι </w:t>
      </w:r>
      <w:r w:rsidR="000414F6">
        <w:rPr>
          <w:rFonts w:ascii="Times New Roman" w:hAnsi="Times New Roman" w:cs="Times New Roman"/>
          <w:i w:val="0"/>
        </w:rPr>
        <w:t>διαμορφωτές α</w:t>
      </w:r>
      <w:r w:rsidR="005B0509" w:rsidRPr="00F861D4">
        <w:rPr>
          <w:rFonts w:ascii="Times New Roman" w:hAnsi="Times New Roman" w:cs="Times New Roman"/>
          <w:i w:val="0"/>
        </w:rPr>
        <w:t>γοράς (</w:t>
      </w:r>
      <w:proofErr w:type="spellStart"/>
      <w:r w:rsidR="005B0509" w:rsidRPr="00F861D4">
        <w:rPr>
          <w:rFonts w:ascii="Times New Roman" w:hAnsi="Times New Roman" w:cs="Times New Roman"/>
          <w:i w:val="0"/>
        </w:rPr>
        <w:t>Market</w:t>
      </w:r>
      <w:proofErr w:type="spellEnd"/>
      <w:r w:rsidR="005B0509" w:rsidRPr="00F861D4">
        <w:rPr>
          <w:rFonts w:ascii="Times New Roman" w:hAnsi="Times New Roman" w:cs="Times New Roman"/>
          <w:i w:val="0"/>
        </w:rPr>
        <w:t xml:space="preserve"> </w:t>
      </w:r>
      <w:proofErr w:type="spellStart"/>
      <w:r w:rsidR="005B0509" w:rsidRPr="00F861D4">
        <w:rPr>
          <w:rFonts w:ascii="Times New Roman" w:hAnsi="Times New Roman" w:cs="Times New Roman"/>
          <w:i w:val="0"/>
        </w:rPr>
        <w:t>Makers</w:t>
      </w:r>
      <w:proofErr w:type="spellEnd"/>
      <w:r w:rsidR="005B0509" w:rsidRPr="00F861D4">
        <w:rPr>
          <w:rFonts w:ascii="Times New Roman" w:hAnsi="Times New Roman" w:cs="Times New Roman"/>
          <w:i w:val="0"/>
        </w:rPr>
        <w:t>)</w:t>
      </w:r>
      <w:bookmarkEnd w:id="5"/>
    </w:p>
    <w:p w:rsidR="004F4169" w:rsidRDefault="005B0509" w:rsidP="004F4169">
      <w:pPr>
        <w:spacing w:line="360" w:lineRule="auto"/>
        <w:ind w:firstLine="720"/>
        <w:jc w:val="both"/>
      </w:pPr>
      <w:r>
        <w:rPr>
          <w:rFonts w:eastAsia="TimesNewRomanPS-BoldMT" w:cs="TimesNewRomanPS-BoldMT"/>
          <w:bCs/>
        </w:rPr>
        <w:t>Ο δυναμικός και ο ιεραρχικός χαρακτήρας, είναι βαθιά χαρακτηριστικά του συστήματος. Αυτό σημαίνει ότι, η ιεραρχία</w:t>
      </w:r>
      <w:r w:rsidRPr="004F4169">
        <w:rPr>
          <w:rFonts w:eastAsia="TimesNewRomanPS-BoldMT" w:cs="TimesNewRomanPS-BoldMT"/>
          <w:bCs/>
        </w:rPr>
        <w:t xml:space="preserve"> δεν</w:t>
      </w:r>
      <w:r>
        <w:rPr>
          <w:rFonts w:eastAsia="TimesNewRomanPS-BoldMT" w:cs="TimesNewRomanPS-BoldMT"/>
          <w:bCs/>
        </w:rPr>
        <w:t xml:space="preserve"> είναι κάτι που επιβάλλεται από πάνω προς τα κάτω, π.χ. από την κυβέρνηση ή την κεντρική τράπεζα. Αλλά ότι </w:t>
      </w:r>
      <w:r>
        <w:t xml:space="preserve">η θεσμική οργάνωση του νομισματικού συστήματος εγγενώς περιλαμβάνει ένα σύστημα </w:t>
      </w:r>
      <w:r w:rsidRPr="004F4169">
        <w:rPr>
          <w:b/>
          <w:i/>
        </w:rPr>
        <w:t>διαμορφωτών αγοράς (</w:t>
      </w:r>
      <w:r w:rsidRPr="004F4169">
        <w:rPr>
          <w:b/>
          <w:i/>
          <w:lang w:val="en-US"/>
        </w:rPr>
        <w:t>market</w:t>
      </w:r>
      <w:r w:rsidRPr="004F4169">
        <w:rPr>
          <w:b/>
          <w:i/>
        </w:rPr>
        <w:t xml:space="preserve"> </w:t>
      </w:r>
      <w:r w:rsidRPr="004F4169">
        <w:rPr>
          <w:b/>
          <w:i/>
          <w:lang w:val="en-US"/>
        </w:rPr>
        <w:t>makers</w:t>
      </w:r>
      <w:r w:rsidRPr="004F4169">
        <w:rPr>
          <w:b/>
          <w:i/>
        </w:rPr>
        <w:t>)</w:t>
      </w:r>
      <w:r>
        <w:t xml:space="preserve"> σε διαφορετικά επίπεδα της φυσικής ιεραρχίας</w:t>
      </w:r>
      <w:r w:rsidRPr="00F4758C">
        <w:rPr>
          <w:rFonts w:eastAsia="TimesNewRomanPS-BoldMT" w:cs="TimesNewRomanPS-BoldMT"/>
          <w:bCs/>
        </w:rPr>
        <w:t xml:space="preserve"> </w:t>
      </w:r>
      <w:r>
        <w:rPr>
          <w:rFonts w:eastAsia="TimesNewRomanPS-BoldMT" w:cs="TimesNewRomanPS-BoldMT"/>
          <w:bCs/>
        </w:rPr>
        <w:t>(</w:t>
      </w:r>
      <w:proofErr w:type="spellStart"/>
      <w:r>
        <w:rPr>
          <w:rFonts w:eastAsia="TimesNewRomanPS-BoldMT" w:cs="TimesNewRomanPS-BoldMT"/>
          <w:bCs/>
          <w:lang w:val="en-US"/>
        </w:rPr>
        <w:t>Merhling</w:t>
      </w:r>
      <w:proofErr w:type="spellEnd"/>
      <w:r w:rsidR="004F4169">
        <w:rPr>
          <w:rFonts w:eastAsia="TimesNewRomanPS-BoldMT" w:cs="TimesNewRomanPS-BoldMT"/>
          <w:bCs/>
        </w:rPr>
        <w:t>,</w:t>
      </w:r>
      <w:r>
        <w:rPr>
          <w:rFonts w:eastAsia="TimesNewRomanPS-BoldMT" w:cs="TimesNewRomanPS-BoldMT"/>
          <w:bCs/>
        </w:rPr>
        <w:t xml:space="preserve"> </w:t>
      </w:r>
      <w:r w:rsidR="004F4169">
        <w:rPr>
          <w:rFonts w:eastAsia="TimesNewRomanPS-BoldMT" w:cs="TimesNewRomanPS-BoldMT"/>
          <w:bCs/>
        </w:rPr>
        <w:t>2010</w:t>
      </w:r>
      <w:r w:rsidRPr="00F4758C">
        <w:rPr>
          <w:rFonts w:eastAsia="TimesNewRomanPS-BoldMT" w:cs="TimesNewRomanPS-BoldMT"/>
          <w:bCs/>
        </w:rPr>
        <w:t>)</w:t>
      </w:r>
      <w:r>
        <w:t xml:space="preserve">. </w:t>
      </w:r>
    </w:p>
    <w:p w:rsidR="004F4169" w:rsidRDefault="005B0509" w:rsidP="004F4169">
      <w:pPr>
        <w:spacing w:line="360" w:lineRule="auto"/>
        <w:ind w:firstLine="720"/>
        <w:jc w:val="both"/>
      </w:pPr>
      <w:r>
        <w:t>Ένας διαπραγματευτής τίτλων (</w:t>
      </w:r>
      <w:r>
        <w:rPr>
          <w:lang w:val="en-US"/>
        </w:rPr>
        <w:t>dealer</w:t>
      </w:r>
      <w:r w:rsidRPr="00406243">
        <w:t xml:space="preserve">) </w:t>
      </w:r>
      <w:r>
        <w:t xml:space="preserve">αποτελεί ένα είδος διαμορφωτή αγοράς, είναι δηλαδή σε ετοιμότητα να </w:t>
      </w:r>
      <w:r w:rsidR="004F4169">
        <w:t>αγοράσει ή να πουλήσει ένα</w:t>
      </w:r>
      <w:r>
        <w:t xml:space="preserve"> τίτλο σε μια δεδομένη τιμή </w:t>
      </w:r>
      <w:r w:rsidR="004F4169">
        <w:t xml:space="preserve">σε όρους χρήματος </w:t>
      </w:r>
      <w:r>
        <w:t>(στην πραγματικότητα</w:t>
      </w:r>
      <w:r w:rsidR="004F4169">
        <w:t xml:space="preserve"> σε</w:t>
      </w:r>
      <w:r>
        <w:t xml:space="preserve"> δύο τιμές,,</w:t>
      </w:r>
      <w:r w:rsidR="004F4169">
        <w:t xml:space="preserve"> είναι</w:t>
      </w:r>
      <w:r>
        <w:t xml:space="preserve"> το περιθώριο αγοράς-πώλησης)</w:t>
      </w:r>
      <w:r w:rsidR="004F4169">
        <w:t>.</w:t>
      </w:r>
      <w:r>
        <w:t xml:space="preserve"> Το πραγματοποιεί κρατώντας ένα απόθεμα τίτλων και χρήματος ( πιο συγκεκριμένα </w:t>
      </w:r>
      <w:r>
        <w:rPr>
          <w:lang w:val="en-US"/>
        </w:rPr>
        <w:t>repos</w:t>
      </w:r>
      <w:r w:rsidRPr="00406243">
        <w:t xml:space="preserve"> </w:t>
      </w:r>
      <w:r>
        <w:t xml:space="preserve">και αντίστροφα </w:t>
      </w:r>
      <w:r>
        <w:rPr>
          <w:lang w:val="en-US"/>
        </w:rPr>
        <w:t>repos</w:t>
      </w:r>
      <w:r>
        <w:t xml:space="preserve"> που θα αναλύσουμε </w:t>
      </w:r>
      <w:r w:rsidR="00F861D4">
        <w:t>στο κεφάλαιο αγορά χρήματος</w:t>
      </w:r>
      <w:r>
        <w:t>)</w:t>
      </w:r>
      <w:r w:rsidRPr="00406243">
        <w:t>.</w:t>
      </w:r>
      <w:r>
        <w:t xml:space="preserve"> Ανάλογα σκεφτείτε την τράπεζα σαν ένα </w:t>
      </w:r>
      <w:r>
        <w:lastRenderedPageBreak/>
        <w:t>διαπραγματευτή καταθέσεων έτοιμο να αγοράσει ή να πουλήσει μια κατάθεση σε μια δεδομένη τιμή σε όρους νομίσματος. Ανάλογα και η κεντρική τράπεζα η οποία, κάτω από έναν κανόνα χρυσού, είναι σε επιφυλακή να αγοράσει ή να πουλήσει νόμισμα σε όρους χρυσού. Έτσι και οι τράπεζες και οι κεντρικές τράπεζες είναι επομένως σαν εξειδικευ</w:t>
      </w:r>
      <w:r w:rsidR="004F4169">
        <w:t xml:space="preserve">μένοι διαπραγματευτές τίτλων.  </w:t>
      </w:r>
    </w:p>
    <w:p w:rsidR="005B0509" w:rsidRDefault="005B0509" w:rsidP="004F4169">
      <w:pPr>
        <w:spacing w:line="360" w:lineRule="auto"/>
        <w:ind w:firstLine="720"/>
        <w:jc w:val="both"/>
      </w:pPr>
      <w:r>
        <w:t>Όμως σκεπτόμενοι όπως είδαμε την ιεραρχία μεταξύ των διαφόρων αξιόγραφων υπάρχει και μια ιεραρχία μεταξύ των διαμορφωτών αγοράς. Έτσι για κάθε διαμορφωτή αγοράς, υπάρχει μια συνδεόμενη τιμή του χρήματος. Οι τιμές στην απλή ιεραρχία είναι τρεις</w:t>
      </w:r>
      <w:r w:rsidRPr="00406243">
        <w:t>:</w:t>
      </w:r>
      <w:r>
        <w:t xml:space="preserve"> η συναλλαγματική ισοτιμία (η τιμή του νομίσματος σε όρους χρυσού), η τιμή στο άρτιο «</w:t>
      </w:r>
      <w:r>
        <w:rPr>
          <w:lang w:val="en-US"/>
        </w:rPr>
        <w:t>par</w:t>
      </w:r>
      <w:r>
        <w:t>»</w:t>
      </w:r>
      <w:r w:rsidRPr="00406243">
        <w:t xml:space="preserve"> </w:t>
      </w:r>
      <w:r>
        <w:t xml:space="preserve">(τιμή των καταθέσεων σε όρους νομίσματος), και το επιτόκιο (η τιμή των τίτλων σε όρους καταθέσεων ή νομίσματος, υποθέτοντας </w:t>
      </w:r>
      <w:r>
        <w:rPr>
          <w:lang w:val="en-US"/>
        </w:rPr>
        <w:t>par</w:t>
      </w:r>
      <w:r w:rsidRPr="00406243">
        <w:t xml:space="preserve">). </w:t>
      </w:r>
      <w:r>
        <w:t>Σε οποιοδήποτε χρονικό σημείο, οι διαμορφωτές αγοράς βρίσκονται ανάμεσα σε δύο στρώματα του συστήματος όπως φαίνεται</w:t>
      </w:r>
      <w:r w:rsidR="002864D1">
        <w:t xml:space="preserve"> στο ακόλουθο πίνακ</w:t>
      </w:r>
      <w:r>
        <w:t>α.</w:t>
      </w:r>
    </w:p>
    <w:p w:rsidR="008576F3" w:rsidRDefault="008576F3" w:rsidP="005B0509">
      <w:pPr>
        <w:rPr>
          <w:b/>
        </w:rPr>
      </w:pPr>
    </w:p>
    <w:p w:rsidR="005B0509" w:rsidRPr="00A4011C" w:rsidRDefault="002864D1" w:rsidP="005B0509">
      <w:r>
        <w:rPr>
          <w:b/>
        </w:rPr>
        <w:t>Πίνακας 4.</w:t>
      </w:r>
      <w:r w:rsidR="000C510F">
        <w:rPr>
          <w:b/>
        </w:rPr>
        <w:t>3</w:t>
      </w:r>
      <w:r>
        <w:rPr>
          <w:b/>
        </w:rPr>
        <w:t xml:space="preserve"> </w:t>
      </w:r>
      <w:r w:rsidR="005B0509">
        <w:t xml:space="preserve"> </w:t>
      </w:r>
      <w:r w:rsidR="005B0509" w:rsidRPr="009D1F11">
        <w:t>Η ιεραρχία στους διαμορφωτές αγοράς</w:t>
      </w:r>
      <w:r w:rsidR="0057493E">
        <w:t xml:space="preserve"> (</w:t>
      </w:r>
      <w:r w:rsidR="0057493E">
        <w:rPr>
          <w:lang w:val="en-US"/>
        </w:rPr>
        <w:t>Market</w:t>
      </w:r>
      <w:r w:rsidR="0057493E" w:rsidRPr="0057493E">
        <w:t xml:space="preserve"> </w:t>
      </w:r>
      <w:r w:rsidR="0057493E">
        <w:rPr>
          <w:lang w:val="en-US"/>
        </w:rPr>
        <w:t>Makers</w:t>
      </w:r>
      <w:r w:rsidR="0057493E">
        <w:t>)</w:t>
      </w:r>
    </w:p>
    <w:tbl>
      <w:tblPr>
        <w:tblStyle w:val="af3"/>
        <w:tblW w:w="0" w:type="auto"/>
        <w:tblLook w:val="04A0" w:firstRow="1" w:lastRow="0" w:firstColumn="1" w:lastColumn="0" w:noHBand="0" w:noVBand="1"/>
      </w:tblPr>
      <w:tblGrid>
        <w:gridCol w:w="2842"/>
        <w:gridCol w:w="2843"/>
        <w:gridCol w:w="2843"/>
      </w:tblGrid>
      <w:tr w:rsidR="002B0106" w:rsidRPr="00277C12" w:rsidTr="00A4011C">
        <w:trPr>
          <w:trHeight w:val="503"/>
        </w:trPr>
        <w:tc>
          <w:tcPr>
            <w:tcW w:w="2842" w:type="dxa"/>
          </w:tcPr>
          <w:p w:rsidR="002B0106" w:rsidRPr="00277C12" w:rsidRDefault="002B0106" w:rsidP="002B0106">
            <w:pPr>
              <w:jc w:val="center"/>
              <w:rPr>
                <w:rFonts w:ascii="Times New Roman" w:hAnsi="Times New Roman"/>
                <w:b/>
              </w:rPr>
            </w:pPr>
            <w:r w:rsidRPr="00277C12">
              <w:rPr>
                <w:rFonts w:ascii="Times New Roman" w:hAnsi="Times New Roman"/>
                <w:b/>
              </w:rPr>
              <w:t>Στοιχείο Ενεργητικού</w:t>
            </w:r>
          </w:p>
        </w:tc>
        <w:tc>
          <w:tcPr>
            <w:tcW w:w="2843" w:type="dxa"/>
          </w:tcPr>
          <w:p w:rsidR="002B0106" w:rsidRPr="00277C12" w:rsidRDefault="002B0106" w:rsidP="002B0106">
            <w:pPr>
              <w:jc w:val="center"/>
              <w:rPr>
                <w:rFonts w:ascii="Times New Roman" w:hAnsi="Times New Roman"/>
                <w:b/>
              </w:rPr>
            </w:pPr>
            <w:r w:rsidRPr="00277C12">
              <w:rPr>
                <w:rFonts w:ascii="Times New Roman" w:hAnsi="Times New Roman"/>
                <w:b/>
              </w:rPr>
              <w:t>Διαμορφωτής Αγοράς</w:t>
            </w:r>
          </w:p>
        </w:tc>
        <w:tc>
          <w:tcPr>
            <w:tcW w:w="2843" w:type="dxa"/>
          </w:tcPr>
          <w:p w:rsidR="002B0106" w:rsidRPr="00277C12" w:rsidRDefault="002B0106" w:rsidP="002B0106">
            <w:pPr>
              <w:jc w:val="center"/>
              <w:rPr>
                <w:rFonts w:ascii="Times New Roman" w:hAnsi="Times New Roman"/>
                <w:b/>
              </w:rPr>
            </w:pPr>
            <w:r w:rsidRPr="00277C12">
              <w:rPr>
                <w:rFonts w:ascii="Times New Roman" w:hAnsi="Times New Roman"/>
                <w:b/>
              </w:rPr>
              <w:t>Τιμή</w:t>
            </w:r>
          </w:p>
        </w:tc>
      </w:tr>
      <w:tr w:rsidR="002B0106" w:rsidRPr="00277C12" w:rsidTr="00A4011C">
        <w:tc>
          <w:tcPr>
            <w:tcW w:w="2842" w:type="dxa"/>
          </w:tcPr>
          <w:p w:rsidR="002B0106" w:rsidRPr="00277C12" w:rsidRDefault="0057493E" w:rsidP="0057493E">
            <w:pPr>
              <w:jc w:val="center"/>
              <w:rPr>
                <w:rFonts w:ascii="Times New Roman" w:hAnsi="Times New Roman"/>
                <w:lang w:val="en-US"/>
              </w:rPr>
            </w:pPr>
            <w:r w:rsidRPr="00277C12">
              <w:rPr>
                <w:rFonts w:ascii="Times New Roman" w:hAnsi="Times New Roman"/>
              </w:rPr>
              <w:t>Χρυσός</w:t>
            </w:r>
          </w:p>
        </w:tc>
        <w:tc>
          <w:tcPr>
            <w:tcW w:w="2843" w:type="dxa"/>
          </w:tcPr>
          <w:p w:rsidR="002B0106" w:rsidRPr="00277C12" w:rsidRDefault="002B0106" w:rsidP="0057493E">
            <w:pPr>
              <w:jc w:val="center"/>
              <w:rPr>
                <w:rFonts w:ascii="Times New Roman" w:hAnsi="Times New Roman"/>
                <w:lang w:val="en-US"/>
              </w:rPr>
            </w:pPr>
          </w:p>
        </w:tc>
        <w:tc>
          <w:tcPr>
            <w:tcW w:w="2843" w:type="dxa"/>
          </w:tcPr>
          <w:p w:rsidR="002B0106" w:rsidRPr="00277C12" w:rsidRDefault="0057493E" w:rsidP="0057493E">
            <w:pPr>
              <w:jc w:val="center"/>
              <w:rPr>
                <w:rFonts w:ascii="Times New Roman" w:hAnsi="Times New Roman"/>
                <w:lang w:val="en-US"/>
              </w:rPr>
            </w:pPr>
            <w:proofErr w:type="spellStart"/>
            <w:r w:rsidRPr="00277C12">
              <w:rPr>
                <w:rFonts w:ascii="Times New Roman" w:hAnsi="Times New Roman"/>
                <w:lang w:val="en-US"/>
              </w:rPr>
              <w:t>Συν</w:t>
            </w:r>
            <w:proofErr w:type="spellEnd"/>
            <w:r w:rsidRPr="00277C12">
              <w:rPr>
                <w:rFonts w:ascii="Times New Roman" w:hAnsi="Times New Roman"/>
                <w:lang w:val="en-US"/>
              </w:rPr>
              <w:t xml:space="preserve">αλλαγματική </w:t>
            </w:r>
            <w:proofErr w:type="spellStart"/>
            <w:r w:rsidRPr="00277C12">
              <w:rPr>
                <w:rFonts w:ascii="Times New Roman" w:hAnsi="Times New Roman"/>
                <w:lang w:val="en-US"/>
              </w:rPr>
              <w:t>ισοτιμί</w:t>
            </w:r>
            <w:proofErr w:type="spellEnd"/>
            <w:r w:rsidRPr="00277C12">
              <w:rPr>
                <w:rFonts w:ascii="Times New Roman" w:hAnsi="Times New Roman"/>
                <w:lang w:val="en-US"/>
              </w:rPr>
              <w:t>α</w:t>
            </w:r>
          </w:p>
        </w:tc>
      </w:tr>
      <w:tr w:rsidR="0057493E" w:rsidRPr="00277C12" w:rsidTr="00A4011C">
        <w:tc>
          <w:tcPr>
            <w:tcW w:w="2842" w:type="dxa"/>
          </w:tcPr>
          <w:p w:rsidR="0057493E" w:rsidRPr="00277C12" w:rsidRDefault="0057493E" w:rsidP="0057493E">
            <w:pPr>
              <w:jc w:val="center"/>
              <w:rPr>
                <w:rFonts w:ascii="Times New Roman" w:hAnsi="Times New Roman"/>
                <w:lang w:val="en-US"/>
              </w:rPr>
            </w:pPr>
          </w:p>
        </w:tc>
        <w:tc>
          <w:tcPr>
            <w:tcW w:w="2843" w:type="dxa"/>
          </w:tcPr>
          <w:p w:rsidR="0057493E" w:rsidRPr="00277C12" w:rsidRDefault="0057493E" w:rsidP="0057493E">
            <w:pPr>
              <w:jc w:val="center"/>
              <w:rPr>
                <w:rFonts w:ascii="Times New Roman" w:hAnsi="Times New Roman"/>
                <w:lang w:val="en-US"/>
              </w:rPr>
            </w:pPr>
            <w:proofErr w:type="spellStart"/>
            <w:r w:rsidRPr="00277C12">
              <w:rPr>
                <w:rFonts w:ascii="Times New Roman" w:hAnsi="Times New Roman"/>
                <w:lang w:val="en-US"/>
              </w:rPr>
              <w:t>Κεντρική</w:t>
            </w:r>
            <w:proofErr w:type="spellEnd"/>
            <w:r w:rsidRPr="00277C12">
              <w:rPr>
                <w:rFonts w:ascii="Times New Roman" w:hAnsi="Times New Roman"/>
                <w:lang w:val="en-US"/>
              </w:rPr>
              <w:t xml:space="preserve"> </w:t>
            </w:r>
            <w:proofErr w:type="spellStart"/>
            <w:r w:rsidRPr="00277C12">
              <w:rPr>
                <w:rFonts w:ascii="Times New Roman" w:hAnsi="Times New Roman"/>
                <w:lang w:val="en-US"/>
              </w:rPr>
              <w:t>Τρά</w:t>
            </w:r>
            <w:proofErr w:type="spellEnd"/>
            <w:r w:rsidRPr="00277C12">
              <w:rPr>
                <w:rFonts w:ascii="Times New Roman" w:hAnsi="Times New Roman"/>
                <w:lang w:val="en-US"/>
              </w:rPr>
              <w:t>πεζα</w:t>
            </w:r>
          </w:p>
        </w:tc>
        <w:tc>
          <w:tcPr>
            <w:tcW w:w="2843" w:type="dxa"/>
          </w:tcPr>
          <w:p w:rsidR="0057493E" w:rsidRPr="00277C12" w:rsidRDefault="0057493E" w:rsidP="0057493E">
            <w:pPr>
              <w:jc w:val="center"/>
              <w:rPr>
                <w:rFonts w:ascii="Times New Roman" w:hAnsi="Times New Roman"/>
                <w:lang w:val="en-US"/>
              </w:rPr>
            </w:pPr>
          </w:p>
        </w:tc>
      </w:tr>
      <w:tr w:rsidR="002B0106" w:rsidRPr="00277C12" w:rsidTr="00A4011C">
        <w:tc>
          <w:tcPr>
            <w:tcW w:w="2842" w:type="dxa"/>
          </w:tcPr>
          <w:p w:rsidR="002B0106" w:rsidRPr="00277C12" w:rsidRDefault="0057493E" w:rsidP="0057493E">
            <w:pPr>
              <w:jc w:val="center"/>
              <w:rPr>
                <w:rFonts w:ascii="Times New Roman" w:hAnsi="Times New Roman"/>
                <w:lang w:val="en-US"/>
              </w:rPr>
            </w:pPr>
            <w:proofErr w:type="spellStart"/>
            <w:r w:rsidRPr="00277C12">
              <w:rPr>
                <w:rFonts w:ascii="Times New Roman" w:hAnsi="Times New Roman"/>
                <w:lang w:val="en-US"/>
              </w:rPr>
              <w:t>Νόμισμ</w:t>
            </w:r>
            <w:proofErr w:type="spellEnd"/>
            <w:r w:rsidRPr="00277C12">
              <w:rPr>
                <w:rFonts w:ascii="Times New Roman" w:hAnsi="Times New Roman"/>
                <w:lang w:val="en-US"/>
              </w:rPr>
              <w:t>α</w:t>
            </w:r>
          </w:p>
        </w:tc>
        <w:tc>
          <w:tcPr>
            <w:tcW w:w="2843" w:type="dxa"/>
          </w:tcPr>
          <w:p w:rsidR="002B0106" w:rsidRPr="00277C12" w:rsidRDefault="002B0106" w:rsidP="0057493E">
            <w:pPr>
              <w:jc w:val="center"/>
              <w:rPr>
                <w:rFonts w:ascii="Times New Roman" w:hAnsi="Times New Roman"/>
                <w:lang w:val="en-US"/>
              </w:rPr>
            </w:pPr>
          </w:p>
        </w:tc>
        <w:tc>
          <w:tcPr>
            <w:tcW w:w="2843" w:type="dxa"/>
          </w:tcPr>
          <w:p w:rsidR="002B0106" w:rsidRPr="00277C12" w:rsidRDefault="0057493E" w:rsidP="0057493E">
            <w:pPr>
              <w:jc w:val="center"/>
              <w:rPr>
                <w:rFonts w:ascii="Times New Roman" w:hAnsi="Times New Roman"/>
              </w:rPr>
            </w:pPr>
            <w:r w:rsidRPr="00277C12">
              <w:rPr>
                <w:rFonts w:ascii="Times New Roman" w:hAnsi="Times New Roman"/>
              </w:rPr>
              <w:t>Τιμή στο άρτιο (</w:t>
            </w:r>
            <w:r w:rsidRPr="00277C12">
              <w:rPr>
                <w:rFonts w:ascii="Times New Roman" w:hAnsi="Times New Roman"/>
                <w:lang w:val="en-US"/>
              </w:rPr>
              <w:t>par</w:t>
            </w:r>
            <w:r w:rsidRPr="00277C12">
              <w:rPr>
                <w:rFonts w:ascii="Times New Roman" w:hAnsi="Times New Roman"/>
              </w:rPr>
              <w:t>)</w:t>
            </w:r>
          </w:p>
        </w:tc>
      </w:tr>
      <w:tr w:rsidR="0057493E" w:rsidRPr="00277C12" w:rsidTr="00A4011C">
        <w:tc>
          <w:tcPr>
            <w:tcW w:w="2842" w:type="dxa"/>
          </w:tcPr>
          <w:p w:rsidR="0057493E" w:rsidRPr="00277C12" w:rsidRDefault="0057493E" w:rsidP="0057493E">
            <w:pPr>
              <w:jc w:val="center"/>
              <w:rPr>
                <w:rFonts w:ascii="Times New Roman" w:hAnsi="Times New Roman"/>
                <w:lang w:val="en-US"/>
              </w:rPr>
            </w:pPr>
          </w:p>
        </w:tc>
        <w:tc>
          <w:tcPr>
            <w:tcW w:w="2843" w:type="dxa"/>
          </w:tcPr>
          <w:p w:rsidR="0057493E" w:rsidRPr="00277C12" w:rsidRDefault="0057493E" w:rsidP="0057493E">
            <w:pPr>
              <w:jc w:val="center"/>
              <w:rPr>
                <w:rFonts w:ascii="Times New Roman" w:hAnsi="Times New Roman"/>
              </w:rPr>
            </w:pPr>
            <w:r w:rsidRPr="00277C12">
              <w:rPr>
                <w:rFonts w:ascii="Times New Roman" w:hAnsi="Times New Roman"/>
              </w:rPr>
              <w:t>Τραπεζικό σύστημα</w:t>
            </w:r>
          </w:p>
        </w:tc>
        <w:tc>
          <w:tcPr>
            <w:tcW w:w="2843" w:type="dxa"/>
          </w:tcPr>
          <w:p w:rsidR="0057493E" w:rsidRPr="00277C12" w:rsidRDefault="0057493E" w:rsidP="0057493E">
            <w:pPr>
              <w:jc w:val="center"/>
              <w:rPr>
                <w:rFonts w:ascii="Times New Roman" w:hAnsi="Times New Roman"/>
                <w:lang w:val="en-US"/>
              </w:rPr>
            </w:pPr>
          </w:p>
        </w:tc>
      </w:tr>
      <w:tr w:rsidR="0057493E" w:rsidRPr="00277C12" w:rsidTr="00A4011C">
        <w:tc>
          <w:tcPr>
            <w:tcW w:w="2842" w:type="dxa"/>
          </w:tcPr>
          <w:p w:rsidR="0057493E" w:rsidRPr="00277C12" w:rsidRDefault="0057493E" w:rsidP="0057493E">
            <w:pPr>
              <w:jc w:val="center"/>
              <w:rPr>
                <w:rFonts w:ascii="Times New Roman" w:hAnsi="Times New Roman"/>
                <w:lang w:val="en-US"/>
              </w:rPr>
            </w:pPr>
            <w:r w:rsidRPr="00277C12">
              <w:rPr>
                <w:rFonts w:ascii="Times New Roman" w:hAnsi="Times New Roman"/>
                <w:lang w:val="en-US"/>
              </w:rPr>
              <w:t>Κατα</w:t>
            </w:r>
            <w:proofErr w:type="spellStart"/>
            <w:r w:rsidRPr="00277C12">
              <w:rPr>
                <w:rFonts w:ascii="Times New Roman" w:hAnsi="Times New Roman"/>
                <w:lang w:val="en-US"/>
              </w:rPr>
              <w:t>θέσεις</w:t>
            </w:r>
            <w:proofErr w:type="spellEnd"/>
          </w:p>
        </w:tc>
        <w:tc>
          <w:tcPr>
            <w:tcW w:w="2843" w:type="dxa"/>
          </w:tcPr>
          <w:p w:rsidR="0057493E" w:rsidRPr="00277C12" w:rsidRDefault="0057493E" w:rsidP="0057493E">
            <w:pPr>
              <w:jc w:val="center"/>
              <w:rPr>
                <w:rFonts w:ascii="Times New Roman" w:hAnsi="Times New Roman"/>
                <w:lang w:val="en-US"/>
              </w:rPr>
            </w:pPr>
          </w:p>
        </w:tc>
        <w:tc>
          <w:tcPr>
            <w:tcW w:w="2843" w:type="dxa"/>
          </w:tcPr>
          <w:p w:rsidR="0057493E" w:rsidRPr="00277C12" w:rsidRDefault="0057493E" w:rsidP="0057493E">
            <w:pPr>
              <w:jc w:val="center"/>
              <w:rPr>
                <w:rFonts w:ascii="Times New Roman" w:hAnsi="Times New Roman"/>
              </w:rPr>
            </w:pPr>
            <w:r w:rsidRPr="00277C12">
              <w:rPr>
                <w:rFonts w:ascii="Times New Roman" w:hAnsi="Times New Roman"/>
              </w:rPr>
              <w:t>Επιτόκιο</w:t>
            </w:r>
          </w:p>
        </w:tc>
      </w:tr>
      <w:tr w:rsidR="0057493E" w:rsidRPr="00277C12" w:rsidTr="00A4011C">
        <w:tc>
          <w:tcPr>
            <w:tcW w:w="2842" w:type="dxa"/>
          </w:tcPr>
          <w:p w:rsidR="0057493E" w:rsidRPr="00277C12" w:rsidRDefault="0057493E" w:rsidP="0057493E">
            <w:pPr>
              <w:jc w:val="center"/>
              <w:rPr>
                <w:rFonts w:ascii="Times New Roman" w:hAnsi="Times New Roman"/>
                <w:lang w:val="en-US"/>
              </w:rPr>
            </w:pPr>
          </w:p>
        </w:tc>
        <w:tc>
          <w:tcPr>
            <w:tcW w:w="2843" w:type="dxa"/>
          </w:tcPr>
          <w:p w:rsidR="0057493E" w:rsidRPr="00277C12" w:rsidRDefault="0057493E" w:rsidP="0057493E">
            <w:pPr>
              <w:jc w:val="center"/>
              <w:rPr>
                <w:rFonts w:ascii="Times New Roman" w:hAnsi="Times New Roman"/>
              </w:rPr>
            </w:pPr>
            <w:r w:rsidRPr="00277C12">
              <w:rPr>
                <w:rFonts w:ascii="Times New Roman" w:hAnsi="Times New Roman"/>
              </w:rPr>
              <w:t>Διαπραγματευτές Τίτλων</w:t>
            </w:r>
          </w:p>
        </w:tc>
        <w:tc>
          <w:tcPr>
            <w:tcW w:w="2843" w:type="dxa"/>
          </w:tcPr>
          <w:p w:rsidR="0057493E" w:rsidRPr="00277C12" w:rsidRDefault="0057493E" w:rsidP="0057493E">
            <w:pPr>
              <w:jc w:val="center"/>
              <w:rPr>
                <w:rFonts w:ascii="Times New Roman" w:hAnsi="Times New Roman"/>
                <w:lang w:val="en-US"/>
              </w:rPr>
            </w:pPr>
          </w:p>
        </w:tc>
      </w:tr>
      <w:tr w:rsidR="0057493E" w:rsidRPr="00277C12" w:rsidTr="00A4011C">
        <w:tc>
          <w:tcPr>
            <w:tcW w:w="2842" w:type="dxa"/>
          </w:tcPr>
          <w:p w:rsidR="0057493E" w:rsidRPr="00277C12" w:rsidRDefault="0057493E" w:rsidP="0057493E">
            <w:pPr>
              <w:jc w:val="center"/>
              <w:rPr>
                <w:rFonts w:ascii="Times New Roman" w:hAnsi="Times New Roman"/>
              </w:rPr>
            </w:pPr>
            <w:r w:rsidRPr="00277C12">
              <w:rPr>
                <w:rFonts w:ascii="Times New Roman" w:hAnsi="Times New Roman"/>
              </w:rPr>
              <w:t>Τίτλοι</w:t>
            </w:r>
          </w:p>
        </w:tc>
        <w:tc>
          <w:tcPr>
            <w:tcW w:w="2843" w:type="dxa"/>
          </w:tcPr>
          <w:p w:rsidR="0057493E" w:rsidRPr="00277C12" w:rsidRDefault="0057493E" w:rsidP="0057493E">
            <w:pPr>
              <w:jc w:val="center"/>
              <w:rPr>
                <w:rFonts w:ascii="Times New Roman" w:hAnsi="Times New Roman"/>
                <w:lang w:val="en-US"/>
              </w:rPr>
            </w:pPr>
          </w:p>
        </w:tc>
        <w:tc>
          <w:tcPr>
            <w:tcW w:w="2843" w:type="dxa"/>
          </w:tcPr>
          <w:p w:rsidR="0057493E" w:rsidRPr="00277C12" w:rsidRDefault="0057493E" w:rsidP="0057493E">
            <w:pPr>
              <w:jc w:val="center"/>
              <w:rPr>
                <w:rFonts w:ascii="Times New Roman" w:hAnsi="Times New Roman"/>
              </w:rPr>
            </w:pPr>
            <w:r w:rsidRPr="00277C12">
              <w:rPr>
                <w:rFonts w:ascii="Times New Roman" w:hAnsi="Times New Roman"/>
              </w:rPr>
              <w:t>Τιμές τίτλων</w:t>
            </w:r>
          </w:p>
        </w:tc>
      </w:tr>
    </w:tbl>
    <w:p w:rsidR="00877C0E" w:rsidRDefault="00877C0E" w:rsidP="005B0509">
      <w:pPr>
        <w:rPr>
          <w:lang w:val="en-US"/>
        </w:rPr>
      </w:pPr>
    </w:p>
    <w:p w:rsidR="004F4169" w:rsidRDefault="005B0509" w:rsidP="004F4169">
      <w:pPr>
        <w:spacing w:line="360" w:lineRule="auto"/>
        <w:ind w:firstLine="720"/>
        <w:jc w:val="both"/>
      </w:pPr>
      <w:r>
        <w:t>Εάν οι διαμορφωτές αγοράς κάνουν καλά τη δουλειά τους, θα παρατηρήσουμε συνεχείς αγορές στις διάφορες τιμές του χρήματος. Πάνω σε αυτή την παρατήρηση γίνεται εφικτή η ανάπτυξη θεωριών στα οικονομικά και τα χρηματοοικονομικά οι οποίες αφήνουν στην άκρη τον ιεραρχικό χαρακτήρα του συστήματος. Αλλά ο ιεραρχικός χαρακτήρας παραμένει, και εμφανίζεται από καιρού εις καιρόν, ειδικά όταν οι διαμορφωτές αγοράς δεν κάνουν καλά τη δουλειά τους παρέχοντας ρευστότητα στο σύστημα, όπως πχ. σε περιόδους μιας χρηματοοικονομικής κρίσης.</w:t>
      </w:r>
      <w:r w:rsidR="004F4169">
        <w:t xml:space="preserve"> </w:t>
      </w:r>
      <w:r>
        <w:t xml:space="preserve">Ακόμη και σε λιγότερο ακραίους καιρούς, η μεταβλητότητα στη φυσική ιεραρχία εμφανίζεται σαν ένταση στους θεσμούς διαμόρφωσης αγοράς. </w:t>
      </w:r>
      <w:r w:rsidR="004F4169">
        <w:t>Μια εμφανής διάκριση στην ιεραρχία</w:t>
      </w:r>
      <w:r>
        <w:t xml:space="preserve"> σημαίνει αυξημένη ποιοτική διαφοροποίηση μεταξύ πίστης και χρήματος, και στη διαδικασία αυτής της διαφοροποίησης υπάρχει τάση να ασκηθεί </w:t>
      </w:r>
      <w:r>
        <w:lastRenderedPageBreak/>
        <w:t xml:space="preserve">πίεση στην ποσοτική τιμή της πίστης σε όρους χρήματος. Ακριβώς έτσι, τα επιτόκια μπορούν και αλλάζουν αντανακλώντας αυτή την πίεση, αλλά αυτή η ποσοτική αλλαγή δεν είναι απαραίτητα εξισορροπητική, και μπορεί απλά να κάνει την ένταση χειρότερη. </w:t>
      </w:r>
    </w:p>
    <w:p w:rsidR="004F4169" w:rsidRDefault="005B0509" w:rsidP="004F4169">
      <w:pPr>
        <w:spacing w:line="360" w:lineRule="auto"/>
        <w:ind w:firstLine="720"/>
        <w:jc w:val="both"/>
      </w:pPr>
      <w:r>
        <w:t>Ενώ η συμπεριφορά των διαπραγματευτών αγοράς μπορεί να καθοδηγείται από το</w:t>
      </w:r>
      <w:r w:rsidRPr="004F4169">
        <w:t xml:space="preserve"> δόγμα της μεγιστοποίησης κέρδους</w:t>
      </w:r>
      <w:r>
        <w:rPr>
          <w:b/>
        </w:rPr>
        <w:t xml:space="preserve"> </w:t>
      </w:r>
      <w:r>
        <w:t>μπορούμε να κατανοήσουμε τη νομισματική πολιτική σαν μια προσπάθεια διαχείρισης της φυσικής μεταβλητότητας του συστήματος για την προαγωγή του γενικού συμφέροντος, παρά για το</w:t>
      </w:r>
      <w:r w:rsidR="004F4169">
        <w:t xml:space="preserve"> κέρδος της κεντρικής τράπεζας. </w:t>
      </w:r>
      <w:r>
        <w:t>Έτσι για παράδειγμα σε μια εποχή που η φυσική ιεραρχία γίνεται πιο επίπεδη, αντί να περιμένουν οι νομισματικές αρχές μια χρηματοοικονομική κρίση να επαναβεβαιώσει τη σπανιότητα του χρήματος, μπορούν οι ίδιες να δοκιμάσουν να επαναβεβαιώσουν τη σπανιότητα του χρήματος αυξάνοντας το επιτόκιο των  διαθεσίμων (</w:t>
      </w:r>
      <w:r>
        <w:rPr>
          <w:lang w:val="en-US"/>
        </w:rPr>
        <w:t>funds</w:t>
      </w:r>
      <w:r w:rsidRPr="00406243">
        <w:t xml:space="preserve">) </w:t>
      </w:r>
      <w:r>
        <w:t xml:space="preserve">της κεντρικής τράπεζας των Η.Π.Α. Ή, σε μια εποχή που η φυσική ιεραρχία είναι πολύ κάθετη, οι νομισματικές αρχές μπορεί να προσπαθήσουν να επαναβεβαιώσουν την ελαστικότητα του συστήματος χαμηλώνοντας  το επιτόκιο των </w:t>
      </w:r>
      <w:r w:rsidR="004F4169">
        <w:t>διαθέσι</w:t>
      </w:r>
      <w:r>
        <w:t xml:space="preserve">μων </w:t>
      </w:r>
      <w:r w:rsidR="004F4169">
        <w:t xml:space="preserve">κεφαλαίων </w:t>
      </w:r>
      <w:r>
        <w:t>(</w:t>
      </w:r>
      <w:r>
        <w:rPr>
          <w:lang w:val="en-US"/>
        </w:rPr>
        <w:t>funds</w:t>
      </w:r>
      <w:r w:rsidRPr="00406243">
        <w:t xml:space="preserve">) </w:t>
      </w:r>
      <w:r>
        <w:t xml:space="preserve">της κεντρικής τράπεζας των Η.Π.Α.  </w:t>
      </w:r>
    </w:p>
    <w:p w:rsidR="005B0509" w:rsidRDefault="005B0509" w:rsidP="004F4169">
      <w:pPr>
        <w:spacing w:line="360" w:lineRule="auto"/>
        <w:ind w:firstLine="720"/>
        <w:jc w:val="both"/>
      </w:pPr>
      <w:r>
        <w:t xml:space="preserve">Σημειώστε εδώ ότι το κύριο εργαλείο πολιτικής της κεντρικής τράπεζας είναι το ημερήσιο </w:t>
      </w:r>
      <w:r w:rsidRPr="00406243">
        <w:t xml:space="preserve"> </w:t>
      </w:r>
      <w:r>
        <w:t>επιτόκιο δανεισμού (</w:t>
      </w:r>
      <w:r>
        <w:rPr>
          <w:lang w:val="en-US"/>
        </w:rPr>
        <w:t>overnight</w:t>
      </w:r>
      <w:r w:rsidRPr="00406243">
        <w:t>)</w:t>
      </w:r>
      <w:r>
        <w:t xml:space="preserve">. Έχοντας επηρεάσει τις προσδοκίες των επενδυτών η κεντρική τράπεζα μπορεί να επηρεάσει τις αποφάσεις μακροχρόνιων επενδύσεων και δαπανών μέσα από την στενή σχέση ανάμεσα σε αυτό το επιτόκιο και τα πιο μακροχρόνια επιτόκια (η </w:t>
      </w:r>
      <w:r w:rsidR="004F4169">
        <w:t xml:space="preserve">λεγόμενη </w:t>
      </w:r>
      <w:r>
        <w:t xml:space="preserve">χρονική διάθρωση των επιτοκίων </w:t>
      </w:r>
      <w:r w:rsidR="004F4169">
        <w:t xml:space="preserve">- </w:t>
      </w:r>
      <w:r>
        <w:rPr>
          <w:lang w:val="en-US"/>
        </w:rPr>
        <w:t>term</w:t>
      </w:r>
      <w:r w:rsidRPr="007041B6">
        <w:t xml:space="preserve"> </w:t>
      </w:r>
      <w:r>
        <w:rPr>
          <w:lang w:val="en-US"/>
        </w:rPr>
        <w:t>structure</w:t>
      </w:r>
      <w:r w:rsidRPr="007041B6">
        <w:t xml:space="preserve"> </w:t>
      </w:r>
      <w:r>
        <w:rPr>
          <w:lang w:val="en-US"/>
        </w:rPr>
        <w:t>of</w:t>
      </w:r>
      <w:r w:rsidRPr="007041B6">
        <w:t xml:space="preserve"> </w:t>
      </w:r>
      <w:r>
        <w:rPr>
          <w:lang w:val="en-US"/>
        </w:rPr>
        <w:t>interest</w:t>
      </w:r>
      <w:r w:rsidRPr="007041B6">
        <w:t xml:space="preserve"> </w:t>
      </w:r>
      <w:r>
        <w:rPr>
          <w:lang w:val="en-US"/>
        </w:rPr>
        <w:t>rates</w:t>
      </w:r>
      <w:r w:rsidR="004F4169">
        <w:t xml:space="preserve">). Το </w:t>
      </w:r>
      <w:r>
        <w:t xml:space="preserve">κανάλι μετάδοσης του επιτοκίου που θα δούμε στο επόμενο κεφάλαιο. </w:t>
      </w:r>
    </w:p>
    <w:p w:rsidR="005B0509" w:rsidRPr="00601CC6" w:rsidRDefault="005B0509" w:rsidP="005B0509">
      <w:pPr>
        <w:jc w:val="center"/>
      </w:pPr>
      <w:r w:rsidRPr="00601CC6">
        <w:rPr>
          <w:b/>
        </w:rPr>
        <w:t>Γράφημα</w:t>
      </w:r>
      <w:r w:rsidR="002864D1">
        <w:rPr>
          <w:b/>
        </w:rPr>
        <w:t xml:space="preserve"> 4.5</w:t>
      </w:r>
      <w:r w:rsidRPr="00601CC6">
        <w:t xml:space="preserve"> Η Χρονική διάρθρωση των επιτοκίων</w:t>
      </w:r>
    </w:p>
    <w:p w:rsidR="005B0509" w:rsidRDefault="005B0509" w:rsidP="005B0509">
      <w:pPr>
        <w:jc w:val="center"/>
      </w:pPr>
      <w:r>
        <w:rPr>
          <w:noProof/>
        </w:rPr>
        <w:drawing>
          <wp:inline distT="0" distB="0" distL="0" distR="0" wp14:anchorId="725E1E51" wp14:editId="1FBE0A14">
            <wp:extent cx="2956956" cy="2026787"/>
            <wp:effectExtent l="19050" t="19050" r="15240" b="12065"/>
            <wp:docPr id="78859" name="Εικόνα 7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ling_3.jpg"/>
                    <pic:cNvPicPr/>
                  </pic:nvPicPr>
                  <pic:blipFill rotWithShape="1">
                    <a:blip r:embed="rId14">
                      <a:extLst>
                        <a:ext uri="{28A0092B-C50C-407E-A947-70E740481C1C}">
                          <a14:useLocalDpi xmlns:a14="http://schemas.microsoft.com/office/drawing/2010/main" val="0"/>
                        </a:ext>
                      </a:extLst>
                    </a:blip>
                    <a:srcRect r="39113" b="26215"/>
                    <a:stretch/>
                  </pic:blipFill>
                  <pic:spPr bwMode="auto">
                    <a:xfrm>
                      <a:off x="0" y="0"/>
                      <a:ext cx="2962661" cy="2030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0509" w:rsidRPr="002864D1" w:rsidRDefault="005B0509" w:rsidP="005B0509">
      <w:pPr>
        <w:jc w:val="both"/>
      </w:pPr>
    </w:p>
    <w:p w:rsidR="005B0509" w:rsidRDefault="005B0509" w:rsidP="00F71104">
      <w:pPr>
        <w:spacing w:line="360" w:lineRule="auto"/>
        <w:ind w:firstLine="720"/>
        <w:jc w:val="both"/>
      </w:pPr>
      <w:r>
        <w:lastRenderedPageBreak/>
        <w:t xml:space="preserve">Οι φιλοδοξίες της νομισματικής πολιτικής έχουν αλλάξει με το πέρασμα του χρόνου. Οι </w:t>
      </w:r>
      <w:r w:rsidR="00F71104">
        <w:t>πρώτες κεντρικές τράπεζες εστίαζ</w:t>
      </w:r>
      <w:r>
        <w:t>αν την προσοχή τους  απλά στη διαχείριση της ιεραρχίας για να προστατεύσουν την τιμή στο άρτιο (</w:t>
      </w:r>
      <w:r>
        <w:rPr>
          <w:lang w:val="en-US"/>
        </w:rPr>
        <w:t>par</w:t>
      </w:r>
      <w:r>
        <w:t>)</w:t>
      </w:r>
      <w:r w:rsidRPr="00406243">
        <w:t xml:space="preserve"> </w:t>
      </w:r>
      <w:r>
        <w:t>και τη συναλλαγματική ισοτιμία. Εάν οι εμπορικές τράπεζες είχαν δυσκολία στο να υπερασπιστούν την τιμή στο άρτιο η κεντρική τράπεζα θα μπορούσε να τις βοηθήσει προμηθεύοντας τες με επιπρόσθετα διαθέσιμα, αυτή είναι η ουσία της κλασικής λειτουργίας του λεγόμενου «δανειστή του τελευταίου καταφύγιου» (</w:t>
      </w:r>
      <w:r>
        <w:rPr>
          <w:lang w:val="en-US"/>
        </w:rPr>
        <w:t>Lender</w:t>
      </w:r>
      <w:r w:rsidRPr="00601CC6">
        <w:t xml:space="preserve"> </w:t>
      </w:r>
      <w:r>
        <w:rPr>
          <w:lang w:val="en-US"/>
        </w:rPr>
        <w:t>of</w:t>
      </w:r>
      <w:r w:rsidRPr="00601CC6">
        <w:t xml:space="preserve"> </w:t>
      </w:r>
      <w:r>
        <w:rPr>
          <w:lang w:val="en-US"/>
        </w:rPr>
        <w:t>Last</w:t>
      </w:r>
      <w:r w:rsidRPr="00601CC6">
        <w:t xml:space="preserve"> </w:t>
      </w:r>
      <w:r>
        <w:rPr>
          <w:lang w:val="en-US"/>
        </w:rPr>
        <w:t>resort</w:t>
      </w:r>
      <w:r>
        <w:t>). Από την άλλη, εάν η ίδια η κεντρική τράπεζα είχε δυσκολία στο να υπερασπιστεί τη συναλλαγματική ισοτιμία, θα μπορούσε να αυξήσει το επιτόκιο για να προσελκύσει διεθνή διαθέσιμα (χρυσό). Ξεκάθαρα και οι δυο αυτές παρεμβάσεις είναι απαραίτητες για ένα διαμορφωτή αγοράς που εκλαμβάνει τον εαυτό του ως αυτόν που διαφυλάσσει το νομισματικό σύστημα.</w:t>
      </w:r>
      <w:r w:rsidRPr="00102755">
        <w:t xml:space="preserve"> </w:t>
      </w:r>
      <w:r>
        <w:t xml:space="preserve">Οι σύγχρονες κεντρικές τράπεζες έχουν μεγαλύτερες φιλοδοξίες. Τυπικά νοιάζονται για τη λεγόμενη «διαχείριση της οικονομίας».  Δεν ενδιαφέρονται τόσο για το σχήμα της ιεραρχίας αυτό καθαυτό, όσο για τον τρόπο που αυτή η ιεραρχία διαρθρώνεται με την πραγματική οικονομία, συγκεκριμένα για τη </w:t>
      </w:r>
      <w:proofErr w:type="spellStart"/>
      <w:r>
        <w:t>συναθροιστική</w:t>
      </w:r>
      <w:proofErr w:type="spellEnd"/>
      <w:r>
        <w:t xml:space="preserve"> ζήτηση και τη </w:t>
      </w:r>
      <w:proofErr w:type="spellStart"/>
      <w:r>
        <w:t>συναθροιστική</w:t>
      </w:r>
      <w:proofErr w:type="spellEnd"/>
      <w:r>
        <w:t xml:space="preserve"> προσφορά. Αλλά οι ενέργειες τους επιτυγχάνουν να επηρεάσουν τη φυσική ιεραρχία.</w:t>
      </w:r>
    </w:p>
    <w:p w:rsidR="00F861D4" w:rsidRDefault="00F861D4" w:rsidP="00802C1C">
      <w:pPr>
        <w:pStyle w:val="2"/>
        <w:spacing w:before="0" w:after="0" w:line="360" w:lineRule="auto"/>
        <w:jc w:val="both"/>
        <w:rPr>
          <w:rFonts w:ascii="Times New Roman" w:hAnsi="Times New Roman" w:cs="Times New Roman"/>
          <w:i w:val="0"/>
        </w:rPr>
      </w:pPr>
    </w:p>
    <w:p w:rsidR="00F861D4" w:rsidRPr="003C1DF0" w:rsidRDefault="00F861D4" w:rsidP="00802C1C">
      <w:pPr>
        <w:pStyle w:val="2"/>
        <w:spacing w:before="0" w:after="0" w:line="360" w:lineRule="auto"/>
        <w:jc w:val="both"/>
        <w:rPr>
          <w:b w:val="0"/>
          <w:u w:val="single"/>
        </w:rPr>
      </w:pPr>
      <w:bookmarkStart w:id="6" w:name="_Toc393111063"/>
      <w:r>
        <w:rPr>
          <w:rFonts w:ascii="Times New Roman" w:hAnsi="Times New Roman" w:cs="Times New Roman"/>
          <w:i w:val="0"/>
        </w:rPr>
        <w:t>4</w:t>
      </w:r>
      <w:r w:rsidRPr="00390868">
        <w:rPr>
          <w:rFonts w:ascii="Times New Roman" w:hAnsi="Times New Roman" w:cs="Times New Roman"/>
          <w:i w:val="0"/>
        </w:rPr>
        <w:t>.</w:t>
      </w:r>
      <w:r>
        <w:rPr>
          <w:rFonts w:ascii="Times New Roman" w:hAnsi="Times New Roman" w:cs="Times New Roman"/>
          <w:i w:val="0"/>
        </w:rPr>
        <w:t>3</w:t>
      </w:r>
      <w:r w:rsidRPr="00390868">
        <w:rPr>
          <w:rFonts w:ascii="Times New Roman" w:hAnsi="Times New Roman" w:cs="Times New Roman"/>
          <w:i w:val="0"/>
        </w:rPr>
        <w:t xml:space="preserve"> </w:t>
      </w:r>
      <w:r w:rsidRPr="00F861D4">
        <w:rPr>
          <w:rFonts w:ascii="Times New Roman" w:hAnsi="Times New Roman" w:cs="Times New Roman"/>
          <w:i w:val="0"/>
        </w:rPr>
        <w:t>Συστήματα Πληρωμών: Χρήμα και Πίστη</w:t>
      </w:r>
      <w:bookmarkEnd w:id="6"/>
      <w:r w:rsidRPr="00F861D4">
        <w:rPr>
          <w:rFonts w:ascii="Times New Roman" w:hAnsi="Times New Roman" w:cs="Times New Roman"/>
          <w:i w:val="0"/>
        </w:rPr>
        <w:t xml:space="preserve"> </w:t>
      </w:r>
    </w:p>
    <w:p w:rsidR="00F861D4" w:rsidRDefault="00F861D4" w:rsidP="00F71104">
      <w:pPr>
        <w:spacing w:line="360" w:lineRule="auto"/>
        <w:ind w:firstLine="720"/>
        <w:jc w:val="both"/>
      </w:pPr>
      <w:r>
        <w:t xml:space="preserve">Έχοντας αντιληφθεί την διάκριση μεταξύ χρήματος και πίστης προχωράμε για να καταλάβουμε τον ρόλο των συστημάτων πληρωμών σε ένα χρηματοπιστωτικό σύστημα. Θα ξεκινήσουμε υποθέτοντας δυο οικονομικές μονάδες την Α και την Β. Έστω ότι η Α παράγει ένα αγαθό που θέλει η Β. Και η Β με την σειρά της παράγει ένα αγαθό που θέλει η Α, αλλά για κάποιο λόγο η προσφορά και η ζήτηση για τα δύο αγαθά δεν είναι ακριβώς συγχρονισμένες κατά το πέρασμα του χρόνου. Ένας τρόπος για να διευκολυνθεί η συναλλαγή είναι με τη βοήθεια του χρήματος. Η Α αγοράζει τα αγαθά της Β δίνοντας </w:t>
      </w:r>
      <w:r w:rsidR="00F71104">
        <w:t>στην Β χρήμα (δείτε στοιχεία ισολογισμού στον πίνακα 4.6</w:t>
      </w:r>
      <w:r>
        <w:t>), κ</w:t>
      </w:r>
      <w:r w:rsidR="00F71104">
        <w:t>α</w:t>
      </w:r>
      <w:r>
        <w:t>ι η Β αγοράζει τα αγαθά της Α δίνοντας στην Α χρήμα. Με το πέρασμα του χρόνου, τα ισοζύγια χρήματος της Α και της Β μεταβάλλονται αλλά το συνολικό χρήμα παραμένει σταθερό.</w:t>
      </w:r>
    </w:p>
    <w:p w:rsidR="00F861D4" w:rsidRDefault="00F861D4" w:rsidP="00802C1C">
      <w:pPr>
        <w:spacing w:line="360" w:lineRule="auto"/>
        <w:jc w:val="both"/>
        <w:rPr>
          <w:b/>
        </w:rPr>
      </w:pPr>
    </w:p>
    <w:p w:rsidR="00F861D4" w:rsidRPr="00F71104" w:rsidRDefault="002864D1" w:rsidP="00F861D4">
      <w:pPr>
        <w:jc w:val="both"/>
      </w:pPr>
      <w:r w:rsidRPr="00F71104">
        <w:rPr>
          <w:b/>
        </w:rPr>
        <w:lastRenderedPageBreak/>
        <w:t>Πίνακας 4.</w:t>
      </w:r>
      <w:r w:rsidR="000C510F">
        <w:rPr>
          <w:b/>
        </w:rPr>
        <w:t>4</w:t>
      </w:r>
      <w:r w:rsidRPr="00F71104">
        <w:rPr>
          <w:b/>
        </w:rPr>
        <w:t xml:space="preserve"> </w:t>
      </w:r>
      <w:r w:rsidR="00F861D4" w:rsidRPr="00F71104">
        <w:t>Μεταβολές στους Ισολογισμούς της Α και Β από μια συναλλαγή σε ένα σύστημα πληρωμών  χρήματος</w:t>
      </w:r>
    </w:p>
    <w:tbl>
      <w:tblPr>
        <w:tblStyle w:val="af3"/>
        <w:tblW w:w="0" w:type="auto"/>
        <w:tblLook w:val="04A0" w:firstRow="1" w:lastRow="0" w:firstColumn="1" w:lastColumn="0" w:noHBand="0" w:noVBand="1"/>
      </w:tblPr>
      <w:tblGrid>
        <w:gridCol w:w="2710"/>
        <w:gridCol w:w="1178"/>
        <w:gridCol w:w="450"/>
        <w:gridCol w:w="2479"/>
        <w:gridCol w:w="1705"/>
      </w:tblGrid>
      <w:tr w:rsidR="0057493E" w:rsidRPr="00277C12" w:rsidTr="0057493E">
        <w:tc>
          <w:tcPr>
            <w:tcW w:w="3888" w:type="dxa"/>
            <w:gridSpan w:val="2"/>
            <w:tcBorders>
              <w:bottom w:val="single" w:sz="4" w:space="0" w:color="auto"/>
            </w:tcBorders>
            <w:shd w:val="clear" w:color="auto" w:fill="D9D9D9" w:themeFill="background1" w:themeFillShade="D9"/>
          </w:tcPr>
          <w:p w:rsidR="0057493E" w:rsidRPr="00277C12" w:rsidRDefault="0057493E" w:rsidP="00277C12">
            <w:pPr>
              <w:jc w:val="center"/>
              <w:rPr>
                <w:rFonts w:ascii="Times New Roman" w:hAnsi="Times New Roman"/>
                <w:sz w:val="22"/>
                <w:szCs w:val="22"/>
              </w:rPr>
            </w:pPr>
            <w:r w:rsidRPr="00277C12">
              <w:rPr>
                <w:rFonts w:ascii="Times New Roman" w:hAnsi="Times New Roman"/>
                <w:b/>
                <w:sz w:val="22"/>
                <w:szCs w:val="22"/>
              </w:rPr>
              <w:t>Οικονομική Μονάδα Α</w:t>
            </w:r>
          </w:p>
        </w:tc>
        <w:tc>
          <w:tcPr>
            <w:tcW w:w="450" w:type="dxa"/>
            <w:tcBorders>
              <w:bottom w:val="single" w:sz="4" w:space="0" w:color="auto"/>
            </w:tcBorders>
            <w:shd w:val="clear" w:color="auto" w:fill="D9D9D9" w:themeFill="background1" w:themeFillShade="D9"/>
          </w:tcPr>
          <w:p w:rsidR="0057493E" w:rsidRPr="00277C12" w:rsidRDefault="0057493E" w:rsidP="00277C12">
            <w:pPr>
              <w:jc w:val="center"/>
              <w:rPr>
                <w:rFonts w:ascii="Times New Roman" w:hAnsi="Times New Roman"/>
                <w:sz w:val="22"/>
                <w:szCs w:val="22"/>
              </w:rPr>
            </w:pPr>
          </w:p>
        </w:tc>
        <w:tc>
          <w:tcPr>
            <w:tcW w:w="4184" w:type="dxa"/>
            <w:gridSpan w:val="2"/>
            <w:tcBorders>
              <w:bottom w:val="single" w:sz="4" w:space="0" w:color="auto"/>
            </w:tcBorders>
            <w:shd w:val="clear" w:color="auto" w:fill="D9D9D9" w:themeFill="background1" w:themeFillShade="D9"/>
          </w:tcPr>
          <w:p w:rsidR="0057493E" w:rsidRPr="00277C12" w:rsidRDefault="0057493E" w:rsidP="00277C12">
            <w:pPr>
              <w:jc w:val="center"/>
              <w:rPr>
                <w:rFonts w:ascii="Times New Roman" w:hAnsi="Times New Roman"/>
                <w:sz w:val="22"/>
                <w:szCs w:val="22"/>
              </w:rPr>
            </w:pPr>
            <w:r w:rsidRPr="00277C12">
              <w:rPr>
                <w:rFonts w:ascii="Times New Roman" w:hAnsi="Times New Roman"/>
                <w:b/>
                <w:sz w:val="22"/>
                <w:szCs w:val="22"/>
              </w:rPr>
              <w:t>Οικονομική μονάδα Β</w:t>
            </w:r>
          </w:p>
        </w:tc>
      </w:tr>
      <w:tr w:rsidR="00F861D4" w:rsidRPr="00277C12" w:rsidTr="0057493E">
        <w:tc>
          <w:tcPr>
            <w:tcW w:w="2710"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Στοιχεία Ενεργητικού</w:t>
            </w:r>
          </w:p>
        </w:tc>
        <w:tc>
          <w:tcPr>
            <w:tcW w:w="1178"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Παθητικό</w:t>
            </w:r>
          </w:p>
        </w:tc>
        <w:tc>
          <w:tcPr>
            <w:tcW w:w="450" w:type="dxa"/>
            <w:shd w:val="clear" w:color="auto" w:fill="FFFFFF" w:themeFill="background1"/>
          </w:tcPr>
          <w:p w:rsidR="00F861D4" w:rsidRPr="00277C12" w:rsidRDefault="00F861D4" w:rsidP="003150CE">
            <w:pPr>
              <w:jc w:val="both"/>
              <w:rPr>
                <w:rFonts w:ascii="Times New Roman" w:hAnsi="Times New Roman"/>
                <w:b/>
                <w:sz w:val="22"/>
                <w:szCs w:val="22"/>
              </w:rPr>
            </w:pPr>
          </w:p>
        </w:tc>
        <w:tc>
          <w:tcPr>
            <w:tcW w:w="2479"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Στοιχεία Ενεργητικού</w:t>
            </w:r>
          </w:p>
        </w:tc>
        <w:tc>
          <w:tcPr>
            <w:tcW w:w="1705"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Παθητικό</w:t>
            </w:r>
          </w:p>
        </w:tc>
      </w:tr>
      <w:tr w:rsidR="00F861D4" w:rsidRPr="00277C12" w:rsidTr="0057493E">
        <w:tc>
          <w:tcPr>
            <w:tcW w:w="2710" w:type="dxa"/>
          </w:tcPr>
          <w:p w:rsidR="00F861D4" w:rsidRPr="00277C12" w:rsidRDefault="00F861D4" w:rsidP="00F71104">
            <w:pPr>
              <w:rPr>
                <w:rFonts w:ascii="Times New Roman" w:hAnsi="Times New Roman"/>
                <w:sz w:val="22"/>
                <w:szCs w:val="22"/>
              </w:rPr>
            </w:pPr>
            <w:r w:rsidRPr="00277C12">
              <w:rPr>
                <w:rFonts w:ascii="Times New Roman" w:hAnsi="Times New Roman"/>
                <w:sz w:val="22"/>
                <w:szCs w:val="22"/>
              </w:rPr>
              <w:t>+ αγαθά</w:t>
            </w:r>
          </w:p>
          <w:p w:rsidR="00F861D4" w:rsidRPr="00277C12" w:rsidRDefault="00F861D4" w:rsidP="00F71104">
            <w:pPr>
              <w:rPr>
                <w:rFonts w:ascii="Times New Roman" w:hAnsi="Times New Roman"/>
                <w:sz w:val="22"/>
                <w:szCs w:val="22"/>
              </w:rPr>
            </w:pPr>
            <w:r w:rsidRPr="00277C12">
              <w:rPr>
                <w:rFonts w:ascii="Times New Roman" w:hAnsi="Times New Roman"/>
                <w:sz w:val="22"/>
                <w:szCs w:val="22"/>
              </w:rPr>
              <w:t>-ΔΜ</w:t>
            </w:r>
          </w:p>
        </w:tc>
        <w:tc>
          <w:tcPr>
            <w:tcW w:w="1178" w:type="dxa"/>
          </w:tcPr>
          <w:p w:rsidR="00F861D4" w:rsidRPr="00277C12" w:rsidRDefault="00F861D4" w:rsidP="00F71104">
            <w:pPr>
              <w:rPr>
                <w:rFonts w:ascii="Times New Roman" w:hAnsi="Times New Roman"/>
                <w:sz w:val="22"/>
                <w:szCs w:val="22"/>
              </w:rPr>
            </w:pPr>
          </w:p>
        </w:tc>
        <w:tc>
          <w:tcPr>
            <w:tcW w:w="450" w:type="dxa"/>
          </w:tcPr>
          <w:p w:rsidR="00F861D4" w:rsidRPr="00277C12" w:rsidRDefault="00F861D4" w:rsidP="00F71104">
            <w:pPr>
              <w:rPr>
                <w:rFonts w:ascii="Times New Roman" w:hAnsi="Times New Roman"/>
                <w:sz w:val="22"/>
                <w:szCs w:val="22"/>
              </w:rPr>
            </w:pPr>
          </w:p>
        </w:tc>
        <w:tc>
          <w:tcPr>
            <w:tcW w:w="2479" w:type="dxa"/>
          </w:tcPr>
          <w:p w:rsidR="00F861D4" w:rsidRPr="00277C12" w:rsidRDefault="00F861D4" w:rsidP="00F71104">
            <w:pPr>
              <w:rPr>
                <w:rFonts w:ascii="Times New Roman" w:hAnsi="Times New Roman"/>
                <w:sz w:val="22"/>
                <w:szCs w:val="22"/>
              </w:rPr>
            </w:pPr>
            <w:r w:rsidRPr="00277C12">
              <w:rPr>
                <w:rFonts w:ascii="Times New Roman" w:hAnsi="Times New Roman"/>
                <w:sz w:val="22"/>
                <w:szCs w:val="22"/>
              </w:rPr>
              <w:t>-αγαθά</w:t>
            </w:r>
          </w:p>
          <w:p w:rsidR="00F861D4" w:rsidRPr="00277C12" w:rsidRDefault="00F861D4" w:rsidP="00F71104">
            <w:pPr>
              <w:rPr>
                <w:rFonts w:ascii="Times New Roman" w:hAnsi="Times New Roman"/>
                <w:sz w:val="22"/>
                <w:szCs w:val="22"/>
              </w:rPr>
            </w:pPr>
            <w:r w:rsidRPr="00277C12">
              <w:rPr>
                <w:rFonts w:ascii="Times New Roman" w:hAnsi="Times New Roman"/>
                <w:sz w:val="22"/>
                <w:szCs w:val="22"/>
              </w:rPr>
              <w:t>+ΔΜ</w:t>
            </w:r>
          </w:p>
        </w:tc>
        <w:tc>
          <w:tcPr>
            <w:tcW w:w="1705" w:type="dxa"/>
          </w:tcPr>
          <w:p w:rsidR="00F861D4" w:rsidRPr="00277C12" w:rsidRDefault="00F861D4" w:rsidP="00F71104">
            <w:pPr>
              <w:rPr>
                <w:rFonts w:ascii="Times New Roman" w:hAnsi="Times New Roman"/>
                <w:sz w:val="22"/>
                <w:szCs w:val="22"/>
              </w:rPr>
            </w:pPr>
          </w:p>
        </w:tc>
      </w:tr>
    </w:tbl>
    <w:p w:rsidR="00F861D4" w:rsidRDefault="00F861D4" w:rsidP="00F861D4">
      <w:pPr>
        <w:jc w:val="both"/>
      </w:pPr>
    </w:p>
    <w:p w:rsidR="00F861D4" w:rsidRDefault="00F71104" w:rsidP="00F71104">
      <w:pPr>
        <w:spacing w:line="360" w:lineRule="auto"/>
        <w:ind w:firstLine="720"/>
        <w:jc w:val="both"/>
      </w:pPr>
      <w:r>
        <w:t>Έ</w:t>
      </w:r>
      <w:r w:rsidR="00F861D4">
        <w:t>νας άλλος τρόπος για να διεκπεραιωθεί η συναλλαγή είναι με την πίστη ή με τις υποσχέσεις πληρωμής. Η Α αγοράζ</w:t>
      </w:r>
      <w:r>
        <w:t>ει</w:t>
      </w:r>
      <w:r w:rsidR="00F861D4">
        <w:t xml:space="preserve"> τα αγαθά της Β δίνοντας της μια υπόσχεση πληρωμής (</w:t>
      </w:r>
      <w:r w:rsidR="00F861D4">
        <w:rPr>
          <w:lang w:val="en-US"/>
        </w:rPr>
        <w:t>I</w:t>
      </w:r>
      <w:r w:rsidR="00F861D4" w:rsidRPr="00AA3E01">
        <w:t xml:space="preserve"> </w:t>
      </w:r>
      <w:r w:rsidR="00F861D4">
        <w:rPr>
          <w:lang w:val="en-US"/>
        </w:rPr>
        <w:t>owe</w:t>
      </w:r>
      <w:r w:rsidR="00F861D4" w:rsidRPr="00AA3E01">
        <w:t xml:space="preserve"> </w:t>
      </w:r>
      <w:r w:rsidR="00F861D4">
        <w:rPr>
          <w:lang w:val="en-US"/>
        </w:rPr>
        <w:t>you</w:t>
      </w:r>
      <w:r w:rsidR="00F861D4" w:rsidRPr="00AA3E01">
        <w:t>,</w:t>
      </w:r>
      <w:r w:rsidR="00F861D4">
        <w:t xml:space="preserve"> </w:t>
      </w:r>
      <w:r w:rsidR="00F861D4">
        <w:rPr>
          <w:lang w:val="en-US"/>
        </w:rPr>
        <w:t>IOU</w:t>
      </w:r>
      <w:r w:rsidR="00F861D4" w:rsidRPr="00AA3E01">
        <w:t>)</w:t>
      </w:r>
      <w:r w:rsidR="00F861D4">
        <w:t xml:space="preserve"> κ</w:t>
      </w:r>
      <w:r>
        <w:t>α</w:t>
      </w:r>
      <w:r w:rsidR="00F861D4">
        <w:t>ι</w:t>
      </w:r>
      <w:r>
        <w:t xml:space="preserve"> η</w:t>
      </w:r>
      <w:r w:rsidR="00F861D4">
        <w:t xml:space="preserve"> </w:t>
      </w:r>
      <w:r w:rsidR="00F861D4">
        <w:rPr>
          <w:lang w:val="en-US"/>
        </w:rPr>
        <w:t>B</w:t>
      </w:r>
      <w:r w:rsidR="00F861D4">
        <w:t xml:space="preserve"> αγοράζει τα αγαθά της Α δίνοντας μια δική της υπόσχεση πληρωμής (</w:t>
      </w:r>
      <w:r w:rsidR="00F861D4">
        <w:rPr>
          <w:lang w:val="en-US"/>
        </w:rPr>
        <w:t>IOU</w:t>
      </w:r>
      <w:r w:rsidR="00F861D4">
        <w:t xml:space="preserve">), ή δίνοντας της πίσω </w:t>
      </w:r>
      <w:r>
        <w:t>μια</w:t>
      </w:r>
      <w:r w:rsidR="00F861D4">
        <w:t xml:space="preserve"> από</w:t>
      </w:r>
      <w:r>
        <w:t xml:space="preserve"> τις υποσχέσεις της Α από προηγούμενη συναλλαγή.</w:t>
      </w:r>
      <w:r w:rsidR="00F861D4">
        <w:t xml:space="preserve"> </w:t>
      </w:r>
      <w:r>
        <w:t>Ε</w:t>
      </w:r>
      <w:r w:rsidR="00F861D4">
        <w:t>πομένως υπάρχει μόνο καθαρή μη οφειλή (</w:t>
      </w:r>
      <w:r w:rsidR="00F861D4">
        <w:rPr>
          <w:lang w:val="en-US"/>
        </w:rPr>
        <w:t>indebtedness</w:t>
      </w:r>
      <w:r w:rsidR="00F861D4" w:rsidRPr="00406243">
        <w:t xml:space="preserve">) </w:t>
      </w:r>
      <w:r w:rsidR="00F861D4">
        <w:t xml:space="preserve">μεταξύ τους. </w:t>
      </w:r>
    </w:p>
    <w:p w:rsidR="00F861D4" w:rsidRDefault="00F861D4" w:rsidP="00F861D4">
      <w:pPr>
        <w:jc w:val="both"/>
        <w:rPr>
          <w:b/>
        </w:rPr>
      </w:pPr>
    </w:p>
    <w:p w:rsidR="00F861D4" w:rsidRPr="00F71104" w:rsidRDefault="002864D1" w:rsidP="00F861D4">
      <w:pPr>
        <w:jc w:val="both"/>
      </w:pPr>
      <w:r w:rsidRPr="00F71104">
        <w:rPr>
          <w:b/>
        </w:rPr>
        <w:t>Πίνακας 4.</w:t>
      </w:r>
      <w:r w:rsidR="000C510F">
        <w:rPr>
          <w:b/>
        </w:rPr>
        <w:t>5</w:t>
      </w:r>
      <w:r w:rsidRPr="00F71104">
        <w:rPr>
          <w:b/>
        </w:rPr>
        <w:t xml:space="preserve"> </w:t>
      </w:r>
      <w:r w:rsidR="00F861D4" w:rsidRPr="00F71104">
        <w:t>Μεταβολές στους Ισολογισμούς της Α και Β από μια συναλλαγή σε ένα καθαρά πιστωτικό σύστημα πληρωμών.</w:t>
      </w:r>
    </w:p>
    <w:tbl>
      <w:tblPr>
        <w:tblStyle w:val="af3"/>
        <w:tblpPr w:leftFromText="180" w:rightFromText="180" w:vertAnchor="text" w:horzAnchor="margin" w:tblpY="56"/>
        <w:tblW w:w="0" w:type="auto"/>
        <w:tblLook w:val="04A0" w:firstRow="1" w:lastRow="0" w:firstColumn="1" w:lastColumn="0" w:noHBand="0" w:noVBand="1"/>
      </w:tblPr>
      <w:tblGrid>
        <w:gridCol w:w="2538"/>
        <w:gridCol w:w="1530"/>
        <w:gridCol w:w="360"/>
        <w:gridCol w:w="2389"/>
        <w:gridCol w:w="1705"/>
      </w:tblGrid>
      <w:tr w:rsidR="00877C0E" w:rsidRPr="00277C12" w:rsidTr="0057493E">
        <w:tc>
          <w:tcPr>
            <w:tcW w:w="4068" w:type="dxa"/>
            <w:gridSpan w:val="2"/>
            <w:tcBorders>
              <w:bottom w:val="single" w:sz="4" w:space="0" w:color="auto"/>
            </w:tcBorders>
            <w:shd w:val="clear" w:color="auto" w:fill="D9D9D9" w:themeFill="background1" w:themeFillShade="D9"/>
          </w:tcPr>
          <w:p w:rsidR="00877C0E" w:rsidRPr="00277C12" w:rsidRDefault="00877C0E" w:rsidP="00877C0E">
            <w:pPr>
              <w:jc w:val="center"/>
              <w:rPr>
                <w:rFonts w:ascii="Times New Roman" w:hAnsi="Times New Roman"/>
                <w:sz w:val="22"/>
                <w:szCs w:val="22"/>
              </w:rPr>
            </w:pPr>
            <w:r w:rsidRPr="00277C12">
              <w:rPr>
                <w:rFonts w:ascii="Times New Roman" w:hAnsi="Times New Roman"/>
                <w:b/>
                <w:sz w:val="22"/>
                <w:szCs w:val="22"/>
              </w:rPr>
              <w:t>Οικονομική Μονάδα Α</w:t>
            </w:r>
          </w:p>
        </w:tc>
        <w:tc>
          <w:tcPr>
            <w:tcW w:w="360" w:type="dxa"/>
            <w:tcBorders>
              <w:bottom w:val="single" w:sz="4" w:space="0" w:color="auto"/>
            </w:tcBorders>
            <w:shd w:val="clear" w:color="auto" w:fill="D9D9D9" w:themeFill="background1" w:themeFillShade="D9"/>
          </w:tcPr>
          <w:p w:rsidR="00877C0E" w:rsidRPr="00277C12" w:rsidRDefault="00877C0E" w:rsidP="00877C0E">
            <w:pPr>
              <w:jc w:val="center"/>
              <w:rPr>
                <w:rFonts w:ascii="Times New Roman" w:hAnsi="Times New Roman"/>
                <w:sz w:val="22"/>
                <w:szCs w:val="22"/>
              </w:rPr>
            </w:pPr>
          </w:p>
        </w:tc>
        <w:tc>
          <w:tcPr>
            <w:tcW w:w="4094" w:type="dxa"/>
            <w:gridSpan w:val="2"/>
            <w:tcBorders>
              <w:bottom w:val="single" w:sz="4" w:space="0" w:color="auto"/>
            </w:tcBorders>
            <w:shd w:val="clear" w:color="auto" w:fill="D9D9D9" w:themeFill="background1" w:themeFillShade="D9"/>
          </w:tcPr>
          <w:p w:rsidR="00877C0E" w:rsidRPr="00277C12" w:rsidRDefault="00877C0E" w:rsidP="00877C0E">
            <w:pPr>
              <w:jc w:val="center"/>
              <w:rPr>
                <w:rFonts w:ascii="Times New Roman" w:hAnsi="Times New Roman"/>
                <w:sz w:val="22"/>
                <w:szCs w:val="22"/>
              </w:rPr>
            </w:pPr>
            <w:r w:rsidRPr="00277C12">
              <w:rPr>
                <w:rFonts w:ascii="Times New Roman" w:hAnsi="Times New Roman"/>
                <w:b/>
                <w:sz w:val="22"/>
                <w:szCs w:val="22"/>
              </w:rPr>
              <w:t>Οικονομική μονάδα Β</w:t>
            </w:r>
          </w:p>
        </w:tc>
      </w:tr>
      <w:tr w:rsidR="00F861D4" w:rsidRPr="00277C12" w:rsidTr="0057493E">
        <w:tc>
          <w:tcPr>
            <w:tcW w:w="2538"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Στοιχεία Ενεργητικού</w:t>
            </w:r>
          </w:p>
        </w:tc>
        <w:tc>
          <w:tcPr>
            <w:tcW w:w="1530"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Παθητικό</w:t>
            </w:r>
          </w:p>
        </w:tc>
        <w:tc>
          <w:tcPr>
            <w:tcW w:w="360" w:type="dxa"/>
            <w:shd w:val="clear" w:color="auto" w:fill="FFFFFF" w:themeFill="background1"/>
          </w:tcPr>
          <w:p w:rsidR="00F861D4" w:rsidRPr="00277C12" w:rsidRDefault="00F861D4" w:rsidP="003150CE">
            <w:pPr>
              <w:jc w:val="both"/>
              <w:rPr>
                <w:rFonts w:ascii="Times New Roman" w:hAnsi="Times New Roman"/>
                <w:b/>
                <w:sz w:val="22"/>
                <w:szCs w:val="22"/>
              </w:rPr>
            </w:pPr>
          </w:p>
        </w:tc>
        <w:tc>
          <w:tcPr>
            <w:tcW w:w="2389"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Στοιχεία Ενεργητικού</w:t>
            </w:r>
          </w:p>
        </w:tc>
        <w:tc>
          <w:tcPr>
            <w:tcW w:w="1705" w:type="dxa"/>
            <w:shd w:val="clear" w:color="auto" w:fill="FFFFFF" w:themeFill="background1"/>
          </w:tcPr>
          <w:p w:rsidR="00F861D4" w:rsidRPr="00277C12" w:rsidRDefault="00F861D4" w:rsidP="003150CE">
            <w:pPr>
              <w:jc w:val="both"/>
              <w:rPr>
                <w:rFonts w:ascii="Times New Roman" w:hAnsi="Times New Roman"/>
                <w:b/>
                <w:sz w:val="22"/>
                <w:szCs w:val="22"/>
              </w:rPr>
            </w:pPr>
            <w:r w:rsidRPr="00277C12">
              <w:rPr>
                <w:rFonts w:ascii="Times New Roman" w:hAnsi="Times New Roman"/>
                <w:b/>
                <w:sz w:val="22"/>
                <w:szCs w:val="22"/>
              </w:rPr>
              <w:t>Παθητικό</w:t>
            </w:r>
          </w:p>
        </w:tc>
      </w:tr>
      <w:tr w:rsidR="00F861D4" w:rsidRPr="00277C12" w:rsidTr="0057493E">
        <w:tc>
          <w:tcPr>
            <w:tcW w:w="2538" w:type="dxa"/>
          </w:tcPr>
          <w:p w:rsidR="00F861D4" w:rsidRPr="00277C12" w:rsidRDefault="00F861D4" w:rsidP="003150CE">
            <w:pPr>
              <w:jc w:val="both"/>
              <w:rPr>
                <w:rFonts w:ascii="Times New Roman" w:hAnsi="Times New Roman"/>
                <w:sz w:val="22"/>
                <w:szCs w:val="22"/>
              </w:rPr>
            </w:pPr>
            <w:r w:rsidRPr="00277C12">
              <w:rPr>
                <w:rFonts w:ascii="Times New Roman" w:hAnsi="Times New Roman"/>
                <w:sz w:val="22"/>
                <w:szCs w:val="22"/>
              </w:rPr>
              <w:t>+ αγαθά</w:t>
            </w:r>
          </w:p>
        </w:tc>
        <w:tc>
          <w:tcPr>
            <w:tcW w:w="1530" w:type="dxa"/>
          </w:tcPr>
          <w:p w:rsidR="00F861D4" w:rsidRPr="00277C12" w:rsidRDefault="00F861D4" w:rsidP="003150CE">
            <w:pPr>
              <w:jc w:val="both"/>
              <w:rPr>
                <w:rFonts w:ascii="Times New Roman" w:hAnsi="Times New Roman"/>
                <w:sz w:val="22"/>
                <w:szCs w:val="22"/>
                <w:lang w:val="en-US"/>
              </w:rPr>
            </w:pPr>
            <w:r w:rsidRPr="00277C12">
              <w:rPr>
                <w:rFonts w:ascii="Times New Roman" w:hAnsi="Times New Roman"/>
                <w:sz w:val="22"/>
                <w:szCs w:val="22"/>
              </w:rPr>
              <w:t>+Δ</w:t>
            </w:r>
            <w:r w:rsidRPr="00277C12">
              <w:rPr>
                <w:rFonts w:ascii="Times New Roman" w:hAnsi="Times New Roman"/>
                <w:sz w:val="22"/>
                <w:szCs w:val="22"/>
                <w:lang w:val="en-US"/>
              </w:rPr>
              <w:t>IOU</w:t>
            </w:r>
          </w:p>
        </w:tc>
        <w:tc>
          <w:tcPr>
            <w:tcW w:w="360" w:type="dxa"/>
          </w:tcPr>
          <w:p w:rsidR="00F861D4" w:rsidRPr="00277C12" w:rsidRDefault="00F861D4" w:rsidP="003150CE">
            <w:pPr>
              <w:jc w:val="both"/>
              <w:rPr>
                <w:rFonts w:ascii="Times New Roman" w:hAnsi="Times New Roman"/>
                <w:sz w:val="22"/>
                <w:szCs w:val="22"/>
              </w:rPr>
            </w:pPr>
          </w:p>
        </w:tc>
        <w:tc>
          <w:tcPr>
            <w:tcW w:w="2389" w:type="dxa"/>
          </w:tcPr>
          <w:p w:rsidR="00F861D4" w:rsidRPr="00277C12" w:rsidRDefault="00F861D4" w:rsidP="003150CE">
            <w:pPr>
              <w:jc w:val="both"/>
              <w:rPr>
                <w:rFonts w:ascii="Times New Roman" w:hAnsi="Times New Roman"/>
                <w:sz w:val="22"/>
                <w:szCs w:val="22"/>
              </w:rPr>
            </w:pPr>
            <w:r w:rsidRPr="00277C12">
              <w:rPr>
                <w:rFonts w:ascii="Times New Roman" w:hAnsi="Times New Roman"/>
                <w:sz w:val="22"/>
                <w:szCs w:val="22"/>
              </w:rPr>
              <w:t>-αγαθά</w:t>
            </w:r>
          </w:p>
          <w:p w:rsidR="00F861D4" w:rsidRPr="00277C12" w:rsidRDefault="00F861D4" w:rsidP="003150CE">
            <w:pPr>
              <w:jc w:val="both"/>
              <w:rPr>
                <w:rFonts w:ascii="Times New Roman" w:hAnsi="Times New Roman"/>
                <w:sz w:val="22"/>
                <w:szCs w:val="22"/>
                <w:lang w:val="en-US"/>
              </w:rPr>
            </w:pPr>
            <w:r w:rsidRPr="00277C12">
              <w:rPr>
                <w:rFonts w:ascii="Times New Roman" w:hAnsi="Times New Roman"/>
                <w:sz w:val="22"/>
                <w:szCs w:val="22"/>
              </w:rPr>
              <w:t>+ Δ</w:t>
            </w:r>
            <w:r w:rsidRPr="00277C12">
              <w:rPr>
                <w:rFonts w:ascii="Times New Roman" w:hAnsi="Times New Roman"/>
                <w:sz w:val="22"/>
                <w:szCs w:val="22"/>
                <w:lang w:val="en-US"/>
              </w:rPr>
              <w:t>IOU</w:t>
            </w:r>
          </w:p>
        </w:tc>
        <w:tc>
          <w:tcPr>
            <w:tcW w:w="1705" w:type="dxa"/>
          </w:tcPr>
          <w:p w:rsidR="00F861D4" w:rsidRPr="00277C12" w:rsidRDefault="00F861D4" w:rsidP="003150CE">
            <w:pPr>
              <w:jc w:val="both"/>
              <w:rPr>
                <w:rFonts w:ascii="Times New Roman" w:hAnsi="Times New Roman"/>
                <w:sz w:val="22"/>
                <w:szCs w:val="22"/>
              </w:rPr>
            </w:pPr>
          </w:p>
        </w:tc>
      </w:tr>
    </w:tbl>
    <w:p w:rsidR="00F861D4" w:rsidRDefault="00F861D4" w:rsidP="00F861D4">
      <w:pPr>
        <w:jc w:val="both"/>
      </w:pPr>
    </w:p>
    <w:p w:rsidR="00F71104" w:rsidRDefault="00F861D4" w:rsidP="00F71104">
      <w:pPr>
        <w:spacing w:line="360" w:lineRule="auto"/>
        <w:ind w:firstLine="720"/>
        <w:jc w:val="both"/>
      </w:pPr>
      <w:r>
        <w:t xml:space="preserve">Σημειώστε ότι η υπόσχεση πληρωμής ποτέ δεν πληρώνεται στην πραγματικότητα, παρά μόνο αναστέλλεται από άλλες υποσχέσεις, επομένως δεν υπάρχει πραγματική ανάγκη για χρήμα για αυτό το λόγο. Θα μπορούσανε να οργανώσουνε όλα αυτά υποσχόμενοι να πληρώσουνε χρησιμοποιώντας κάποιο μέρος ενός </w:t>
      </w:r>
      <w:proofErr w:type="spellStart"/>
      <w:r>
        <w:t>καταθετικού</w:t>
      </w:r>
      <w:proofErr w:type="spellEnd"/>
      <w:r>
        <w:t xml:space="preserve"> λογαριασμού τους το οποίο δεν έχει φυσική υπόσταση. Έτσι αυτό το </w:t>
      </w:r>
      <w:r w:rsidRPr="00F71104">
        <w:t xml:space="preserve">καθαρά πιστωτικό σύστημα πληρωμών είναι πιο ευέλικτο από το καθαρό σύστημα πληρωμών χρήματος, </w:t>
      </w:r>
      <w:r>
        <w:t>καθώς δεν περιορίζονται από τη συνολική προσφορά χρήματος, παρά μόνο από αμοιβαία συμφωνηθέντα πιστωτικά όρια</w:t>
      </w:r>
      <w:r w:rsidR="00F71104">
        <w:t xml:space="preserve"> (δείτε πίνακα 4.7)</w:t>
      </w:r>
      <w:r>
        <w:t xml:space="preserve">.                          </w:t>
      </w:r>
    </w:p>
    <w:p w:rsidR="00F861D4" w:rsidRDefault="00F861D4" w:rsidP="00F71104">
      <w:pPr>
        <w:spacing w:line="360" w:lineRule="auto"/>
        <w:ind w:firstLine="720"/>
        <w:jc w:val="both"/>
      </w:pPr>
      <w:r>
        <w:t>Τώρα μπορούμε να θεωρήσουμε επιπλέον, έναν τρίτο τρόπο με τον οποίο θα μπορούσε να γίνει η συναλλαγή τους. Υποθέστε ότι αμφότεροι δεν εμπιστεύονται η μια την άλλη αρκετά ώστε να επιμηκύνουνε την αμφίπλευρη πίστη, επομένως το αμφίπλευρο πιστωτικό όριο είναι μηδέν. Αλλά και οι δύο εμπιστεύονται μια τρίτη οικονομική μονάδα στο παράδειγμα μας μια τράπεζα,</w:t>
      </w:r>
      <w:r w:rsidR="00F71104">
        <w:t xml:space="preserve"> που</w:t>
      </w:r>
      <w:r>
        <w:t xml:space="preserve"> και αυτή με την σειρά της επίσης εμπιστεύεται την κάθε μια από αυτές. Σε αυτή την περίπτωση μπορού</w:t>
      </w:r>
      <w:r w:rsidR="00F71104">
        <w:t>ν</w:t>
      </w:r>
      <w:r>
        <w:t>ε να οργανώσουνε τη συναλλαγή εκδίδοντας υποσχετικού</w:t>
      </w:r>
      <w:r w:rsidR="00F71104">
        <w:t>ς</w:t>
      </w:r>
      <w:r>
        <w:t xml:space="preserve"> τίτλους (</w:t>
      </w:r>
      <w:r>
        <w:rPr>
          <w:lang w:val="en-US"/>
        </w:rPr>
        <w:t>IOUs</w:t>
      </w:r>
      <w:r>
        <w:t>) προς  και δεχόμενοι υποσχετικούς τίτλους (</w:t>
      </w:r>
      <w:r>
        <w:rPr>
          <w:lang w:val="en-US"/>
        </w:rPr>
        <w:t>IOUs</w:t>
      </w:r>
      <w:r>
        <w:t xml:space="preserve">) από την τράπεζα. Μοιάζει λογικό να </w:t>
      </w:r>
      <w:r>
        <w:lastRenderedPageBreak/>
        <w:t>αποκαλούμε αυτούς τους υποσχετικούς τίτλους (</w:t>
      </w:r>
      <w:r>
        <w:rPr>
          <w:lang w:val="en-US"/>
        </w:rPr>
        <w:t>IOUs</w:t>
      </w:r>
      <w:r>
        <w:t>) της τράπεζας ως χρήμα. Τότε οι σχετικές εγγραφές στον ισολογισμό τροποποιούνται ως ακολούθως</w:t>
      </w:r>
      <w:r w:rsidR="00F71104">
        <w:t xml:space="preserve"> στον πίνακα 4.</w:t>
      </w:r>
      <w:r w:rsidR="000C510F">
        <w:t>6</w:t>
      </w:r>
      <w:r w:rsidR="00F71104">
        <w:t>.</w:t>
      </w:r>
    </w:p>
    <w:p w:rsidR="00F861D4" w:rsidRDefault="00F861D4" w:rsidP="00F861D4">
      <w:pPr>
        <w:jc w:val="both"/>
        <w:rPr>
          <w:b/>
        </w:rPr>
      </w:pPr>
    </w:p>
    <w:p w:rsidR="00F861D4" w:rsidRPr="00877C0E" w:rsidRDefault="002864D1" w:rsidP="00F861D4">
      <w:pPr>
        <w:jc w:val="both"/>
      </w:pPr>
      <w:r w:rsidRPr="002864D1">
        <w:rPr>
          <w:b/>
        </w:rPr>
        <w:t>Πίνακας 4.</w:t>
      </w:r>
      <w:r w:rsidR="000C510F">
        <w:rPr>
          <w:b/>
        </w:rPr>
        <w:t>6</w:t>
      </w:r>
      <w:r w:rsidRPr="002864D1">
        <w:rPr>
          <w:b/>
        </w:rPr>
        <w:t xml:space="preserve"> </w:t>
      </w:r>
      <w:r w:rsidR="00F861D4">
        <w:t>Μεταβολές στους Ισολογισμούς της Α, Β και της τράπεζας από μια συναλλαγή σε ένα σύστημα πληρωμών.</w:t>
      </w:r>
    </w:p>
    <w:tbl>
      <w:tblPr>
        <w:tblStyle w:val="af3"/>
        <w:tblW w:w="8520" w:type="dxa"/>
        <w:tblLook w:val="04A0" w:firstRow="1" w:lastRow="0" w:firstColumn="1" w:lastColumn="0" w:noHBand="0" w:noVBand="1"/>
      </w:tblPr>
      <w:tblGrid>
        <w:gridCol w:w="1433"/>
        <w:gridCol w:w="1407"/>
        <w:gridCol w:w="1433"/>
        <w:gridCol w:w="1407"/>
        <w:gridCol w:w="1433"/>
        <w:gridCol w:w="1407"/>
      </w:tblGrid>
      <w:tr w:rsidR="00877C0E" w:rsidRPr="00F71104" w:rsidTr="00277C12">
        <w:tc>
          <w:tcPr>
            <w:tcW w:w="2840" w:type="dxa"/>
            <w:gridSpan w:val="2"/>
            <w:shd w:val="clear" w:color="auto" w:fill="D9D9D9" w:themeFill="background1" w:themeFillShade="D9"/>
          </w:tcPr>
          <w:p w:rsidR="00877C0E" w:rsidRPr="00F71104" w:rsidRDefault="00877C0E" w:rsidP="00877C0E">
            <w:pPr>
              <w:jc w:val="center"/>
              <w:rPr>
                <w:sz w:val="22"/>
                <w:szCs w:val="22"/>
              </w:rPr>
            </w:pPr>
            <w:r w:rsidRPr="00F71104">
              <w:rPr>
                <w:b/>
                <w:sz w:val="22"/>
                <w:szCs w:val="22"/>
              </w:rPr>
              <w:t>Οικ. Μονάδα Α</w:t>
            </w:r>
          </w:p>
        </w:tc>
        <w:tc>
          <w:tcPr>
            <w:tcW w:w="2840" w:type="dxa"/>
            <w:gridSpan w:val="2"/>
            <w:shd w:val="clear" w:color="auto" w:fill="D9D9D9" w:themeFill="background1" w:themeFillShade="D9"/>
          </w:tcPr>
          <w:p w:rsidR="00877C0E" w:rsidRPr="00F71104" w:rsidRDefault="00877C0E" w:rsidP="00877C0E">
            <w:pPr>
              <w:jc w:val="center"/>
              <w:rPr>
                <w:sz w:val="22"/>
                <w:szCs w:val="22"/>
              </w:rPr>
            </w:pPr>
            <w:r w:rsidRPr="00F71104">
              <w:rPr>
                <w:b/>
                <w:sz w:val="22"/>
                <w:szCs w:val="22"/>
              </w:rPr>
              <w:t>Τράπεζα</w:t>
            </w:r>
          </w:p>
        </w:tc>
        <w:tc>
          <w:tcPr>
            <w:tcW w:w="2840" w:type="dxa"/>
            <w:gridSpan w:val="2"/>
            <w:shd w:val="clear" w:color="auto" w:fill="D9D9D9" w:themeFill="background1" w:themeFillShade="D9"/>
          </w:tcPr>
          <w:p w:rsidR="00877C0E" w:rsidRPr="00F71104" w:rsidRDefault="00877C0E" w:rsidP="00877C0E">
            <w:pPr>
              <w:jc w:val="center"/>
              <w:rPr>
                <w:sz w:val="22"/>
                <w:szCs w:val="22"/>
              </w:rPr>
            </w:pPr>
            <w:r w:rsidRPr="00F71104">
              <w:rPr>
                <w:b/>
                <w:sz w:val="22"/>
                <w:szCs w:val="22"/>
              </w:rPr>
              <w:t>Οικ. Μονάδα Β</w:t>
            </w:r>
          </w:p>
        </w:tc>
      </w:tr>
      <w:tr w:rsidR="00F861D4" w:rsidRPr="00F71104" w:rsidTr="00277C12">
        <w:tc>
          <w:tcPr>
            <w:tcW w:w="1433" w:type="dxa"/>
          </w:tcPr>
          <w:p w:rsidR="00F861D4" w:rsidRPr="00F71104" w:rsidRDefault="00F861D4" w:rsidP="003150CE">
            <w:pPr>
              <w:jc w:val="both"/>
              <w:rPr>
                <w:b/>
                <w:sz w:val="22"/>
                <w:szCs w:val="22"/>
              </w:rPr>
            </w:pPr>
            <w:r w:rsidRPr="00F71104">
              <w:rPr>
                <w:b/>
                <w:sz w:val="22"/>
                <w:szCs w:val="22"/>
              </w:rPr>
              <w:t>Στοιχεία Ενεργητικού</w:t>
            </w:r>
          </w:p>
        </w:tc>
        <w:tc>
          <w:tcPr>
            <w:tcW w:w="1407" w:type="dxa"/>
          </w:tcPr>
          <w:p w:rsidR="00F861D4" w:rsidRPr="00F71104" w:rsidRDefault="00F861D4" w:rsidP="003150CE">
            <w:pPr>
              <w:jc w:val="both"/>
              <w:rPr>
                <w:b/>
                <w:sz w:val="22"/>
                <w:szCs w:val="22"/>
              </w:rPr>
            </w:pPr>
            <w:r w:rsidRPr="00F71104">
              <w:rPr>
                <w:b/>
                <w:sz w:val="22"/>
                <w:szCs w:val="22"/>
              </w:rPr>
              <w:t>Παθητικό</w:t>
            </w:r>
          </w:p>
        </w:tc>
        <w:tc>
          <w:tcPr>
            <w:tcW w:w="1433" w:type="dxa"/>
          </w:tcPr>
          <w:p w:rsidR="00F861D4" w:rsidRPr="00F71104" w:rsidRDefault="00F861D4" w:rsidP="003150CE">
            <w:pPr>
              <w:jc w:val="both"/>
              <w:rPr>
                <w:b/>
                <w:sz w:val="22"/>
                <w:szCs w:val="22"/>
              </w:rPr>
            </w:pPr>
            <w:r w:rsidRPr="00F71104">
              <w:rPr>
                <w:b/>
                <w:sz w:val="22"/>
                <w:szCs w:val="22"/>
              </w:rPr>
              <w:t>Στοιχεία Ενεργητικού</w:t>
            </w:r>
          </w:p>
        </w:tc>
        <w:tc>
          <w:tcPr>
            <w:tcW w:w="1407" w:type="dxa"/>
          </w:tcPr>
          <w:p w:rsidR="00F861D4" w:rsidRPr="00F71104" w:rsidRDefault="00F861D4" w:rsidP="003150CE">
            <w:pPr>
              <w:jc w:val="both"/>
              <w:rPr>
                <w:b/>
                <w:sz w:val="22"/>
                <w:szCs w:val="22"/>
              </w:rPr>
            </w:pPr>
            <w:r w:rsidRPr="00F71104">
              <w:rPr>
                <w:b/>
                <w:sz w:val="22"/>
                <w:szCs w:val="22"/>
              </w:rPr>
              <w:t>Παθητικό</w:t>
            </w:r>
          </w:p>
        </w:tc>
        <w:tc>
          <w:tcPr>
            <w:tcW w:w="1433" w:type="dxa"/>
          </w:tcPr>
          <w:p w:rsidR="00F861D4" w:rsidRPr="00F71104" w:rsidRDefault="00F861D4" w:rsidP="003150CE">
            <w:pPr>
              <w:jc w:val="both"/>
              <w:rPr>
                <w:b/>
                <w:sz w:val="22"/>
                <w:szCs w:val="22"/>
              </w:rPr>
            </w:pPr>
            <w:r w:rsidRPr="00F71104">
              <w:rPr>
                <w:b/>
                <w:sz w:val="22"/>
                <w:szCs w:val="22"/>
              </w:rPr>
              <w:t>Στοιχεία Ενεργητικού</w:t>
            </w:r>
          </w:p>
        </w:tc>
        <w:tc>
          <w:tcPr>
            <w:tcW w:w="1407" w:type="dxa"/>
          </w:tcPr>
          <w:p w:rsidR="00F861D4" w:rsidRPr="00F71104" w:rsidRDefault="00F861D4" w:rsidP="003150CE">
            <w:pPr>
              <w:jc w:val="both"/>
              <w:rPr>
                <w:b/>
                <w:sz w:val="22"/>
                <w:szCs w:val="22"/>
              </w:rPr>
            </w:pPr>
            <w:r w:rsidRPr="00F71104">
              <w:rPr>
                <w:b/>
                <w:sz w:val="22"/>
                <w:szCs w:val="22"/>
              </w:rPr>
              <w:t>Παθητικό</w:t>
            </w:r>
          </w:p>
        </w:tc>
      </w:tr>
      <w:tr w:rsidR="00F861D4" w:rsidRPr="00F71104" w:rsidTr="00277C12">
        <w:tc>
          <w:tcPr>
            <w:tcW w:w="1433" w:type="dxa"/>
          </w:tcPr>
          <w:p w:rsidR="00F861D4" w:rsidRPr="00F71104" w:rsidRDefault="00F861D4" w:rsidP="003150CE">
            <w:pPr>
              <w:jc w:val="both"/>
              <w:rPr>
                <w:sz w:val="22"/>
                <w:szCs w:val="22"/>
              </w:rPr>
            </w:pPr>
            <w:r w:rsidRPr="00F71104">
              <w:rPr>
                <w:sz w:val="22"/>
                <w:szCs w:val="22"/>
              </w:rPr>
              <w:t>+ αγαθά</w:t>
            </w:r>
          </w:p>
        </w:tc>
        <w:tc>
          <w:tcPr>
            <w:tcW w:w="1407" w:type="dxa"/>
          </w:tcPr>
          <w:p w:rsidR="00F861D4" w:rsidRPr="00F71104" w:rsidRDefault="00F861D4" w:rsidP="003150CE">
            <w:pPr>
              <w:jc w:val="both"/>
              <w:rPr>
                <w:sz w:val="22"/>
                <w:szCs w:val="22"/>
              </w:rPr>
            </w:pPr>
            <w:r w:rsidRPr="00F71104">
              <w:rPr>
                <w:sz w:val="22"/>
                <w:szCs w:val="22"/>
              </w:rPr>
              <w:t>+Δ</w:t>
            </w:r>
            <w:r w:rsidRPr="00F71104">
              <w:rPr>
                <w:sz w:val="22"/>
                <w:szCs w:val="22"/>
                <w:lang w:val="en-US"/>
              </w:rPr>
              <w:t>IOU</w:t>
            </w:r>
          </w:p>
        </w:tc>
        <w:tc>
          <w:tcPr>
            <w:tcW w:w="1433" w:type="dxa"/>
          </w:tcPr>
          <w:p w:rsidR="00F861D4" w:rsidRPr="00F71104" w:rsidRDefault="00F861D4" w:rsidP="003150CE">
            <w:pPr>
              <w:jc w:val="both"/>
              <w:rPr>
                <w:sz w:val="22"/>
                <w:szCs w:val="22"/>
              </w:rPr>
            </w:pPr>
            <w:r w:rsidRPr="00F71104">
              <w:rPr>
                <w:sz w:val="22"/>
                <w:szCs w:val="22"/>
              </w:rPr>
              <w:t>+Δ</w:t>
            </w:r>
            <w:r w:rsidRPr="00F71104">
              <w:rPr>
                <w:sz w:val="22"/>
                <w:szCs w:val="22"/>
                <w:lang w:val="en-US"/>
              </w:rPr>
              <w:t>IOU</w:t>
            </w:r>
          </w:p>
        </w:tc>
        <w:tc>
          <w:tcPr>
            <w:tcW w:w="1407" w:type="dxa"/>
          </w:tcPr>
          <w:p w:rsidR="00F861D4" w:rsidRPr="00F71104" w:rsidRDefault="00F861D4" w:rsidP="003150CE">
            <w:pPr>
              <w:jc w:val="both"/>
              <w:rPr>
                <w:sz w:val="22"/>
                <w:szCs w:val="22"/>
              </w:rPr>
            </w:pPr>
            <w:r w:rsidRPr="00F71104">
              <w:rPr>
                <w:sz w:val="22"/>
                <w:szCs w:val="22"/>
              </w:rPr>
              <w:t>+ΔΜ</w:t>
            </w:r>
          </w:p>
        </w:tc>
        <w:tc>
          <w:tcPr>
            <w:tcW w:w="1433" w:type="dxa"/>
          </w:tcPr>
          <w:p w:rsidR="00F861D4" w:rsidRPr="00F71104" w:rsidRDefault="00F861D4" w:rsidP="003150CE">
            <w:pPr>
              <w:jc w:val="both"/>
              <w:rPr>
                <w:sz w:val="22"/>
                <w:szCs w:val="22"/>
              </w:rPr>
            </w:pPr>
            <w:r w:rsidRPr="00F71104">
              <w:rPr>
                <w:sz w:val="22"/>
                <w:szCs w:val="22"/>
              </w:rPr>
              <w:t>-αγαθά</w:t>
            </w:r>
          </w:p>
          <w:p w:rsidR="00F861D4" w:rsidRPr="00F71104" w:rsidRDefault="00F861D4" w:rsidP="003150CE">
            <w:pPr>
              <w:jc w:val="both"/>
              <w:rPr>
                <w:sz w:val="22"/>
                <w:szCs w:val="22"/>
              </w:rPr>
            </w:pPr>
            <w:r w:rsidRPr="00F71104">
              <w:rPr>
                <w:sz w:val="22"/>
                <w:szCs w:val="22"/>
              </w:rPr>
              <w:t>+ΔΜ</w:t>
            </w:r>
          </w:p>
        </w:tc>
        <w:tc>
          <w:tcPr>
            <w:tcW w:w="1407" w:type="dxa"/>
          </w:tcPr>
          <w:p w:rsidR="00F861D4" w:rsidRPr="00F71104" w:rsidRDefault="00F861D4" w:rsidP="003150CE">
            <w:pPr>
              <w:jc w:val="both"/>
              <w:rPr>
                <w:sz w:val="22"/>
                <w:szCs w:val="22"/>
              </w:rPr>
            </w:pPr>
          </w:p>
        </w:tc>
      </w:tr>
    </w:tbl>
    <w:p w:rsidR="00F861D4" w:rsidRDefault="00F861D4" w:rsidP="00F861D4">
      <w:pPr>
        <w:jc w:val="both"/>
      </w:pPr>
      <w:r>
        <w:t xml:space="preserve">    </w:t>
      </w:r>
    </w:p>
    <w:p w:rsidR="00F861D4" w:rsidRDefault="00F861D4" w:rsidP="00F71104">
      <w:pPr>
        <w:spacing w:line="360" w:lineRule="auto"/>
        <w:ind w:firstLine="720"/>
        <w:jc w:val="both"/>
      </w:pPr>
      <w:r>
        <w:t>Σημειώστε πώς η ποσότητα του τραπεζικού χρήματος μεταβάλλεται διαχρονικά, καθώς η τραπεζική πίστη επεκτείνεται προκειμένου να διευκολύνει τη χρονική μορφή του εμπορίου. Είναι βεβαίως αυτό το τρίτο σύστημα που μοιάζει περισσότερο στους θεσμούς της σύγχρονης ανεπτυγμένης οικονομίας.</w:t>
      </w:r>
    </w:p>
    <w:p w:rsidR="0000705C" w:rsidRDefault="00F861D4" w:rsidP="00802C1C">
      <w:pPr>
        <w:spacing w:line="360" w:lineRule="auto"/>
        <w:ind w:firstLine="720"/>
        <w:jc w:val="both"/>
      </w:pPr>
      <w:r w:rsidRPr="00F12707">
        <w:t xml:space="preserve">Προσπαθώντας να δούμε τις έννοιες της πειθαρχίας και της ελαστικότητας σε αυτά τα τρία παραδείγματα διαπιστώνουμε τα εξής. Στο πρώτο παράδειγμα μας, η πειθαρχία </w:t>
      </w:r>
      <w:r>
        <w:t>προήλθε από την περιορισμένη ποσότητα χρήματος— όταν οποιαδήποτε από τις πλευρές στέρευε από χρήμα, δε μπορούσαν πλέον να αγοράσουν και το εμπόριο σταματούσε</w:t>
      </w:r>
      <w:r w:rsidR="00F71104">
        <w:t xml:space="preserve"> (δείτε γράφημα 4.6β)</w:t>
      </w:r>
      <w:r>
        <w:t>. Στο δεύτερο παράδειγμα, η πειθαρχία προέρχεται από το αμφίπλευρο πιστωτικό όριο. Στο τρίτο παράδειγμα η πειθαρχία έρχεται από το πιστωτικό όριο και από τους όρους που επιβάλλονται  από την τράπεζα σε καθένα από τους δανειζόμενους, και η ελαστικότητα έρχεται από την προθυμία της τράπεζας να ανταλλάξει δικούς της υποσχετικούς τίτλους (</w:t>
      </w:r>
      <w:r w:rsidR="00F71104">
        <w:t>που θεωρούνται</w:t>
      </w:r>
      <w:r>
        <w:t xml:space="preserve"> χρήμα) με υποσχετικούς τίτλους (</w:t>
      </w:r>
      <w:r>
        <w:rPr>
          <w:lang w:val="en-US"/>
        </w:rPr>
        <w:t>IOUs</w:t>
      </w:r>
      <w:r>
        <w:t>) ακόμη πιο χαμηλά στην ιεραρχία (</w:t>
      </w:r>
      <w:r w:rsidR="00F71104">
        <w:t>οι οποίοι</w:t>
      </w:r>
      <w:r>
        <w:t xml:space="preserve"> </w:t>
      </w:r>
      <w:r w:rsidR="00F71104">
        <w:t>αποτελούν</w:t>
      </w:r>
      <w:r>
        <w:t xml:space="preserve"> πίστη).</w:t>
      </w:r>
    </w:p>
    <w:p w:rsidR="00F861D4" w:rsidRDefault="00F861D4" w:rsidP="00F861D4">
      <w:pPr>
        <w:ind w:firstLine="720"/>
        <w:jc w:val="both"/>
      </w:pPr>
      <w:r>
        <w:t xml:space="preserve"> </w:t>
      </w:r>
    </w:p>
    <w:tbl>
      <w:tblPr>
        <w:tblStyle w:val="af3"/>
        <w:tblW w:w="8658" w:type="dxa"/>
        <w:tblLook w:val="04A0" w:firstRow="1" w:lastRow="0" w:firstColumn="1" w:lastColumn="0" w:noHBand="0" w:noVBand="1"/>
      </w:tblPr>
      <w:tblGrid>
        <w:gridCol w:w="4248"/>
        <w:gridCol w:w="4410"/>
      </w:tblGrid>
      <w:tr w:rsidR="00F861D4" w:rsidTr="00F71104">
        <w:tc>
          <w:tcPr>
            <w:tcW w:w="4248" w:type="dxa"/>
          </w:tcPr>
          <w:p w:rsidR="00F861D4" w:rsidRDefault="00F861D4" w:rsidP="00F71104">
            <w:r w:rsidRPr="0084476B">
              <w:rPr>
                <w:b/>
              </w:rPr>
              <w:t xml:space="preserve">Γράφημα </w:t>
            </w:r>
            <w:r w:rsidR="002864D1" w:rsidRPr="002864D1">
              <w:rPr>
                <w:b/>
              </w:rPr>
              <w:t>4.6α</w:t>
            </w:r>
            <w:r>
              <w:t xml:space="preserve"> Περιορισμός η ποσότητα του χρήματος</w:t>
            </w:r>
          </w:p>
        </w:tc>
        <w:tc>
          <w:tcPr>
            <w:tcW w:w="4410" w:type="dxa"/>
          </w:tcPr>
          <w:p w:rsidR="00F861D4" w:rsidRDefault="00F861D4" w:rsidP="00F71104">
            <w:r w:rsidRPr="0084476B">
              <w:rPr>
                <w:b/>
              </w:rPr>
              <w:t>Γράφημα</w:t>
            </w:r>
            <w:r w:rsidR="002864D1">
              <w:rPr>
                <w:b/>
              </w:rPr>
              <w:t xml:space="preserve"> 4.6β</w:t>
            </w:r>
            <w:r w:rsidRPr="0084476B">
              <w:t xml:space="preserve"> Περιορισμός </w:t>
            </w:r>
            <w:r w:rsidR="00F71104">
              <w:t xml:space="preserve">τα </w:t>
            </w:r>
            <w:r>
              <w:t>πιστωτικά όρια</w:t>
            </w:r>
          </w:p>
        </w:tc>
      </w:tr>
      <w:tr w:rsidR="00F861D4" w:rsidTr="00F71104">
        <w:tc>
          <w:tcPr>
            <w:tcW w:w="4248" w:type="dxa"/>
          </w:tcPr>
          <w:p w:rsidR="00F861D4" w:rsidRDefault="00F861D4" w:rsidP="003150CE">
            <w:pPr>
              <w:jc w:val="both"/>
            </w:pPr>
            <w:r>
              <w:rPr>
                <w:noProof/>
              </w:rPr>
              <w:drawing>
                <wp:inline distT="0" distB="0" distL="0" distR="0" wp14:anchorId="3E4BC79C" wp14:editId="7C358715">
                  <wp:extent cx="2381693" cy="1238481"/>
                  <wp:effectExtent l="0" t="0" r="0" b="0"/>
                  <wp:docPr id="78861" name="Εικόνα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ling_4.jpg"/>
                          <pic:cNvPicPr/>
                        </pic:nvPicPr>
                        <pic:blipFill rotWithShape="1">
                          <a:blip r:embed="rId15">
                            <a:extLst>
                              <a:ext uri="{28A0092B-C50C-407E-A947-70E740481C1C}">
                                <a14:useLocalDpi xmlns:a14="http://schemas.microsoft.com/office/drawing/2010/main" val="0"/>
                              </a:ext>
                            </a:extLst>
                          </a:blip>
                          <a:srcRect l="8386" r="28721" b="42179"/>
                          <a:stretch/>
                        </pic:blipFill>
                        <pic:spPr bwMode="auto">
                          <a:xfrm>
                            <a:off x="0" y="0"/>
                            <a:ext cx="2390137" cy="1242872"/>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Pr>
          <w:p w:rsidR="00F861D4" w:rsidRDefault="00F861D4" w:rsidP="003150CE">
            <w:pPr>
              <w:jc w:val="both"/>
            </w:pPr>
            <w:r>
              <w:rPr>
                <w:noProof/>
              </w:rPr>
              <w:drawing>
                <wp:inline distT="0" distB="0" distL="0" distR="0" wp14:anchorId="2C8C218C" wp14:editId="16EFC783">
                  <wp:extent cx="2532629" cy="1127051"/>
                  <wp:effectExtent l="0" t="0" r="0" b="0"/>
                  <wp:docPr id="78864" name="Εικόνα 7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848" cy="1128038"/>
                          </a:xfrm>
                          <a:prstGeom prst="rect">
                            <a:avLst/>
                          </a:prstGeom>
                          <a:noFill/>
                        </pic:spPr>
                      </pic:pic>
                    </a:graphicData>
                  </a:graphic>
                </wp:inline>
              </w:drawing>
            </w:r>
          </w:p>
        </w:tc>
      </w:tr>
    </w:tbl>
    <w:p w:rsidR="00F861D4" w:rsidRDefault="00F861D4" w:rsidP="00F861D4">
      <w:pPr>
        <w:jc w:val="both"/>
      </w:pPr>
    </w:p>
    <w:p w:rsidR="00F861D4" w:rsidRPr="00527BAA" w:rsidRDefault="00527BAA" w:rsidP="00802C1C">
      <w:pPr>
        <w:pStyle w:val="2"/>
        <w:spacing w:before="0" w:after="0" w:line="360" w:lineRule="auto"/>
        <w:jc w:val="both"/>
        <w:rPr>
          <w:b w:val="0"/>
          <w:u w:val="single"/>
        </w:rPr>
      </w:pPr>
      <w:bookmarkStart w:id="7" w:name="_Toc393111064"/>
      <w:r>
        <w:rPr>
          <w:rFonts w:ascii="Times New Roman" w:hAnsi="Times New Roman" w:cs="Times New Roman"/>
          <w:i w:val="0"/>
        </w:rPr>
        <w:lastRenderedPageBreak/>
        <w:t>4</w:t>
      </w:r>
      <w:r w:rsidRPr="00390868">
        <w:rPr>
          <w:rFonts w:ascii="Times New Roman" w:hAnsi="Times New Roman" w:cs="Times New Roman"/>
          <w:i w:val="0"/>
        </w:rPr>
        <w:t>.</w:t>
      </w:r>
      <w:r>
        <w:rPr>
          <w:rFonts w:ascii="Times New Roman" w:hAnsi="Times New Roman" w:cs="Times New Roman"/>
          <w:i w:val="0"/>
        </w:rPr>
        <w:t>4</w:t>
      </w:r>
      <w:r w:rsidRPr="00390868">
        <w:rPr>
          <w:rFonts w:ascii="Times New Roman" w:hAnsi="Times New Roman" w:cs="Times New Roman"/>
          <w:i w:val="0"/>
        </w:rPr>
        <w:t xml:space="preserve"> </w:t>
      </w:r>
      <w:r w:rsidR="00F861D4" w:rsidRPr="00527BAA">
        <w:rPr>
          <w:rFonts w:ascii="Times New Roman" w:hAnsi="Times New Roman" w:cs="Times New Roman"/>
          <w:i w:val="0"/>
        </w:rPr>
        <w:t>Χρήμα και Χρόνος: Ρευστότητα και Φερεγγυότητα</w:t>
      </w:r>
      <w:bookmarkEnd w:id="7"/>
    </w:p>
    <w:p w:rsidR="00660178" w:rsidRPr="00660178" w:rsidRDefault="00F861D4" w:rsidP="00660178">
      <w:pPr>
        <w:spacing w:line="360" w:lineRule="auto"/>
        <w:ind w:firstLine="720"/>
        <w:jc w:val="both"/>
      </w:pPr>
      <w:r>
        <w:t xml:space="preserve">Ο πιο βασικός </w:t>
      </w:r>
      <w:r w:rsidRPr="00660178">
        <w:rPr>
          <w:i/>
        </w:rPr>
        <w:t>περιορισμός επιβίωσης</w:t>
      </w:r>
      <w:r>
        <w:t xml:space="preserve"> (</w:t>
      </w:r>
      <w:r>
        <w:rPr>
          <w:lang w:val="en-US"/>
        </w:rPr>
        <w:t>survival</w:t>
      </w:r>
      <w:r w:rsidRPr="0084476B">
        <w:t xml:space="preserve"> </w:t>
      </w:r>
      <w:r>
        <w:rPr>
          <w:lang w:val="en-US"/>
        </w:rPr>
        <w:t>constraint</w:t>
      </w:r>
      <w:r w:rsidRPr="0084476B">
        <w:t xml:space="preserve">, </w:t>
      </w:r>
      <w:r>
        <w:t>ή περιορισμός διαθεσίμων</w:t>
      </w:r>
      <w:r w:rsidR="00F71104">
        <w:t>)</w:t>
      </w:r>
      <w:r w:rsidR="00660178">
        <w:t>,</w:t>
      </w:r>
      <w:r>
        <w:t xml:space="preserve"> ορολογία του  </w:t>
      </w:r>
      <w:r>
        <w:rPr>
          <w:lang w:val="en-US"/>
        </w:rPr>
        <w:t>Minsky</w:t>
      </w:r>
      <w:r>
        <w:t xml:space="preserve"> </w:t>
      </w:r>
      <w:r w:rsidR="00660178">
        <w:t>(</w:t>
      </w:r>
      <w:r>
        <w:t>1986</w:t>
      </w:r>
      <w:r w:rsidRPr="00406243">
        <w:t>)</w:t>
      </w:r>
      <w:r w:rsidR="00660178">
        <w:t>,</w:t>
      </w:r>
      <w:r w:rsidRPr="00406243">
        <w:t xml:space="preserve"> </w:t>
      </w:r>
      <w:r>
        <w:t xml:space="preserve">που αντιμετωπίζει κάθε οικονομική μονάδα είναι ότι η εισροή πρέπει να είναι τουλάχιστον όσο μεγάλη είναι η εκροή. Τα έσοδα και τα έξοδα μεταβάλλονται διαχρονικά. Εάν σε μια χρονική στιγμή τα έξοδα είναι μεγαλύτερα από τις έσοδα, τότε χρησιμοποιούνται μετρητά από τα αποθέματα μετρητών. Εάν τα αποθέματα εξαντληθούν μπορούν να αναπληρωθούν με δανεισμό, αλλά αυτό απλώς αναβάλλει τη μέρα της πληρωμής, και λειτουργεί μόνο αν υπάρχει μια ημερομηνία κατά την οποία οι εισπράξεις αναμένεται να </w:t>
      </w:r>
      <w:r w:rsidR="00660178">
        <w:t>είναι μεγαλύτερες από τα έξοδα.</w:t>
      </w:r>
    </w:p>
    <w:p w:rsidR="00F861D4" w:rsidRDefault="00F861D4" w:rsidP="00660178">
      <w:pPr>
        <w:spacing w:line="360" w:lineRule="auto"/>
        <w:ind w:firstLine="720"/>
        <w:jc w:val="both"/>
      </w:pPr>
      <w:r>
        <w:t xml:space="preserve">Το κύριο μέλημα από την οπτική μιας τράπεζας δεν είναι η φερεγγυότητα, αλλά η </w:t>
      </w:r>
      <w:r w:rsidRPr="00660178">
        <w:rPr>
          <w:i/>
        </w:rPr>
        <w:t>ρευστότητα</w:t>
      </w:r>
      <w:r>
        <w:rPr>
          <w:b/>
        </w:rPr>
        <w:t xml:space="preserve">, </w:t>
      </w:r>
      <w:r>
        <w:t>δηλαδή ο περιορισμός επιβίωσης. Είναι οι τωρινές ταμειακές ροές επαρκείς για να καλύψουν τις τωρινές δεσμεύσεις για εκροές μετρ</w:t>
      </w:r>
      <w:r w:rsidR="00660178">
        <w:t>ητών; Εάν ναι, τότε ικανοποιείται</w:t>
      </w:r>
      <w:r>
        <w:t xml:space="preserve"> </w:t>
      </w:r>
      <w:r w:rsidR="00660178">
        <w:t>ο</w:t>
      </w:r>
      <w:r>
        <w:t xml:space="preserve"> περιορισμό</w:t>
      </w:r>
      <w:r w:rsidR="00660178">
        <w:t>ς</w:t>
      </w:r>
      <w:r>
        <w:t xml:space="preserve"> επιβίωσης. Εάν όχι, τότε πρέπει να </w:t>
      </w:r>
      <w:proofErr w:type="spellStart"/>
      <w:r>
        <w:t>βρού</w:t>
      </w:r>
      <w:r w:rsidR="00660178">
        <w:t>ν</w:t>
      </w:r>
      <w:proofErr w:type="spellEnd"/>
      <w:r>
        <w:t xml:space="preserve"> επιπρόσθετες χρηματικές ροές με κάποιο τρόπο και υπάρχουν μόνο τρεις τρόποι για να τ</w:t>
      </w:r>
      <w:r w:rsidR="00660178">
        <w:t>ο καταφέρουν.</w:t>
      </w:r>
      <w:r w:rsidRPr="0065563A">
        <w:t>:</w:t>
      </w:r>
    </w:p>
    <w:p w:rsidR="00F861D4" w:rsidRDefault="00660178" w:rsidP="002E12D2">
      <w:pPr>
        <w:pStyle w:val="ae"/>
        <w:numPr>
          <w:ilvl w:val="0"/>
          <w:numId w:val="2"/>
        </w:numPr>
        <w:spacing w:after="200" w:line="360" w:lineRule="auto"/>
        <w:contextualSpacing/>
        <w:jc w:val="both"/>
      </w:pPr>
      <w:r>
        <w:t>Να ξοδέψει η τράπεζα</w:t>
      </w:r>
      <w:r w:rsidR="00F861D4">
        <w:t xml:space="preserve"> αποθέματα ρευστών</w:t>
      </w:r>
    </w:p>
    <w:p w:rsidR="00F861D4" w:rsidRDefault="00F861D4" w:rsidP="002E12D2">
      <w:pPr>
        <w:pStyle w:val="ae"/>
        <w:numPr>
          <w:ilvl w:val="0"/>
          <w:numId w:val="2"/>
        </w:numPr>
        <w:spacing w:after="200" w:line="360" w:lineRule="auto"/>
        <w:contextualSpacing/>
        <w:jc w:val="both"/>
      </w:pPr>
      <w:r>
        <w:t>Ρευστοποίηση χρηματοοικονομικών στοιχείων ενεργητικού</w:t>
      </w:r>
    </w:p>
    <w:p w:rsidR="00F861D4" w:rsidRDefault="00F861D4" w:rsidP="002E12D2">
      <w:pPr>
        <w:pStyle w:val="ae"/>
        <w:numPr>
          <w:ilvl w:val="0"/>
          <w:numId w:val="2"/>
        </w:numPr>
        <w:spacing w:after="200" w:line="360" w:lineRule="auto"/>
        <w:contextualSpacing/>
        <w:jc w:val="both"/>
      </w:pPr>
      <w:r>
        <w:t xml:space="preserve">Δανεισμός, δηλαδή συσσώρευση επιπρόσθετων αποθεμάτων </w:t>
      </w:r>
      <w:proofErr w:type="spellStart"/>
      <w:r>
        <w:t>χρηματο</w:t>
      </w:r>
      <w:proofErr w:type="spellEnd"/>
      <w:r w:rsidR="00660178">
        <w:t>-</w:t>
      </w:r>
      <w:r>
        <w:t>οικονομικών στοιχείων παθητικού.</w:t>
      </w:r>
    </w:p>
    <w:p w:rsidR="00F861D4" w:rsidRDefault="00660178" w:rsidP="00802C1C">
      <w:pPr>
        <w:spacing w:line="360" w:lineRule="auto"/>
        <w:jc w:val="both"/>
      </w:pPr>
      <w:r>
        <w:t>Παρατηρήστε ότι και ο 2</w:t>
      </w:r>
      <w:r w:rsidRPr="00660178">
        <w:rPr>
          <w:vertAlign w:val="superscript"/>
        </w:rPr>
        <w:t>ος</w:t>
      </w:r>
      <w:r>
        <w:t xml:space="preserve"> </w:t>
      </w:r>
      <w:r w:rsidR="00F861D4">
        <w:t>και ο 3</w:t>
      </w:r>
      <w:r w:rsidRPr="00660178">
        <w:rPr>
          <w:vertAlign w:val="superscript"/>
        </w:rPr>
        <w:t>ος</w:t>
      </w:r>
      <w:r>
        <w:t xml:space="preserve"> τρόπος </w:t>
      </w:r>
      <w:r w:rsidR="00F861D4">
        <w:t>εξαρτώνται από την εύρεση κάποιου άλλου για να επωμισθεί την άλλη πλευρά της συναλλαγής, και αυτό μπορεί να είναι αδύνατον ή εξαιρετικά ακριβό σε περιόδους κρίσης. Σε περιόδους κρίσης μόνο ο 1</w:t>
      </w:r>
      <w:r w:rsidRPr="00660178">
        <w:rPr>
          <w:vertAlign w:val="superscript"/>
        </w:rPr>
        <w:t>ος</w:t>
      </w:r>
      <w:r w:rsidR="00F861D4">
        <w:t xml:space="preserve"> είναι αξιόπιστος. Για αυτό το λόγο τα διαθέσιμα είναι τόσο σημαντικά.</w:t>
      </w:r>
    </w:p>
    <w:p w:rsidR="00F861D4" w:rsidRDefault="00F861D4" w:rsidP="00802C1C">
      <w:pPr>
        <w:spacing w:line="360" w:lineRule="auto"/>
        <w:jc w:val="both"/>
      </w:pPr>
      <w:r>
        <w:t xml:space="preserve">   Ο περιορισμός επιβίωσης πρέπει να ικανοποιείται όχι μόνο σήμερα αλλά επίσης και σε κάθε στιγμή στο μέλλον. Η κεντρική ερώτηση είναι αν σε οποιαδήποτε στιγμή οι πραγματικές χρηματικές ροές </w:t>
      </w:r>
      <w:r w:rsidRPr="00660178">
        <w:t>καθιστούν έγκυρες</w:t>
      </w:r>
      <w:r>
        <w:t xml:space="preserve"> τις </w:t>
      </w:r>
      <w:proofErr w:type="spellStart"/>
      <w:r>
        <w:t>υποσχεθείσες</w:t>
      </w:r>
      <w:proofErr w:type="spellEnd"/>
      <w:r>
        <w:t xml:space="preserve"> χρηματικές δεσμεύσεις μετρητών. </w:t>
      </w:r>
    </w:p>
    <w:p w:rsidR="00F861D4" w:rsidRDefault="00F861D4" w:rsidP="00802C1C">
      <w:pPr>
        <w:spacing w:line="360" w:lineRule="auto"/>
        <w:jc w:val="both"/>
      </w:pPr>
      <w:r>
        <w:t>Για να κατανοήσο</w:t>
      </w:r>
      <w:r w:rsidR="00F611BE">
        <w:t>υ</w:t>
      </w:r>
      <w:r>
        <w:t xml:space="preserve">με όλα αυτά καλύτερα θα δούμε ένα παράδειγμα με τρείς εκδοχές στους ακόλουθους πίνακες. Σε κάθε περίπτωση οι χρηματικές εισροές είναι πολύ μεγαλύτερες από τις χρηματικές δεσμεύσεις, άρα δεν υπάρχει πρόβλημα με τη φερεγγυότητα. Αλλά στην πρώτη περίπτωση ο περιορισμός επιβίωσης τηρείται σε </w:t>
      </w:r>
      <w:r>
        <w:lastRenderedPageBreak/>
        <w:t xml:space="preserve">κάθε μία περίοδο. Στη δεύτερη περίπτωση ο περιορισμός επιβίωσης τηρείται σε μελλοντικές περιόδους αλλά όχι στην τρέχουσα περίοδο, άρα υπάρχει ένα τρέχον πρόβλημα. Και στην τρίτη περίπτωση, ο περιορισμός επιβίωσης τηρείται σε παρούσες περιόδους αλλά όχι σε μελλοντικές περιόδους, άρα υπάρχει ένα μελλοντικό δυνητικό πρόβλημα. </w:t>
      </w:r>
    </w:p>
    <w:p w:rsidR="00F611BE" w:rsidRDefault="00F611BE" w:rsidP="00F861D4">
      <w:pPr>
        <w:jc w:val="both"/>
      </w:pPr>
    </w:p>
    <w:p w:rsidR="00F861D4" w:rsidRPr="00C3409E" w:rsidRDefault="00F861D4" w:rsidP="00F861D4">
      <w:pPr>
        <w:jc w:val="both"/>
      </w:pPr>
      <w:r>
        <w:rPr>
          <w:b/>
        </w:rPr>
        <w:t>Πίνακας</w:t>
      </w:r>
      <w:r w:rsidRPr="00B0461C">
        <w:rPr>
          <w:b/>
        </w:rPr>
        <w:t xml:space="preserve"> </w:t>
      </w:r>
      <w:r w:rsidR="002864D1">
        <w:rPr>
          <w:b/>
        </w:rPr>
        <w:t>4.</w:t>
      </w:r>
      <w:r w:rsidR="000C510F">
        <w:rPr>
          <w:b/>
        </w:rPr>
        <w:t>7</w:t>
      </w:r>
      <w:r w:rsidRPr="00B0461C">
        <w:rPr>
          <w:b/>
        </w:rPr>
        <w:t>α</w:t>
      </w:r>
      <w:r>
        <w:t xml:space="preserve"> 1</w:t>
      </w:r>
      <w:r w:rsidRPr="00B0461C">
        <w:rPr>
          <w:vertAlign w:val="superscript"/>
        </w:rPr>
        <w:t>η</w:t>
      </w:r>
      <w:r>
        <w:t xml:space="preserve"> εκδοχή διάρθρωσης του ρευστού κεφαλαίου</w:t>
      </w:r>
    </w:p>
    <w:tbl>
      <w:tblPr>
        <w:tblStyle w:val="af3"/>
        <w:tblW w:w="0" w:type="auto"/>
        <w:tblLook w:val="04A0" w:firstRow="1" w:lastRow="0" w:firstColumn="1" w:lastColumn="0" w:noHBand="0" w:noVBand="1"/>
      </w:tblPr>
      <w:tblGrid>
        <w:gridCol w:w="1704"/>
        <w:gridCol w:w="1704"/>
        <w:gridCol w:w="1704"/>
        <w:gridCol w:w="1705"/>
        <w:gridCol w:w="1705"/>
      </w:tblGrid>
      <w:tr w:rsidR="00C3409E" w:rsidRPr="003F037E" w:rsidTr="00C3409E">
        <w:tc>
          <w:tcPr>
            <w:tcW w:w="1704" w:type="dxa"/>
          </w:tcPr>
          <w:p w:rsidR="00C3409E" w:rsidRPr="003F037E" w:rsidRDefault="00C3409E" w:rsidP="00877C0E">
            <w:pPr>
              <w:jc w:val="both"/>
              <w:rPr>
                <w:rFonts w:ascii="Times New Roman" w:hAnsi="Times New Roman"/>
                <w:sz w:val="22"/>
                <w:szCs w:val="22"/>
              </w:rPr>
            </w:pPr>
          </w:p>
        </w:tc>
        <w:tc>
          <w:tcPr>
            <w:tcW w:w="1704"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w:t>
            </w:r>
          </w:p>
        </w:tc>
        <w:tc>
          <w:tcPr>
            <w:tcW w:w="1704"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t+1</w:t>
            </w:r>
          </w:p>
        </w:tc>
        <w:tc>
          <w:tcPr>
            <w:tcW w:w="1705"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t+2</w:t>
            </w:r>
          </w:p>
        </w:tc>
        <w:tc>
          <w:tcPr>
            <w:tcW w:w="1705"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t+3</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Ροή</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Δέσμευση</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5</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5</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5</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5</w:t>
            </w:r>
          </w:p>
        </w:tc>
      </w:tr>
    </w:tbl>
    <w:p w:rsidR="00F861D4" w:rsidRDefault="00F861D4" w:rsidP="00F861D4">
      <w:pPr>
        <w:jc w:val="both"/>
      </w:pPr>
    </w:p>
    <w:p w:rsidR="00F861D4" w:rsidRPr="00C3409E" w:rsidRDefault="00F861D4" w:rsidP="00F861D4">
      <w:pPr>
        <w:jc w:val="both"/>
      </w:pPr>
      <w:r>
        <w:rPr>
          <w:b/>
        </w:rPr>
        <w:t>Πίνακας</w:t>
      </w:r>
      <w:r w:rsidRPr="00B0461C">
        <w:rPr>
          <w:b/>
        </w:rPr>
        <w:t xml:space="preserve"> </w:t>
      </w:r>
      <w:r w:rsidR="002864D1">
        <w:rPr>
          <w:b/>
        </w:rPr>
        <w:t>4.</w:t>
      </w:r>
      <w:r w:rsidR="000C510F">
        <w:rPr>
          <w:b/>
        </w:rPr>
        <w:t>7</w:t>
      </w:r>
      <w:r>
        <w:rPr>
          <w:b/>
        </w:rPr>
        <w:t>β</w:t>
      </w:r>
      <w:r>
        <w:t xml:space="preserve"> 2</w:t>
      </w:r>
      <w:r w:rsidRPr="00B0461C">
        <w:rPr>
          <w:vertAlign w:val="superscript"/>
        </w:rPr>
        <w:t>η</w:t>
      </w:r>
      <w:r w:rsidR="00277C12">
        <w:t xml:space="preserve"> </w:t>
      </w:r>
      <w:r>
        <w:t>εκδοχή διάρθρωσης του ρευστού κ</w:t>
      </w:r>
      <w:r w:rsidR="00C3409E">
        <w:t>εφαλαίου (παρούσα αναντιστοιχία</w:t>
      </w:r>
      <w:r w:rsidR="00C3409E" w:rsidRPr="00C3409E">
        <w:t>)</w:t>
      </w:r>
    </w:p>
    <w:tbl>
      <w:tblPr>
        <w:tblStyle w:val="af3"/>
        <w:tblW w:w="0" w:type="auto"/>
        <w:tblLook w:val="04A0" w:firstRow="1" w:lastRow="0" w:firstColumn="1" w:lastColumn="0" w:noHBand="0" w:noVBand="1"/>
      </w:tblPr>
      <w:tblGrid>
        <w:gridCol w:w="1704"/>
        <w:gridCol w:w="1704"/>
        <w:gridCol w:w="1704"/>
        <w:gridCol w:w="1705"/>
        <w:gridCol w:w="1705"/>
      </w:tblGrid>
      <w:tr w:rsidR="00C3409E" w:rsidRPr="003F037E" w:rsidTr="003150CE">
        <w:tc>
          <w:tcPr>
            <w:tcW w:w="1704" w:type="dxa"/>
          </w:tcPr>
          <w:p w:rsidR="00C3409E" w:rsidRPr="003F037E" w:rsidRDefault="00C3409E" w:rsidP="003150CE">
            <w:pPr>
              <w:jc w:val="both"/>
              <w:rPr>
                <w:rFonts w:ascii="Times New Roman" w:hAnsi="Times New Roman"/>
                <w:sz w:val="22"/>
                <w:szCs w:val="22"/>
              </w:rPr>
            </w:pPr>
          </w:p>
        </w:tc>
        <w:tc>
          <w:tcPr>
            <w:tcW w:w="1704" w:type="dxa"/>
          </w:tcPr>
          <w:p w:rsidR="00C3409E" w:rsidRPr="003F037E" w:rsidRDefault="00C3409E" w:rsidP="003150CE">
            <w:pPr>
              <w:jc w:val="center"/>
              <w:rPr>
                <w:rFonts w:ascii="Times New Roman" w:hAnsi="Times New Roman"/>
                <w:sz w:val="22"/>
                <w:szCs w:val="22"/>
              </w:rPr>
            </w:pPr>
            <w:r w:rsidRPr="003F037E">
              <w:rPr>
                <w:rFonts w:ascii="Times New Roman" w:hAnsi="Times New Roman"/>
                <w:sz w:val="22"/>
                <w:szCs w:val="22"/>
                <w:lang w:val="en-US"/>
              </w:rPr>
              <w:t>t</w:t>
            </w:r>
          </w:p>
        </w:tc>
        <w:tc>
          <w:tcPr>
            <w:tcW w:w="1704" w:type="dxa"/>
          </w:tcPr>
          <w:p w:rsidR="00C3409E" w:rsidRPr="003F037E" w:rsidRDefault="00C3409E" w:rsidP="003150CE">
            <w:pPr>
              <w:jc w:val="center"/>
              <w:rPr>
                <w:rFonts w:ascii="Times New Roman" w:hAnsi="Times New Roman"/>
                <w:sz w:val="22"/>
                <w:szCs w:val="22"/>
              </w:rPr>
            </w:pPr>
            <w:r w:rsidRPr="003F037E">
              <w:rPr>
                <w:rFonts w:ascii="Times New Roman" w:hAnsi="Times New Roman"/>
                <w:sz w:val="22"/>
                <w:szCs w:val="22"/>
                <w:lang w:val="en-US"/>
              </w:rPr>
              <w:t>t</w:t>
            </w:r>
            <w:r w:rsidRPr="003F037E">
              <w:rPr>
                <w:rFonts w:ascii="Times New Roman" w:hAnsi="Times New Roman"/>
                <w:sz w:val="22"/>
                <w:szCs w:val="22"/>
              </w:rPr>
              <w:t>+1</w:t>
            </w:r>
          </w:p>
        </w:tc>
        <w:tc>
          <w:tcPr>
            <w:tcW w:w="1705" w:type="dxa"/>
          </w:tcPr>
          <w:p w:rsidR="00C3409E" w:rsidRPr="003F037E" w:rsidRDefault="00C3409E" w:rsidP="003150CE">
            <w:pPr>
              <w:jc w:val="center"/>
              <w:rPr>
                <w:rFonts w:ascii="Times New Roman" w:hAnsi="Times New Roman"/>
                <w:sz w:val="22"/>
                <w:szCs w:val="22"/>
              </w:rPr>
            </w:pPr>
            <w:r w:rsidRPr="003F037E">
              <w:rPr>
                <w:rFonts w:ascii="Times New Roman" w:hAnsi="Times New Roman"/>
                <w:sz w:val="22"/>
                <w:szCs w:val="22"/>
                <w:lang w:val="en-US"/>
              </w:rPr>
              <w:t>t</w:t>
            </w:r>
            <w:r w:rsidRPr="003F037E">
              <w:rPr>
                <w:rFonts w:ascii="Times New Roman" w:hAnsi="Times New Roman"/>
                <w:sz w:val="22"/>
                <w:szCs w:val="22"/>
              </w:rPr>
              <w:t>+2</w:t>
            </w:r>
          </w:p>
        </w:tc>
        <w:tc>
          <w:tcPr>
            <w:tcW w:w="1705" w:type="dxa"/>
          </w:tcPr>
          <w:p w:rsidR="00C3409E" w:rsidRPr="003F037E" w:rsidRDefault="00C3409E" w:rsidP="003150CE">
            <w:pPr>
              <w:jc w:val="center"/>
              <w:rPr>
                <w:rFonts w:ascii="Times New Roman" w:hAnsi="Times New Roman"/>
                <w:sz w:val="22"/>
                <w:szCs w:val="22"/>
              </w:rPr>
            </w:pPr>
            <w:r w:rsidRPr="003F037E">
              <w:rPr>
                <w:rFonts w:ascii="Times New Roman" w:hAnsi="Times New Roman"/>
                <w:sz w:val="22"/>
                <w:szCs w:val="22"/>
                <w:lang w:val="en-US"/>
              </w:rPr>
              <w:t>t</w:t>
            </w:r>
            <w:r w:rsidRPr="003F037E">
              <w:rPr>
                <w:rFonts w:ascii="Times New Roman" w:hAnsi="Times New Roman"/>
                <w:sz w:val="22"/>
                <w:szCs w:val="22"/>
              </w:rPr>
              <w:t>+3</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Ροή</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Δέσμευση</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20</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r>
    </w:tbl>
    <w:p w:rsidR="00F861D4" w:rsidRPr="003507A1" w:rsidRDefault="00F861D4" w:rsidP="00F861D4">
      <w:pPr>
        <w:jc w:val="both"/>
      </w:pPr>
    </w:p>
    <w:p w:rsidR="00F861D4" w:rsidRPr="00C3409E" w:rsidRDefault="00F861D4" w:rsidP="00F861D4">
      <w:pPr>
        <w:jc w:val="both"/>
      </w:pPr>
      <w:r w:rsidRPr="00B0461C">
        <w:rPr>
          <w:b/>
        </w:rPr>
        <w:t xml:space="preserve">Πίνακας </w:t>
      </w:r>
      <w:r w:rsidR="002864D1">
        <w:rPr>
          <w:b/>
        </w:rPr>
        <w:t>4.</w:t>
      </w:r>
      <w:r w:rsidR="000C510F">
        <w:rPr>
          <w:b/>
        </w:rPr>
        <w:t>7</w:t>
      </w:r>
      <w:r w:rsidRPr="00B0461C">
        <w:rPr>
          <w:b/>
        </w:rPr>
        <w:t>γ</w:t>
      </w:r>
      <w:r>
        <w:t xml:space="preserve"> 3</w:t>
      </w:r>
      <w:r w:rsidRPr="00B0461C">
        <w:rPr>
          <w:vertAlign w:val="superscript"/>
        </w:rPr>
        <w:t>η</w:t>
      </w:r>
      <w:r w:rsidR="003F037E">
        <w:t xml:space="preserve"> </w:t>
      </w:r>
      <w:r>
        <w:t>εκδοχή διάρθρωσης του ρευστού κεφαλαίου (μελλοντική αναντιστοιχία)</w:t>
      </w:r>
    </w:p>
    <w:tbl>
      <w:tblPr>
        <w:tblStyle w:val="af3"/>
        <w:tblW w:w="0" w:type="auto"/>
        <w:tblLook w:val="04A0" w:firstRow="1" w:lastRow="0" w:firstColumn="1" w:lastColumn="0" w:noHBand="0" w:noVBand="1"/>
      </w:tblPr>
      <w:tblGrid>
        <w:gridCol w:w="1704"/>
        <w:gridCol w:w="1704"/>
        <w:gridCol w:w="1704"/>
        <w:gridCol w:w="1705"/>
        <w:gridCol w:w="1705"/>
      </w:tblGrid>
      <w:tr w:rsidR="00C3409E" w:rsidRPr="003F037E" w:rsidTr="00C3409E">
        <w:tc>
          <w:tcPr>
            <w:tcW w:w="1704" w:type="dxa"/>
          </w:tcPr>
          <w:p w:rsidR="00C3409E" w:rsidRPr="003F037E" w:rsidRDefault="00C3409E" w:rsidP="00877C0E">
            <w:pPr>
              <w:jc w:val="both"/>
              <w:rPr>
                <w:rFonts w:ascii="Times New Roman" w:hAnsi="Times New Roman"/>
                <w:sz w:val="22"/>
                <w:szCs w:val="22"/>
              </w:rPr>
            </w:pPr>
          </w:p>
        </w:tc>
        <w:tc>
          <w:tcPr>
            <w:tcW w:w="1704"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w:t>
            </w:r>
          </w:p>
        </w:tc>
        <w:tc>
          <w:tcPr>
            <w:tcW w:w="1704"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t+1</w:t>
            </w:r>
          </w:p>
        </w:tc>
        <w:tc>
          <w:tcPr>
            <w:tcW w:w="1705"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t+2</w:t>
            </w:r>
          </w:p>
        </w:tc>
        <w:tc>
          <w:tcPr>
            <w:tcW w:w="1705" w:type="dxa"/>
          </w:tcPr>
          <w:p w:rsidR="00C3409E" w:rsidRPr="003F037E" w:rsidRDefault="00C3409E" w:rsidP="00877C0E">
            <w:pPr>
              <w:jc w:val="center"/>
              <w:rPr>
                <w:rFonts w:ascii="Times New Roman" w:hAnsi="Times New Roman"/>
                <w:sz w:val="22"/>
                <w:szCs w:val="22"/>
                <w:lang w:val="en-US"/>
              </w:rPr>
            </w:pPr>
            <w:r w:rsidRPr="003F037E">
              <w:rPr>
                <w:rFonts w:ascii="Times New Roman" w:hAnsi="Times New Roman"/>
                <w:sz w:val="22"/>
                <w:szCs w:val="22"/>
                <w:lang w:val="en-US"/>
              </w:rPr>
              <w:t>t+3</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Ροή</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10</w:t>
            </w:r>
          </w:p>
        </w:tc>
      </w:tr>
      <w:tr w:rsidR="00F861D4" w:rsidRPr="003F037E" w:rsidTr="003150CE">
        <w:tc>
          <w:tcPr>
            <w:tcW w:w="1704"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Χρηματική Δέσμευση</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c>
          <w:tcPr>
            <w:tcW w:w="1704"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20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c>
          <w:tcPr>
            <w:tcW w:w="1705" w:type="dxa"/>
          </w:tcPr>
          <w:p w:rsidR="00F861D4" w:rsidRPr="003F037E" w:rsidRDefault="00F861D4" w:rsidP="003150CE">
            <w:pPr>
              <w:jc w:val="center"/>
              <w:rPr>
                <w:rFonts w:ascii="Times New Roman" w:hAnsi="Times New Roman"/>
                <w:sz w:val="22"/>
                <w:szCs w:val="22"/>
              </w:rPr>
            </w:pPr>
            <w:r w:rsidRPr="003F037E">
              <w:rPr>
                <w:rFonts w:ascii="Times New Roman" w:hAnsi="Times New Roman"/>
                <w:sz w:val="22"/>
                <w:szCs w:val="22"/>
              </w:rPr>
              <w:t>0</w:t>
            </w:r>
          </w:p>
        </w:tc>
      </w:tr>
    </w:tbl>
    <w:p w:rsidR="00F861D4" w:rsidRPr="005B629A" w:rsidRDefault="00F861D4" w:rsidP="00F861D4">
      <w:pPr>
        <w:jc w:val="both"/>
      </w:pPr>
      <w:r>
        <w:t xml:space="preserve">                                                      </w:t>
      </w:r>
    </w:p>
    <w:p w:rsidR="00F861D4" w:rsidRDefault="00F861D4" w:rsidP="00660178">
      <w:pPr>
        <w:spacing w:line="360" w:lineRule="auto"/>
        <w:ind w:firstLine="720"/>
        <w:jc w:val="both"/>
      </w:pPr>
      <w:r>
        <w:t>Το σημείο που πρέπει να τονίσουμε είναι ότι σε οποιαδήποτε χρονική στιγμή υπάρχουν οικονομικές μονάδες στην οικονομία που ανήκουν σε κάποια από αυτές τις περιπτώσεις και οι ο</w:t>
      </w:r>
      <w:r w:rsidR="00660178">
        <w:t>ποίες</w:t>
      </w:r>
      <w:r>
        <w:t xml:space="preserve"> συμμετ</w:t>
      </w:r>
      <w:r w:rsidR="00660178">
        <w:t>έχουν στην αγορά χρήματος. Αυτές</w:t>
      </w:r>
      <w:r>
        <w:t xml:space="preserve"> με την παρούσα αναντιστοιχία είναι δανειζόμενοι σε μεγάλη ανάγκη και πολλές φορές πρέπει να δανεισ</w:t>
      </w:r>
      <w:r w:rsidR="00660178">
        <w:t>τούν με οποιοδήποτε κόστος. Αυτές</w:t>
      </w:r>
      <w:r>
        <w:t xml:space="preserve"> με μελλοντική ασυμφωνία μπορεί να εισέλθουν στην αγορά χρήματος σήμερα προκειμένου να αποφύγουν μελλοντικά προβλήματα, ή μπορεί να </w:t>
      </w:r>
      <w:r w:rsidR="00660178">
        <w:t>αποφασίσουν να περιμένουν. Αυτές</w:t>
      </w:r>
      <w:r>
        <w:t xml:space="preserve"> που έχουν παρούσα ρευστότητα μπορεί</w:t>
      </w:r>
      <w:r w:rsidR="00660178">
        <w:t xml:space="preserve"> να αποφασίσουν να βοηθήσουν τις άλλε</w:t>
      </w:r>
      <w:r>
        <w:t>ς παρέχοντας ρευστότητα. Το αποτέλεσμα όλων αυτών των διαδικασιών στην αγορά χρήματος είναι ο καθορισμός της τιμής του χρήματος δηλαδή το επιτόκιο.</w:t>
      </w:r>
    </w:p>
    <w:p w:rsidR="00F861D4" w:rsidRPr="006E5C1E" w:rsidRDefault="00F861D4" w:rsidP="00660178">
      <w:pPr>
        <w:spacing w:line="360" w:lineRule="auto"/>
        <w:ind w:firstLine="720"/>
        <w:jc w:val="both"/>
      </w:pPr>
      <w:r>
        <w:t xml:space="preserve">    Η οικονομία επομένως εμφανίζεται ως ένα σύστημα ισολογισμών που ο ένας  εμπλέκεται με τον άλλο, στους οποίους οι οικονομικές μονάδες εξαρτώνται η μια από τις υποσχέσεις πληρωμής  της άλλης (χρηματοοικονομικά στοιχεία ενεργητικού), και βασίζουν τις υποσχέσεις αυτές στους δικούς τους σχεδιασμούς για </w:t>
      </w:r>
      <w:r>
        <w:lastRenderedPageBreak/>
        <w:t>μελλοντικές χρηματικές ροές. Στην οικονομία ως σύνολο υπάρχει μια αλληλουχία χρηματικών ροών που πηγάζουν από τον πραγματικό τομέα της οικονομίας, παραγωγή, κατανάλωση και εμπόριο. Και υπάρχει μια αλληλουχία χρηματικών δεσμεύσεων περισσότερο ή λιγότερο εμφανής στη χρηματοοικονομική δομή. Σε κάθε χρονική στιγμή υπάρχει μια εξισορρόπηση μεταξύ των δύο, η οποία εμφανίζεται ως μια τιμή (επιτόκιο). Εάν υπάρχει ασυμφωνία, τότε κάποιος στην οικονομία πρέπει να πεισθεί να παραχωρήσει τωρινά μετρητά για μια απλή υπόσχεση μελλοντικών μετρητών, και η σχετική τιμή μεταξύ αυτών των δύο είναι το</w:t>
      </w:r>
      <w:r w:rsidRPr="00134D65">
        <w:t xml:space="preserve"> επιτόκιο. Είναι για αυτό το λόγο που τα προβλήματα </w:t>
      </w:r>
      <w:r w:rsidR="00134D65" w:rsidRPr="00134D65">
        <w:t xml:space="preserve">μη σύζευξης </w:t>
      </w:r>
      <w:r w:rsidRPr="00134D65">
        <w:t>μεταξύ χρηματικών ροών και δεσμεύσεων εμφανίζονται ως μια προς τα επάνω πίεση στο βραχυχρόνιο επιτόκιο της αγοράς όπως φαίνεται στο ακόλουθο γράφημα</w:t>
      </w:r>
      <w:r w:rsidRPr="0010737C">
        <w:rPr>
          <w:b/>
        </w:rPr>
        <w:t>.</w:t>
      </w:r>
      <w:r>
        <w:t xml:space="preserve"> </w:t>
      </w:r>
      <w:r w:rsidRPr="0010737C">
        <w:rPr>
          <w:b/>
        </w:rPr>
        <w:t xml:space="preserve">                                      </w:t>
      </w:r>
    </w:p>
    <w:p w:rsidR="00F861D4" w:rsidRDefault="00F861D4" w:rsidP="00F861D4">
      <w:pPr>
        <w:jc w:val="center"/>
        <w:rPr>
          <w:b/>
          <w:noProof/>
        </w:rPr>
      </w:pPr>
    </w:p>
    <w:p w:rsidR="00F861D4" w:rsidRDefault="00F861D4" w:rsidP="00F861D4">
      <w:pPr>
        <w:jc w:val="center"/>
        <w:rPr>
          <w:b/>
          <w:noProof/>
        </w:rPr>
      </w:pPr>
      <w:r>
        <w:rPr>
          <w:b/>
          <w:noProof/>
        </w:rPr>
        <w:t>Γράφημα</w:t>
      </w:r>
      <w:r w:rsidR="002864D1">
        <w:rPr>
          <w:b/>
          <w:noProof/>
        </w:rPr>
        <w:t xml:space="preserve"> 4.7 </w:t>
      </w:r>
      <w:r w:rsidRPr="00FC7B03">
        <w:t>Ισοζύγιο χρηματικών ροών</w:t>
      </w:r>
    </w:p>
    <w:p w:rsidR="00F861D4" w:rsidRDefault="00F861D4" w:rsidP="00F861D4">
      <w:pPr>
        <w:jc w:val="center"/>
        <w:rPr>
          <w:b/>
        </w:rPr>
      </w:pPr>
      <w:r>
        <w:rPr>
          <w:b/>
          <w:noProof/>
        </w:rPr>
        <w:drawing>
          <wp:inline distT="0" distB="0" distL="0" distR="0" wp14:anchorId="5BEDD3C2" wp14:editId="4DE19543">
            <wp:extent cx="1967022" cy="1520456"/>
            <wp:effectExtent l="19050" t="19050" r="0" b="3810"/>
            <wp:docPr id="78865" name="Εικόνα 7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rling_6.jpg"/>
                    <pic:cNvPicPr/>
                  </pic:nvPicPr>
                  <pic:blipFill rotWithShape="1">
                    <a:blip r:embed="rId17">
                      <a:extLst>
                        <a:ext uri="{28A0092B-C50C-407E-A947-70E740481C1C}">
                          <a14:useLocalDpi xmlns:a14="http://schemas.microsoft.com/office/drawing/2010/main" val="0"/>
                        </a:ext>
                      </a:extLst>
                    </a:blip>
                    <a:srcRect l="18750" t="11407" r="43952" b="37621"/>
                    <a:stretch/>
                  </pic:blipFill>
                  <pic:spPr bwMode="auto">
                    <a:xfrm>
                      <a:off x="0" y="0"/>
                      <a:ext cx="1967231" cy="15206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61D4" w:rsidRPr="0010737C" w:rsidRDefault="00F861D4" w:rsidP="00F861D4">
      <w:pPr>
        <w:jc w:val="center"/>
        <w:rPr>
          <w:b/>
        </w:rPr>
      </w:pPr>
    </w:p>
    <w:p w:rsidR="00F861D4" w:rsidRDefault="00F861D4" w:rsidP="00660178">
      <w:pPr>
        <w:spacing w:line="360" w:lineRule="auto"/>
        <w:ind w:firstLine="720"/>
        <w:jc w:val="both"/>
      </w:pPr>
      <w:r>
        <w:t>Πάντως αυτή η παρούσα αλληλουχία αντανακλά πολλές φορές μια θεώρηση με προσανατολισμό προς τα εμπρός καθώς οι άνθρωποι δύνανται και πράγματι περιμένουν προβλήματα που μπορεί να αντιμετωπίσουν  στην ικανοποίηση του περιορισμού επιβίωσης στο μέλλον. Εάν έχουν τη δυνατότητα να μετακινήσουν ένα μελλοντικό πρόβλημα στο παρόν όπου είναι ευκολότερο να το χειριστούν, το κάνουν. Αυτή η διαδικασία ρύθμισης μπορεί να προσδώσει τωρινή πίεση στην αγορά χρήματος σήμερα παρότι δεν υπάρχει πρόβλημα στη διεξαγωγή των τρεχουσών πληρωμών. Υπό αυτή την έννοια, η κατάσταση της αγοράς χρήματος είναι μια ένδειξη του πόσο καλά ή πόσο άσχημα η δομή των χρηματοο</w:t>
      </w:r>
      <w:r w:rsidR="00660178">
        <w:t>ικονομικών δεσμεύσεων ταιριάζει</w:t>
      </w:r>
      <w:r>
        <w:t xml:space="preserve"> με την αλληλουχία των χρηματικών ροών, όχι μόνο σήμερα αλλά και κοιτάζοντας μπροστά.</w:t>
      </w:r>
    </w:p>
    <w:p w:rsidR="00F861D4" w:rsidRDefault="00F861D4" w:rsidP="00802C1C">
      <w:pPr>
        <w:spacing w:line="360" w:lineRule="auto"/>
        <w:ind w:firstLine="720"/>
        <w:jc w:val="both"/>
      </w:pPr>
      <w:r>
        <w:t xml:space="preserve"> Αυτές οι ροές χρηματικών διαθεσίμων συνδέονται με τους λογαριασμούς των οικονομικών μονάδων στον ισολογισμό τους ως αλλαγές στο διακριτό απόθεμα κάθε ξεχωριστού στοιχείου του ενεργητικού ή του παθητικού. Έτσι, μπορούμε να </w:t>
      </w:r>
      <w:r>
        <w:lastRenderedPageBreak/>
        <w:t xml:space="preserve">συσσωρεύσουμε όλες τις ροές και να γράψουμε τον ισολογισμό κάθε οικονομικής μονάδας στην ακόλουθη γενική μορφή. </w:t>
      </w:r>
    </w:p>
    <w:p w:rsidR="00C87418" w:rsidRDefault="00C87418" w:rsidP="00F861D4">
      <w:pPr>
        <w:jc w:val="both"/>
        <w:rPr>
          <w:b/>
        </w:rPr>
      </w:pPr>
    </w:p>
    <w:p w:rsidR="00F861D4" w:rsidRDefault="00F861D4" w:rsidP="00F861D4">
      <w:pPr>
        <w:jc w:val="both"/>
      </w:pPr>
      <w:r w:rsidRPr="006E5C1E">
        <w:rPr>
          <w:b/>
        </w:rPr>
        <w:t>Πίνακας</w:t>
      </w:r>
      <w:r w:rsidR="002864D1">
        <w:rPr>
          <w:b/>
        </w:rPr>
        <w:t xml:space="preserve"> 4.</w:t>
      </w:r>
      <w:r w:rsidR="000C510F">
        <w:rPr>
          <w:b/>
        </w:rPr>
        <w:t>8</w:t>
      </w:r>
      <w:r>
        <w:t xml:space="preserve"> Γενική μορφή ισολογισμού μιας οικονομικής μονάδας </w:t>
      </w:r>
    </w:p>
    <w:tbl>
      <w:tblPr>
        <w:tblStyle w:val="af3"/>
        <w:tblW w:w="8330" w:type="dxa"/>
        <w:tblLook w:val="04A0" w:firstRow="1" w:lastRow="0" w:firstColumn="1" w:lastColumn="0" w:noHBand="0" w:noVBand="1"/>
      </w:tblPr>
      <w:tblGrid>
        <w:gridCol w:w="4219"/>
        <w:gridCol w:w="4111"/>
      </w:tblGrid>
      <w:tr w:rsidR="00F861D4" w:rsidRPr="003F037E" w:rsidTr="003150CE">
        <w:tc>
          <w:tcPr>
            <w:tcW w:w="4219" w:type="dxa"/>
            <w:shd w:val="clear" w:color="auto" w:fill="D9D9D9" w:themeFill="background1" w:themeFillShade="D9"/>
          </w:tcPr>
          <w:p w:rsidR="00F861D4" w:rsidRPr="003F037E" w:rsidRDefault="00F861D4"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4111" w:type="dxa"/>
            <w:shd w:val="clear" w:color="auto" w:fill="D9D9D9" w:themeFill="background1" w:themeFillShade="D9"/>
          </w:tcPr>
          <w:p w:rsidR="00F861D4" w:rsidRPr="003F037E" w:rsidRDefault="00F861D4" w:rsidP="003150CE">
            <w:pPr>
              <w:jc w:val="both"/>
              <w:rPr>
                <w:rFonts w:ascii="Times New Roman" w:hAnsi="Times New Roman"/>
                <w:b/>
                <w:sz w:val="22"/>
                <w:szCs w:val="22"/>
              </w:rPr>
            </w:pPr>
            <w:r w:rsidRPr="003F037E">
              <w:rPr>
                <w:rFonts w:ascii="Times New Roman" w:hAnsi="Times New Roman"/>
                <w:b/>
                <w:sz w:val="22"/>
                <w:szCs w:val="22"/>
              </w:rPr>
              <w:t>Στοιχεία Παθητικού</w:t>
            </w:r>
          </w:p>
        </w:tc>
      </w:tr>
      <w:tr w:rsidR="00F861D4" w:rsidRPr="003F037E" w:rsidTr="003150CE">
        <w:tc>
          <w:tcPr>
            <w:tcW w:w="4219" w:type="dxa"/>
          </w:tcPr>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Χρήμα</w:t>
            </w:r>
          </w:p>
          <w:p w:rsidR="00F861D4" w:rsidRPr="003F037E" w:rsidRDefault="00F861D4" w:rsidP="002864D1">
            <w:pPr>
              <w:rPr>
                <w:rFonts w:ascii="Times New Roman" w:hAnsi="Times New Roman"/>
                <w:sz w:val="22"/>
                <w:szCs w:val="22"/>
              </w:rPr>
            </w:pPr>
            <w:r w:rsidRPr="003F037E">
              <w:rPr>
                <w:rFonts w:ascii="Times New Roman" w:hAnsi="Times New Roman"/>
                <w:sz w:val="22"/>
                <w:szCs w:val="22"/>
              </w:rPr>
              <w:t>Χρηματοοικονομικά Στοιχεία Ενεργητικού</w:t>
            </w:r>
          </w:p>
        </w:tc>
        <w:tc>
          <w:tcPr>
            <w:tcW w:w="4111" w:type="dxa"/>
          </w:tcPr>
          <w:p w:rsidR="00F861D4" w:rsidRPr="003F037E" w:rsidRDefault="00F861D4" w:rsidP="002864D1">
            <w:pPr>
              <w:rPr>
                <w:rFonts w:ascii="Times New Roman" w:hAnsi="Times New Roman"/>
                <w:sz w:val="22"/>
                <w:szCs w:val="22"/>
              </w:rPr>
            </w:pPr>
            <w:r w:rsidRPr="003F037E">
              <w:rPr>
                <w:rFonts w:ascii="Times New Roman" w:hAnsi="Times New Roman"/>
                <w:sz w:val="22"/>
                <w:szCs w:val="22"/>
              </w:rPr>
              <w:t>Χρηματοοικονομικά Στοιχεία Παθητικού</w:t>
            </w:r>
          </w:p>
          <w:p w:rsidR="00F861D4" w:rsidRPr="003F037E" w:rsidRDefault="00F861D4" w:rsidP="003150CE">
            <w:pPr>
              <w:jc w:val="both"/>
              <w:rPr>
                <w:rFonts w:ascii="Times New Roman" w:hAnsi="Times New Roman"/>
                <w:sz w:val="22"/>
                <w:szCs w:val="22"/>
              </w:rPr>
            </w:pPr>
            <w:r w:rsidRPr="003F037E">
              <w:rPr>
                <w:rFonts w:ascii="Times New Roman" w:hAnsi="Times New Roman"/>
                <w:sz w:val="22"/>
                <w:szCs w:val="22"/>
              </w:rPr>
              <w:t>Καθαρή Αξία</w:t>
            </w:r>
          </w:p>
        </w:tc>
      </w:tr>
    </w:tbl>
    <w:p w:rsidR="00F861D4" w:rsidRDefault="00F861D4" w:rsidP="00F861D4">
      <w:pPr>
        <w:jc w:val="both"/>
      </w:pPr>
      <w:r>
        <w:t xml:space="preserve"> </w:t>
      </w:r>
    </w:p>
    <w:p w:rsidR="00C87418" w:rsidRDefault="00F861D4" w:rsidP="00C87418">
      <w:pPr>
        <w:spacing w:after="120" w:line="360" w:lineRule="auto"/>
        <w:ind w:firstLine="720"/>
        <w:jc w:val="both"/>
      </w:pPr>
      <w:r w:rsidRPr="00C87418">
        <w:t xml:space="preserve">Άρα μπορούμε να θεωρήσουμε την οικονομία ως ένα σύνολο συμπλεκόμενων ισολογισμών, στους οποίους τα χρηματοοικονομικά στοιχεία παθητικού μιας οικονομικής μονάδας είναι τα χρηματοοικονομικά στοιχεία ενεργητικού μίας άλλης. Αυτά τα στοιχεία παθητικού είναι υποσχέσεις πληρωμής, συνήθως υποσχέσεις ότι θα γίνει μια συγκεκριμένη σειρά πληρωμών σε συγκεκριμένες στιγμές στο μέλλον. Στην καθιερωμένη λογιστική πρακτική, δίνεται πολύ μεγάλη σημασία στο θέμα της </w:t>
      </w:r>
      <w:r w:rsidRPr="00C87418">
        <w:rPr>
          <w:i/>
        </w:rPr>
        <w:t>φερεγγυότητας</w:t>
      </w:r>
      <w:r w:rsidRPr="00C87418">
        <w:t>:</w:t>
      </w:r>
      <w:r w:rsidR="00C87418">
        <w:t xml:space="preserve"> </w:t>
      </w:r>
    </w:p>
    <w:tbl>
      <w:tblPr>
        <w:tblStyle w:val="af3"/>
        <w:tblW w:w="0" w:type="auto"/>
        <w:tblLook w:val="04A0" w:firstRow="1" w:lastRow="0" w:firstColumn="1" w:lastColumn="0" w:noHBand="0" w:noVBand="1"/>
      </w:tblPr>
      <w:tblGrid>
        <w:gridCol w:w="8528"/>
      </w:tblGrid>
      <w:tr w:rsidR="00C87418" w:rsidTr="00C87418">
        <w:tc>
          <w:tcPr>
            <w:tcW w:w="8528" w:type="dxa"/>
          </w:tcPr>
          <w:p w:rsidR="00C87418" w:rsidRPr="00C87418" w:rsidRDefault="00C87418" w:rsidP="00802C1C">
            <w:pPr>
              <w:spacing w:line="360" w:lineRule="auto"/>
              <w:jc w:val="both"/>
              <w:rPr>
                <w:sz w:val="22"/>
                <w:szCs w:val="22"/>
              </w:rPr>
            </w:pPr>
            <w:r>
              <w:rPr>
                <w:sz w:val="22"/>
                <w:szCs w:val="22"/>
              </w:rPr>
              <w:t xml:space="preserve">Αξία </w:t>
            </w:r>
            <w:proofErr w:type="spellStart"/>
            <w:r>
              <w:rPr>
                <w:sz w:val="22"/>
                <w:szCs w:val="22"/>
              </w:rPr>
              <w:t>Συνολ</w:t>
            </w:r>
            <w:proofErr w:type="spellEnd"/>
            <w:r>
              <w:rPr>
                <w:sz w:val="22"/>
                <w:szCs w:val="22"/>
              </w:rPr>
              <w:t>.</w:t>
            </w:r>
            <w:r w:rsidRPr="00C87418">
              <w:rPr>
                <w:sz w:val="22"/>
                <w:szCs w:val="22"/>
              </w:rPr>
              <w:t xml:space="preserve"> Στοιχείων Ενεργητικού-</w:t>
            </w:r>
            <w:r>
              <w:rPr>
                <w:sz w:val="22"/>
                <w:szCs w:val="22"/>
              </w:rPr>
              <w:t xml:space="preserve">Αξία </w:t>
            </w:r>
            <w:proofErr w:type="spellStart"/>
            <w:r>
              <w:rPr>
                <w:sz w:val="22"/>
                <w:szCs w:val="22"/>
              </w:rPr>
              <w:t>Συνολ</w:t>
            </w:r>
            <w:proofErr w:type="spellEnd"/>
            <w:r>
              <w:rPr>
                <w:sz w:val="22"/>
                <w:szCs w:val="22"/>
              </w:rPr>
              <w:t xml:space="preserve">. </w:t>
            </w:r>
            <w:r w:rsidRPr="00C87418">
              <w:rPr>
                <w:sz w:val="22"/>
                <w:szCs w:val="22"/>
              </w:rPr>
              <w:t>Στοιχείων Παθητικού = καθαρή θέση &gt; 0</w:t>
            </w:r>
          </w:p>
        </w:tc>
      </w:tr>
    </w:tbl>
    <w:p w:rsidR="00F861D4" w:rsidRDefault="00F861D4" w:rsidP="00C87418">
      <w:pPr>
        <w:spacing w:before="120" w:line="360" w:lineRule="auto"/>
        <w:ind w:firstLine="720"/>
        <w:jc w:val="both"/>
        <w:rPr>
          <w:sz w:val="23"/>
          <w:szCs w:val="23"/>
        </w:rPr>
      </w:pPr>
      <w:r>
        <w:t xml:space="preserve">Για να κάνουμε αυτό τον υπολογισμό, χρειάζεται να </w:t>
      </w:r>
      <w:r w:rsidRPr="00C87418">
        <w:t>εκτιμήσουμε την αξία</w:t>
      </w:r>
      <w:r>
        <w:t xml:space="preserve"> των στοιχείων ενεργητικού και παθητικού. Η καθιερωμένη χρηματοοικονομική θεωρία προσεγγίζει αυτό το πρόβλημα εκτίμησης σαν να είναι θέμα εύρεσης της παρούσας αξίας μελλοντικών χρηματικών ροών. </w:t>
      </w:r>
    </w:p>
    <w:p w:rsidR="00F861D4" w:rsidRDefault="00F861D4" w:rsidP="00C87418">
      <w:pPr>
        <w:spacing w:line="360" w:lineRule="auto"/>
        <w:ind w:firstLine="720"/>
        <w:jc w:val="both"/>
        <w:rPr>
          <w:sz w:val="23"/>
          <w:szCs w:val="23"/>
        </w:rPr>
      </w:pPr>
      <w:r>
        <w:rPr>
          <w:sz w:val="23"/>
          <w:szCs w:val="23"/>
        </w:rPr>
        <w:t xml:space="preserve">Οι φερέγγυες οικονομικές μονάδες βάση των στοιχείων του ισολογισμού τους μπορούν  να δανειστούν ώστε να κάνουν πληρωμές. </w:t>
      </w:r>
      <w:r w:rsidR="00C87418">
        <w:rPr>
          <w:sz w:val="23"/>
          <w:szCs w:val="23"/>
        </w:rPr>
        <w:t>Όμως</w:t>
      </w:r>
      <w:r>
        <w:rPr>
          <w:sz w:val="23"/>
          <w:szCs w:val="23"/>
        </w:rPr>
        <w:t xml:space="preserve"> η μεταβλητότητα στην τιμή των στοιχείων του ενεργητικού μπορεί να προκαλέσει μεταβλητότητα στην δυνατότητα να δανείζεται κανείς, η οποία μπορεί να έχει συνέπειες για την άμεση ρευστότητα. Τα προβλήματα φερεγγυότητας μπορούν εύκολα να μετατραπούν σε προβλήματα ρευστότητας. Εδώ θα πρέπει να τονίσουμε την άποψη μας ότι η απώλεια ρευστότητας σκοτώνει γρήγορα ενώ η απώλεια φερεγγυότητας μπορεί να αντιμετωπίζεται για αρκετό διάστημα όσο οι αγορές συνεχίζουν να δανείζουν παρέχοντας ρευστότητα. </w:t>
      </w:r>
    </w:p>
    <w:p w:rsidR="00F861D4" w:rsidRDefault="00F861D4" w:rsidP="00802C1C">
      <w:pPr>
        <w:spacing w:line="360" w:lineRule="auto"/>
        <w:contextualSpacing/>
        <w:jc w:val="both"/>
        <w:rPr>
          <w:rFonts w:eastAsia="Calibri"/>
          <w:sz w:val="22"/>
          <w:szCs w:val="22"/>
          <w:lang w:eastAsia="en-US"/>
        </w:rPr>
      </w:pPr>
    </w:p>
    <w:p w:rsidR="00527BAA" w:rsidRPr="00527BAA" w:rsidRDefault="00527BAA" w:rsidP="00802C1C">
      <w:pPr>
        <w:pStyle w:val="2"/>
        <w:spacing w:before="0" w:after="0" w:line="360" w:lineRule="auto"/>
        <w:jc w:val="both"/>
        <w:rPr>
          <w:b w:val="0"/>
          <w:u w:val="single"/>
        </w:rPr>
      </w:pPr>
      <w:bookmarkStart w:id="8" w:name="_Toc393111065"/>
      <w:r>
        <w:rPr>
          <w:rFonts w:ascii="Times New Roman" w:hAnsi="Times New Roman" w:cs="Times New Roman"/>
          <w:i w:val="0"/>
        </w:rPr>
        <w:t>4</w:t>
      </w:r>
      <w:r w:rsidRPr="00390868">
        <w:rPr>
          <w:rFonts w:ascii="Times New Roman" w:hAnsi="Times New Roman" w:cs="Times New Roman"/>
          <w:i w:val="0"/>
        </w:rPr>
        <w:t>.</w:t>
      </w:r>
      <w:r>
        <w:rPr>
          <w:rFonts w:ascii="Times New Roman" w:hAnsi="Times New Roman" w:cs="Times New Roman"/>
          <w:i w:val="0"/>
        </w:rPr>
        <w:t>5</w:t>
      </w:r>
      <w:r w:rsidRPr="00390868">
        <w:rPr>
          <w:rFonts w:ascii="Times New Roman" w:hAnsi="Times New Roman" w:cs="Times New Roman"/>
          <w:i w:val="0"/>
        </w:rPr>
        <w:t xml:space="preserve"> </w:t>
      </w:r>
      <w:r>
        <w:rPr>
          <w:rFonts w:ascii="Times New Roman" w:hAnsi="Times New Roman" w:cs="Times New Roman"/>
          <w:i w:val="0"/>
        </w:rPr>
        <w:t xml:space="preserve">Η </w:t>
      </w:r>
      <w:r w:rsidR="000414F6">
        <w:rPr>
          <w:rFonts w:ascii="Times New Roman" w:hAnsi="Times New Roman" w:cs="Times New Roman"/>
          <w:i w:val="0"/>
        </w:rPr>
        <w:t>διατραπεζική α</w:t>
      </w:r>
      <w:r w:rsidRPr="00527BAA">
        <w:rPr>
          <w:rFonts w:ascii="Times New Roman" w:hAnsi="Times New Roman" w:cs="Times New Roman"/>
          <w:i w:val="0"/>
        </w:rPr>
        <w:t>γορά</w:t>
      </w:r>
      <w:bookmarkEnd w:id="8"/>
      <w:r w:rsidRPr="00527BAA">
        <w:rPr>
          <w:rFonts w:ascii="Times New Roman" w:hAnsi="Times New Roman" w:cs="Times New Roman"/>
          <w:i w:val="0"/>
        </w:rPr>
        <w:t xml:space="preserve"> </w:t>
      </w:r>
    </w:p>
    <w:p w:rsidR="00AB15DE" w:rsidRDefault="00527BAA" w:rsidP="00AB15DE">
      <w:pPr>
        <w:spacing w:line="360" w:lineRule="auto"/>
        <w:ind w:firstLine="720"/>
        <w:jc w:val="both"/>
        <w:rPr>
          <w:rFonts w:cstheme="minorHAnsi"/>
        </w:rPr>
      </w:pPr>
      <w:r>
        <w:rPr>
          <w:rFonts w:cstheme="minorHAnsi"/>
        </w:rPr>
        <w:t xml:space="preserve">Κατά την </w:t>
      </w:r>
      <w:proofErr w:type="spellStart"/>
      <w:r w:rsidRPr="00C87418">
        <w:rPr>
          <w:rFonts w:cstheme="minorHAnsi"/>
          <w:lang w:val="en-US"/>
        </w:rPr>
        <w:t>Stigum</w:t>
      </w:r>
      <w:proofErr w:type="spellEnd"/>
      <w:r w:rsidRPr="00C87418">
        <w:rPr>
          <w:rFonts w:cstheme="minorHAnsi"/>
        </w:rPr>
        <w:t xml:space="preserve"> (</w:t>
      </w:r>
      <w:r w:rsidR="00C87418" w:rsidRPr="00C87418">
        <w:rPr>
          <w:rFonts w:cstheme="minorHAnsi"/>
        </w:rPr>
        <w:t>1983</w:t>
      </w:r>
      <w:r w:rsidRPr="00C87418">
        <w:rPr>
          <w:rFonts w:cstheme="minorHAnsi"/>
        </w:rPr>
        <w:t xml:space="preserve">) η δουλειά </w:t>
      </w:r>
      <w:r>
        <w:rPr>
          <w:rFonts w:cstheme="minorHAnsi"/>
        </w:rPr>
        <w:t xml:space="preserve">του διαχειριστή ρευστών μιας τράπεζας μπορεί να γίνει αντιληπτή ως το καθήκον ικανοποίησης του </w:t>
      </w:r>
      <w:r w:rsidRPr="00AB15DE">
        <w:rPr>
          <w:rFonts w:cstheme="minorHAnsi"/>
        </w:rPr>
        <w:t>καθημερινού περιορισμού επιβίωσης και το καθήκον ικανοποίησης των απαιτήσεων</w:t>
      </w:r>
      <w:r>
        <w:rPr>
          <w:rFonts w:cstheme="minorHAnsi"/>
        </w:rPr>
        <w:t xml:space="preserve"> των υποχρεωτικών διαθεσίμων που επιβάλλει η κεντρική τράπεζα. Η ύπαρξη της </w:t>
      </w:r>
      <w:r>
        <w:rPr>
          <w:rFonts w:cstheme="minorHAnsi"/>
        </w:rPr>
        <w:lastRenderedPageBreak/>
        <w:t xml:space="preserve">διατραπεζικής αγοράς διευκολύνει για την ικανοποίηση και των δυο αυτών υποχρεώσεων. </w:t>
      </w:r>
    </w:p>
    <w:p w:rsidR="00AB15DE" w:rsidRDefault="00527BAA" w:rsidP="00AB15DE">
      <w:pPr>
        <w:spacing w:line="360" w:lineRule="auto"/>
        <w:ind w:firstLine="720"/>
        <w:jc w:val="both"/>
        <w:rPr>
          <w:rFonts w:cstheme="minorHAnsi"/>
        </w:rPr>
      </w:pPr>
      <w:r>
        <w:rPr>
          <w:rFonts w:cstheme="minorHAnsi"/>
        </w:rPr>
        <w:t xml:space="preserve">Ο ακριβής θεσμικός μηχανισμός που ενσωματώνει τον περιορισμό επιβίωσης για τις τράπεζες είναι η απαίτηση να τελειώνουν τη μέρα έχοντας μη αρνητικό ισοζύγιο στο λογαριασμό διαθεσίμων τους στην κεντρική τράπεζα. Για να εκτιμήσουμε τη σημασία αυτού του περιορισμού στο τέλος της ημέρας, είναι χρήσιμο να εκτιμήσουμε τον τρόπο με τον οποίο </w:t>
      </w:r>
      <w:r w:rsidRPr="00134D65">
        <w:rPr>
          <w:rFonts w:cstheme="minorHAnsi"/>
        </w:rPr>
        <w:t>επιτρέπεται στις τράπεζες να χαλαρώσουν τον περιορισμό επιβίωσης κατά τη διάρκεια της ημέρας</w:t>
      </w:r>
      <w:r w:rsidRPr="007303C3">
        <w:rPr>
          <w:rFonts w:cstheme="minorHAnsi"/>
          <w:b/>
        </w:rPr>
        <w:t xml:space="preserve">. </w:t>
      </w:r>
      <w:r>
        <w:rPr>
          <w:rFonts w:cstheme="minorHAnsi"/>
        </w:rPr>
        <w:t xml:space="preserve">Πράγματι αυτή η παραβίαση είναι απαραίτητη για την ομαλή λειτουργία του συστήματος πληρωμών επειδή επιτρέπει στις τράπεζες να είναι αυτές που κάνουν την πρώτη κίνηση, να κάνουν πληρωμές πριν λάβουν πληρωμές. Η θεσμική μορφή που παίρνει αυτή η παραβίαση είναι οι λεγόμενες «υπεραναλήψεις κατά τη διάρκεια της ημέρας». </w:t>
      </w:r>
    </w:p>
    <w:p w:rsidR="00527BAA" w:rsidRDefault="00527BAA" w:rsidP="00AB15DE">
      <w:pPr>
        <w:spacing w:line="360" w:lineRule="auto"/>
        <w:ind w:firstLine="720"/>
        <w:jc w:val="both"/>
        <w:rPr>
          <w:rFonts w:cstheme="minorHAnsi"/>
        </w:rPr>
      </w:pPr>
      <w:r>
        <w:rPr>
          <w:rFonts w:cstheme="minorHAnsi"/>
        </w:rPr>
        <w:t xml:space="preserve">Θα εστιάσουμε την ανάλυση μας στο Αμερικανικό σύστημα πληρωμών. Εάν η Τράπεζα Α στείλει στο </w:t>
      </w:r>
      <w:proofErr w:type="spellStart"/>
      <w:r>
        <w:rPr>
          <w:rFonts w:cstheme="minorHAnsi"/>
          <w:lang w:val="en-US"/>
        </w:rPr>
        <w:t>Fedwire</w:t>
      </w:r>
      <w:proofErr w:type="spellEnd"/>
      <w:r>
        <w:rPr>
          <w:rFonts w:cstheme="minorHAnsi"/>
        </w:rPr>
        <w:t xml:space="preserve"> (</w:t>
      </w:r>
      <w:r>
        <w:t>σύστημα μικτής διευθέτησης σε πραγματικό χρόνο</w:t>
      </w:r>
      <w:r>
        <w:rPr>
          <w:rFonts w:cstheme="minorHAnsi"/>
        </w:rPr>
        <w:t>)</w:t>
      </w:r>
      <w:r w:rsidRPr="007303C3">
        <w:rPr>
          <w:rFonts w:cstheme="minorHAnsi"/>
        </w:rPr>
        <w:t xml:space="preserve"> </w:t>
      </w:r>
      <w:r>
        <w:rPr>
          <w:rFonts w:cstheme="minorHAnsi"/>
        </w:rPr>
        <w:t>μια διαταγή να πληρώσει $10 στην Τράπεζα Β, αλλά έχει ανεπαρκή διαθέσιμα για να καλύψει αυτή την πληρωμή, τότε η κεντρική τράπεζα δεν «απορρίπτει την επιταγή» αλλά την καλύπτει προσωρινά. Το αποτέλεσμα είναι μια προσωρινή επέκταση των διαθεσίμων στο σύστημα ως σύνολο όπως φαίνεται στον ακόλουθο πίνακα</w:t>
      </w:r>
      <w:r w:rsidRPr="007303C3">
        <w:rPr>
          <w:rFonts w:cstheme="minorHAnsi"/>
        </w:rPr>
        <w:t>:</w:t>
      </w:r>
    </w:p>
    <w:p w:rsidR="00527BAA" w:rsidRPr="00C3409E" w:rsidRDefault="00527BAA" w:rsidP="00527BAA">
      <w:pPr>
        <w:jc w:val="both"/>
        <w:rPr>
          <w:rFonts w:cstheme="minorHAnsi"/>
        </w:rPr>
      </w:pPr>
      <w:r w:rsidRPr="00B67DA2">
        <w:rPr>
          <w:rFonts w:cstheme="minorHAnsi"/>
          <w:b/>
        </w:rPr>
        <w:t>Πίνακας</w:t>
      </w:r>
      <w:r>
        <w:rPr>
          <w:rFonts w:cstheme="minorHAnsi"/>
        </w:rPr>
        <w:t xml:space="preserve"> </w:t>
      </w:r>
      <w:r w:rsidR="002864D1" w:rsidRPr="002864D1">
        <w:rPr>
          <w:rFonts w:cstheme="minorHAnsi"/>
          <w:b/>
        </w:rPr>
        <w:t>4.</w:t>
      </w:r>
      <w:r w:rsidR="000C510F">
        <w:rPr>
          <w:rFonts w:cstheme="minorHAnsi"/>
          <w:b/>
        </w:rPr>
        <w:t>9</w:t>
      </w:r>
      <w:r w:rsidR="002864D1">
        <w:rPr>
          <w:rFonts w:cstheme="minorHAnsi"/>
        </w:rPr>
        <w:t xml:space="preserve"> </w:t>
      </w:r>
      <w:r>
        <w:rPr>
          <w:rFonts w:cstheme="minorHAnsi"/>
        </w:rPr>
        <w:t xml:space="preserve">Ο ρόλος της </w:t>
      </w:r>
      <w:r>
        <w:rPr>
          <w:rFonts w:cstheme="minorHAnsi"/>
          <w:lang w:val="en-US"/>
        </w:rPr>
        <w:t>FED</w:t>
      </w:r>
      <w:r>
        <w:rPr>
          <w:rFonts w:cstheme="minorHAnsi"/>
        </w:rPr>
        <w:t xml:space="preserve"> στο σύστημα πληρωμών</w:t>
      </w:r>
    </w:p>
    <w:tbl>
      <w:tblPr>
        <w:tblStyle w:val="af3"/>
        <w:tblW w:w="8748" w:type="dxa"/>
        <w:tblLayout w:type="fixed"/>
        <w:tblLook w:val="04A0" w:firstRow="1" w:lastRow="0" w:firstColumn="1" w:lastColumn="0" w:noHBand="0" w:noVBand="1"/>
      </w:tblPr>
      <w:tblGrid>
        <w:gridCol w:w="1419"/>
        <w:gridCol w:w="1609"/>
        <w:gridCol w:w="1580"/>
        <w:gridCol w:w="1530"/>
        <w:gridCol w:w="1440"/>
        <w:gridCol w:w="1170"/>
      </w:tblGrid>
      <w:tr w:rsidR="00C3409E" w:rsidRPr="003F037E" w:rsidTr="00AB15DE">
        <w:tc>
          <w:tcPr>
            <w:tcW w:w="3028" w:type="dxa"/>
            <w:gridSpan w:val="2"/>
            <w:tcBorders>
              <w:bottom w:val="single" w:sz="4" w:space="0" w:color="auto"/>
            </w:tcBorders>
            <w:shd w:val="clear" w:color="auto" w:fill="D9D9D9" w:themeFill="background1" w:themeFillShade="D9"/>
          </w:tcPr>
          <w:p w:rsidR="00C3409E" w:rsidRPr="003F037E" w:rsidRDefault="00C3409E" w:rsidP="00C3409E">
            <w:pPr>
              <w:jc w:val="center"/>
              <w:rPr>
                <w:rFonts w:ascii="Times New Roman" w:hAnsi="Times New Roman"/>
                <w:sz w:val="22"/>
                <w:szCs w:val="22"/>
              </w:rPr>
            </w:pPr>
            <w:r w:rsidRPr="003F037E">
              <w:rPr>
                <w:rFonts w:ascii="Times New Roman" w:hAnsi="Times New Roman"/>
                <w:b/>
                <w:sz w:val="22"/>
                <w:szCs w:val="22"/>
              </w:rPr>
              <w:t>Τράπεζα Α</w:t>
            </w:r>
          </w:p>
        </w:tc>
        <w:tc>
          <w:tcPr>
            <w:tcW w:w="3110" w:type="dxa"/>
            <w:gridSpan w:val="2"/>
            <w:tcBorders>
              <w:bottom w:val="single" w:sz="4" w:space="0" w:color="auto"/>
            </w:tcBorders>
            <w:shd w:val="clear" w:color="auto" w:fill="D9D9D9" w:themeFill="background1" w:themeFillShade="D9"/>
          </w:tcPr>
          <w:p w:rsidR="00C3409E" w:rsidRPr="003F037E" w:rsidRDefault="003F037E" w:rsidP="00C3409E">
            <w:pPr>
              <w:jc w:val="center"/>
              <w:rPr>
                <w:rFonts w:ascii="Times New Roman" w:hAnsi="Times New Roman"/>
                <w:sz w:val="22"/>
                <w:szCs w:val="22"/>
              </w:rPr>
            </w:pPr>
            <w:r>
              <w:rPr>
                <w:rFonts w:ascii="Times New Roman" w:hAnsi="Times New Roman"/>
                <w:b/>
                <w:sz w:val="22"/>
                <w:szCs w:val="22"/>
              </w:rPr>
              <w:t>Κεντρική Τ</w:t>
            </w:r>
            <w:r w:rsidR="00C3409E" w:rsidRPr="003F037E">
              <w:rPr>
                <w:rFonts w:ascii="Times New Roman" w:hAnsi="Times New Roman"/>
                <w:b/>
                <w:sz w:val="22"/>
                <w:szCs w:val="22"/>
              </w:rPr>
              <w:t>ράπεζα</w:t>
            </w:r>
          </w:p>
        </w:tc>
        <w:tc>
          <w:tcPr>
            <w:tcW w:w="2610" w:type="dxa"/>
            <w:gridSpan w:val="2"/>
            <w:tcBorders>
              <w:bottom w:val="single" w:sz="4" w:space="0" w:color="auto"/>
            </w:tcBorders>
            <w:shd w:val="clear" w:color="auto" w:fill="D9D9D9" w:themeFill="background1" w:themeFillShade="D9"/>
          </w:tcPr>
          <w:p w:rsidR="00C3409E" w:rsidRPr="003F037E" w:rsidRDefault="00C3409E" w:rsidP="00C3409E">
            <w:pPr>
              <w:jc w:val="center"/>
              <w:rPr>
                <w:rFonts w:ascii="Times New Roman" w:hAnsi="Times New Roman"/>
                <w:sz w:val="22"/>
                <w:szCs w:val="22"/>
              </w:rPr>
            </w:pPr>
            <w:r w:rsidRPr="003F037E">
              <w:rPr>
                <w:rFonts w:ascii="Times New Roman" w:hAnsi="Times New Roman"/>
                <w:b/>
                <w:sz w:val="22"/>
                <w:szCs w:val="22"/>
              </w:rPr>
              <w:t>Τράπεζα Β</w:t>
            </w:r>
          </w:p>
        </w:tc>
      </w:tr>
      <w:tr w:rsidR="00527BAA" w:rsidRPr="003F037E" w:rsidTr="00AB15DE">
        <w:tc>
          <w:tcPr>
            <w:tcW w:w="1419"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609"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c>
          <w:tcPr>
            <w:tcW w:w="1580"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530"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c>
          <w:tcPr>
            <w:tcW w:w="1440"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170"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r>
      <w:tr w:rsidR="00527BAA" w:rsidRPr="003F037E" w:rsidTr="00AB15DE">
        <w:tc>
          <w:tcPr>
            <w:tcW w:w="1419" w:type="dxa"/>
          </w:tcPr>
          <w:p w:rsidR="00527BAA" w:rsidRPr="003F037E" w:rsidRDefault="00527BAA" w:rsidP="003150CE">
            <w:pPr>
              <w:jc w:val="both"/>
              <w:rPr>
                <w:rFonts w:ascii="Times New Roman" w:hAnsi="Times New Roman"/>
                <w:sz w:val="22"/>
                <w:szCs w:val="22"/>
              </w:rPr>
            </w:pPr>
          </w:p>
        </w:tc>
        <w:tc>
          <w:tcPr>
            <w:tcW w:w="1609"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+τραπεζικές δανειακές διευκολύνσεις</w:t>
            </w:r>
          </w:p>
        </w:tc>
        <w:tc>
          <w:tcPr>
            <w:tcW w:w="1580"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+στοιχεία εξαιτίας της Α</w:t>
            </w:r>
          </w:p>
        </w:tc>
        <w:tc>
          <w:tcPr>
            <w:tcW w:w="1530" w:type="dxa"/>
          </w:tcPr>
          <w:p w:rsidR="00527BAA" w:rsidRPr="003F037E" w:rsidRDefault="00527BAA" w:rsidP="003150CE">
            <w:pPr>
              <w:jc w:val="both"/>
              <w:rPr>
                <w:rFonts w:ascii="Times New Roman" w:hAnsi="Times New Roman"/>
                <w:sz w:val="22"/>
                <w:szCs w:val="22"/>
                <w:u w:val="single"/>
              </w:rPr>
            </w:pPr>
            <w:r w:rsidRPr="003F037E">
              <w:rPr>
                <w:rFonts w:ascii="Times New Roman" w:hAnsi="Times New Roman"/>
                <w:sz w:val="22"/>
                <w:szCs w:val="22"/>
                <w:u w:val="single"/>
              </w:rPr>
              <w:t xml:space="preserve">Διαθέσιμα </w:t>
            </w: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+διαθέσιμα Β</w:t>
            </w:r>
          </w:p>
        </w:tc>
        <w:tc>
          <w:tcPr>
            <w:tcW w:w="1440" w:type="dxa"/>
          </w:tcPr>
          <w:p w:rsidR="00527BAA" w:rsidRPr="003F037E" w:rsidRDefault="00527BAA" w:rsidP="003150CE">
            <w:pPr>
              <w:jc w:val="both"/>
              <w:rPr>
                <w:rFonts w:ascii="Times New Roman" w:hAnsi="Times New Roman"/>
                <w:sz w:val="22"/>
                <w:szCs w:val="22"/>
                <w:u w:val="single"/>
              </w:rPr>
            </w:pPr>
            <w:r w:rsidRPr="003F037E">
              <w:rPr>
                <w:rFonts w:ascii="Times New Roman" w:hAnsi="Times New Roman"/>
                <w:sz w:val="22"/>
                <w:szCs w:val="22"/>
                <w:u w:val="single"/>
              </w:rPr>
              <w:t xml:space="preserve">Διαθέσιμα </w:t>
            </w: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xml:space="preserve">+διαθέσιμα </w:t>
            </w:r>
          </w:p>
          <w:p w:rsidR="00527BAA" w:rsidRPr="003F037E" w:rsidRDefault="00527BAA" w:rsidP="003150CE">
            <w:pPr>
              <w:jc w:val="both"/>
              <w:rPr>
                <w:rFonts w:ascii="Times New Roman" w:hAnsi="Times New Roman"/>
                <w:sz w:val="22"/>
                <w:szCs w:val="22"/>
              </w:rPr>
            </w:pPr>
          </w:p>
        </w:tc>
        <w:tc>
          <w:tcPr>
            <w:tcW w:w="1170" w:type="dxa"/>
          </w:tcPr>
          <w:p w:rsidR="00527BAA" w:rsidRPr="003F037E" w:rsidRDefault="00527BAA" w:rsidP="003150CE">
            <w:pPr>
              <w:jc w:val="both"/>
              <w:rPr>
                <w:rFonts w:ascii="Times New Roman" w:hAnsi="Times New Roman"/>
                <w:sz w:val="22"/>
                <w:szCs w:val="22"/>
              </w:rPr>
            </w:pPr>
          </w:p>
        </w:tc>
      </w:tr>
    </w:tbl>
    <w:p w:rsidR="00AB15DE" w:rsidRDefault="00527BAA" w:rsidP="00AB15DE">
      <w:pPr>
        <w:spacing w:line="360" w:lineRule="auto"/>
        <w:ind w:firstLine="720"/>
        <w:jc w:val="both"/>
      </w:pPr>
      <w:r>
        <w:t>Αυτή η επέκταση των διαθεσίμων είναι μια επέκταση της πίστης στον ισολογισμό της κεντρικής τράπεζας</w:t>
      </w:r>
      <w:r w:rsidRPr="00B67DA2">
        <w:t>.</w:t>
      </w:r>
      <w:r>
        <w:t xml:space="preserve"> Δεν θα ήταν μεγάλη υπερβολή να πούμε ότι αυτά τα κατά τη </w:t>
      </w:r>
      <w:r w:rsidRPr="00AB15DE">
        <w:t>διάρκεια της ημέρας προσωρινά διαθέσιμα, και όχι τα κατά τη διάρκεια της νύχτας απαιτούμενα διαθέσιμα</w:t>
      </w:r>
      <w:r>
        <w:t>, είναι το πραγματικό έσχατο ή αλλιώς τελικό μέσο πληρωμών.  Το σύστημα πληρωμών είναι πολύ πιο κοντά σε ένα ιδανικό πιστωτικό σύστημα πληρωμών παρά σε ένα ιδανικό χρηματικό σύστημα πληρωμών.</w:t>
      </w:r>
    </w:p>
    <w:p w:rsidR="00527BAA" w:rsidRPr="00932A9E" w:rsidRDefault="00527BAA" w:rsidP="00AB15DE">
      <w:pPr>
        <w:spacing w:line="360" w:lineRule="auto"/>
        <w:ind w:firstLine="720"/>
        <w:jc w:val="both"/>
      </w:pPr>
      <w:r>
        <w:lastRenderedPageBreak/>
        <w:t xml:space="preserve">Ο παράγοντας της πίστης σε ένα σύστημα πληρωμών δεν είναι μόνο στον (δημόσιο) ισολογισμό της κεντρικής τράπεζας αλλά επίσης στον (ιδιωτικό) ισολογισμό του Συστήματος Εκκαθαριστικών Διατραπεζικών Πληρωμών (ΣΕΔΠ- </w:t>
      </w:r>
      <w:r>
        <w:rPr>
          <w:lang w:val="en-US"/>
        </w:rPr>
        <w:t>Chips</w:t>
      </w:r>
      <w:r>
        <w:t xml:space="preserve">). Κάθε πρωί, οι τράπεζες μέλη κάνουν πληρωμές στο ΣΕΔΠ για να ανοίξουν τους λογαριασμούς διευθέτησης τους, αλλά κατά τη διάρκεια της ημέρας μπορούν και διευθύνουν αρνητικούς </w:t>
      </w:r>
      <w:r w:rsidR="00AB15DE">
        <w:t>λογαριασμούς</w:t>
      </w:r>
      <w:r>
        <w:t>. Ο περιορισμός επιβίωσης παρεμβάλλεται στο τέλος της ημέρας, όταν και πρέπει να φέρουν τους λογαριασμούς τους πίσω στο μηδέν, δηλαδή αποπληρώνουν όποιες υπεραναλήψεις συνέβησαν κατά τη διάρκεια της ημέρας. Εδώ είναι η κατάσταση στον ισολογισμό στη μέση της ημέρας</w:t>
      </w:r>
      <w:r w:rsidRPr="004101B4">
        <w:t>:</w:t>
      </w:r>
    </w:p>
    <w:p w:rsidR="00527BAA" w:rsidRDefault="00527BAA" w:rsidP="00802C1C">
      <w:pPr>
        <w:spacing w:line="360" w:lineRule="auto"/>
        <w:jc w:val="both"/>
        <w:rPr>
          <w:b/>
        </w:rPr>
      </w:pPr>
    </w:p>
    <w:p w:rsidR="00527BAA" w:rsidRPr="0023719B" w:rsidRDefault="00527BAA" w:rsidP="00527BAA">
      <w:pPr>
        <w:jc w:val="both"/>
      </w:pPr>
      <w:r w:rsidRPr="006E0C21">
        <w:rPr>
          <w:b/>
        </w:rPr>
        <w:t>Πίνακας</w:t>
      </w:r>
      <w:r w:rsidR="002864D1">
        <w:rPr>
          <w:b/>
        </w:rPr>
        <w:t xml:space="preserve"> 4.1</w:t>
      </w:r>
      <w:r w:rsidR="000C510F">
        <w:rPr>
          <w:b/>
        </w:rPr>
        <w:t>0</w:t>
      </w:r>
      <w:r w:rsidR="002864D1">
        <w:rPr>
          <w:b/>
        </w:rPr>
        <w:t xml:space="preserve"> </w:t>
      </w:r>
      <w:r w:rsidRPr="006E0C21">
        <w:t>Ιδιωτικό σύστημα εκκαθαριστικών διατραπεζικών πληρωμών</w:t>
      </w:r>
    </w:p>
    <w:tbl>
      <w:tblPr>
        <w:tblStyle w:val="af3"/>
        <w:tblW w:w="8506" w:type="dxa"/>
        <w:tblInd w:w="-34" w:type="dxa"/>
        <w:tblLook w:val="04A0" w:firstRow="1" w:lastRow="0" w:firstColumn="1" w:lastColumn="0" w:noHBand="0" w:noVBand="1"/>
      </w:tblPr>
      <w:tblGrid>
        <w:gridCol w:w="1433"/>
        <w:gridCol w:w="1543"/>
        <w:gridCol w:w="1479"/>
        <w:gridCol w:w="1465"/>
        <w:gridCol w:w="1433"/>
        <w:gridCol w:w="1153"/>
      </w:tblGrid>
      <w:tr w:rsidR="0023719B" w:rsidRPr="003F037E" w:rsidTr="00134D65">
        <w:tc>
          <w:tcPr>
            <w:tcW w:w="2976" w:type="dxa"/>
            <w:gridSpan w:val="2"/>
            <w:tcBorders>
              <w:bottom w:val="single" w:sz="4" w:space="0" w:color="auto"/>
            </w:tcBorders>
            <w:shd w:val="clear" w:color="auto" w:fill="D9D9D9" w:themeFill="background1" w:themeFillShade="D9"/>
          </w:tcPr>
          <w:p w:rsidR="0023719B" w:rsidRPr="003F037E" w:rsidRDefault="0023719B" w:rsidP="0023719B">
            <w:pPr>
              <w:jc w:val="center"/>
              <w:rPr>
                <w:rFonts w:ascii="Times New Roman" w:hAnsi="Times New Roman"/>
                <w:sz w:val="22"/>
                <w:szCs w:val="22"/>
              </w:rPr>
            </w:pPr>
            <w:r w:rsidRPr="003F037E">
              <w:rPr>
                <w:rFonts w:ascii="Times New Roman" w:hAnsi="Times New Roman"/>
                <w:b/>
                <w:sz w:val="22"/>
                <w:szCs w:val="22"/>
              </w:rPr>
              <w:t>Τράπεζα Α</w:t>
            </w:r>
          </w:p>
        </w:tc>
        <w:tc>
          <w:tcPr>
            <w:tcW w:w="2944" w:type="dxa"/>
            <w:gridSpan w:val="2"/>
            <w:tcBorders>
              <w:bottom w:val="single" w:sz="4" w:space="0" w:color="auto"/>
            </w:tcBorders>
            <w:shd w:val="clear" w:color="auto" w:fill="D9D9D9" w:themeFill="background1" w:themeFillShade="D9"/>
          </w:tcPr>
          <w:p w:rsidR="0023719B" w:rsidRPr="003F037E" w:rsidRDefault="0023719B" w:rsidP="0023719B">
            <w:pPr>
              <w:jc w:val="center"/>
              <w:rPr>
                <w:rFonts w:ascii="Times New Roman" w:hAnsi="Times New Roman"/>
                <w:sz w:val="22"/>
                <w:szCs w:val="22"/>
              </w:rPr>
            </w:pPr>
            <w:r w:rsidRPr="003F037E">
              <w:rPr>
                <w:rFonts w:ascii="Times New Roman" w:hAnsi="Times New Roman"/>
                <w:b/>
                <w:sz w:val="22"/>
                <w:szCs w:val="22"/>
              </w:rPr>
              <w:t>ΣΕΔΠ</w:t>
            </w:r>
          </w:p>
        </w:tc>
        <w:tc>
          <w:tcPr>
            <w:tcW w:w="2586" w:type="dxa"/>
            <w:gridSpan w:val="2"/>
            <w:tcBorders>
              <w:bottom w:val="single" w:sz="4" w:space="0" w:color="auto"/>
            </w:tcBorders>
            <w:shd w:val="clear" w:color="auto" w:fill="D9D9D9" w:themeFill="background1" w:themeFillShade="D9"/>
          </w:tcPr>
          <w:p w:rsidR="0023719B" w:rsidRPr="003F037E" w:rsidRDefault="0023719B" w:rsidP="0023719B">
            <w:pPr>
              <w:jc w:val="center"/>
              <w:rPr>
                <w:rFonts w:ascii="Times New Roman" w:hAnsi="Times New Roman"/>
                <w:sz w:val="22"/>
                <w:szCs w:val="22"/>
              </w:rPr>
            </w:pPr>
            <w:r w:rsidRPr="003F037E">
              <w:rPr>
                <w:rFonts w:ascii="Times New Roman" w:hAnsi="Times New Roman"/>
                <w:b/>
                <w:sz w:val="22"/>
                <w:szCs w:val="22"/>
              </w:rPr>
              <w:t>Τράπεζα Β</w:t>
            </w:r>
          </w:p>
        </w:tc>
      </w:tr>
      <w:tr w:rsidR="00527BAA" w:rsidRPr="003F037E" w:rsidTr="00134D65">
        <w:tc>
          <w:tcPr>
            <w:tcW w:w="1433"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543"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c>
          <w:tcPr>
            <w:tcW w:w="1479"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465"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c>
          <w:tcPr>
            <w:tcW w:w="1433"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153" w:type="dxa"/>
            <w:shd w:val="clear" w:color="auto" w:fill="FFFFFF" w:themeFill="background1"/>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Παθητικό</w:t>
            </w:r>
          </w:p>
        </w:tc>
      </w:tr>
      <w:tr w:rsidR="00527BAA" w:rsidRPr="003F037E" w:rsidTr="0023719B">
        <w:tc>
          <w:tcPr>
            <w:tcW w:w="1433" w:type="dxa"/>
          </w:tcPr>
          <w:p w:rsidR="00527BAA" w:rsidRPr="003F037E" w:rsidRDefault="00527BAA" w:rsidP="003150CE">
            <w:pPr>
              <w:jc w:val="both"/>
              <w:rPr>
                <w:rFonts w:ascii="Times New Roman" w:hAnsi="Times New Roman"/>
                <w:sz w:val="22"/>
                <w:szCs w:val="22"/>
              </w:rPr>
            </w:pPr>
          </w:p>
        </w:tc>
        <w:tc>
          <w:tcPr>
            <w:tcW w:w="1543"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+υποχρέωση προς ΣΕΔΠ</w:t>
            </w:r>
          </w:p>
        </w:tc>
        <w:tc>
          <w:tcPr>
            <w:tcW w:w="1479"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υποθήκες</w:t>
            </w: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+στοιχεία εξαιτίας της Α</w:t>
            </w:r>
          </w:p>
        </w:tc>
        <w:tc>
          <w:tcPr>
            <w:tcW w:w="1465"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καταθέσεις</w:t>
            </w: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υποχρέωση προς  Β</w:t>
            </w:r>
          </w:p>
        </w:tc>
        <w:tc>
          <w:tcPr>
            <w:tcW w:w="1433"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+στοιχεία εξαιτίας του ΣΕΔΠ</w:t>
            </w:r>
          </w:p>
        </w:tc>
        <w:tc>
          <w:tcPr>
            <w:tcW w:w="1153" w:type="dxa"/>
          </w:tcPr>
          <w:p w:rsidR="00527BAA" w:rsidRPr="003F037E" w:rsidRDefault="00527BAA" w:rsidP="003150CE">
            <w:pPr>
              <w:jc w:val="both"/>
              <w:rPr>
                <w:rFonts w:ascii="Times New Roman" w:hAnsi="Times New Roman"/>
                <w:sz w:val="22"/>
                <w:szCs w:val="22"/>
              </w:rPr>
            </w:pPr>
          </w:p>
        </w:tc>
      </w:tr>
    </w:tbl>
    <w:p w:rsidR="00527BAA" w:rsidRDefault="00527BAA" w:rsidP="00527BAA">
      <w:pPr>
        <w:jc w:val="both"/>
      </w:pPr>
    </w:p>
    <w:p w:rsidR="00AB15DE" w:rsidRDefault="00527BAA" w:rsidP="00AB15DE">
      <w:pPr>
        <w:spacing w:line="360" w:lineRule="auto"/>
        <w:ind w:firstLine="720"/>
        <w:jc w:val="both"/>
      </w:pPr>
      <w:r>
        <w:t xml:space="preserve">Και η κεντρική τράπεζα και το ΣΕΔΠ έχουν μέλημα να διασφαλίσουν ότι τα δάνεια κατά τη διάρκεια της ημέρας αποπληρώνονται στο τέλος της ημέρας.  Για να το εξασφαλίσουν αυτό, υπάρχουν, και στα δύο ιδρύματα, έλεγχοι επάνω στο  πόσο μπορείς να δανειστείς (πιστωτικά όρια), και πόσα στοιχεία μπορείς να θέσεις </w:t>
      </w:r>
      <w:r w:rsidRPr="00AB15DE">
        <w:t xml:space="preserve">υποθήκη </w:t>
      </w:r>
      <w:r>
        <w:t xml:space="preserve">ως εξασφάλιση. Στην κεντρική τράπεζα υπάρχει επιπρόσθετη απαίτηση να πληρώσεις τόκο στις μέσες υπεραναλήψεις σου κατά τη διάρκεια της ημέρας. </w:t>
      </w:r>
    </w:p>
    <w:p w:rsidR="00AB15DE" w:rsidRDefault="00527BAA" w:rsidP="00AB15DE">
      <w:pPr>
        <w:spacing w:line="360" w:lineRule="auto"/>
        <w:ind w:firstLine="720"/>
        <w:jc w:val="both"/>
      </w:pPr>
      <w:r>
        <w:t>Μια που εκτιμούμε τον πιστωτικό χαρακτήρα του συστήματος πληρωμών, είναι ξεκάθαρο ότι κάθε $ που χρωστά σαν τραπεζική δανειακή διευκόλυνση μια τράπεζα είναι ένα επιπλέον $ στο λογαριασμό διαθεσίμων κάποιας άλλης τράπεζας</w:t>
      </w:r>
      <w:r w:rsidR="00E7610A">
        <w:t xml:space="preserve"> στο αμερικανικό τραπεζικό σύστημα</w:t>
      </w:r>
      <w:r>
        <w:t>. Για να διαγραφεί η πίστωση από τον ισολογισμό της κεντρικής τράπεζας στο τέλος της ημέρας επομένως απαιτείται ακύρωση και των δύο αρνητικών λογαριασμών</w:t>
      </w:r>
      <w:r w:rsidRPr="00AB15DE">
        <w:t xml:space="preserve"> και</w:t>
      </w:r>
      <w:r>
        <w:t xml:space="preserve"> των επιπλέον θετικών λογαριασμών. Ο απλούστερος τρόπος για να γίνει αυτό είναι για τις τράπεζες με επιπλέον θετικούς λογαριασμούς </w:t>
      </w:r>
      <w:r w:rsidR="00D57384">
        <w:t xml:space="preserve">είναι </w:t>
      </w:r>
      <w:r>
        <w:t xml:space="preserve">να δανείζουν τα πλεονάζοντα ρευστά τους σε τράπεζες με αρνητικούς λογαριασμούς, οι οποίες χρησιμοποιούν τα αποκτώμενα από τα δάνεια για να αποπληρώσουν την τραπεζική δανειακή διευκόλυνση τους. Στην </w:t>
      </w:r>
      <w:r>
        <w:lastRenderedPageBreak/>
        <w:t xml:space="preserve">πραγματικότητα, η τράπεζα με τα επιπλέον διαθέσιμα, θα έπρεπε να </w:t>
      </w:r>
      <w:r w:rsidRPr="00D57384">
        <w:t>θέλει</w:t>
      </w:r>
      <w:r>
        <w:t xml:space="preserve"> να δώσει το δάνειο αφού τα διαθέσιμα δεν αποφέρουν τόκο ενώ το δάνειο θα αποφέρει. Η αγορά κρατικών διαθεσίμων είναι εκεί που το διατραπεζικό </w:t>
      </w:r>
      <w:proofErr w:type="spellStart"/>
      <w:r>
        <w:t>δανείζειν</w:t>
      </w:r>
      <w:proofErr w:type="spellEnd"/>
      <w:r>
        <w:t xml:space="preserve"> και </w:t>
      </w:r>
      <w:proofErr w:type="spellStart"/>
      <w:r>
        <w:t>δανείζεσθαι</w:t>
      </w:r>
      <w:proofErr w:type="spellEnd"/>
      <w:r>
        <w:t xml:space="preserve"> λαμβάνει χώρα για τις εγχώριες τράπεζες. Η αντίστοιχη διατραπεζική αγορά για το ΣΕΔΠ είναι η αγορά Ευρωδολαρίου για την οποία θα μιλήσουμε</w:t>
      </w:r>
      <w:r w:rsidR="00D57384">
        <w:t xml:space="preserve"> αναλυτικά σε επόμενη ενότητα του παρόντος κεφαλαίου</w:t>
      </w:r>
      <w:r>
        <w:t>.</w:t>
      </w:r>
    </w:p>
    <w:p w:rsidR="00AB15DE" w:rsidRDefault="00527BAA" w:rsidP="00AB15DE">
      <w:pPr>
        <w:spacing w:line="360" w:lineRule="auto"/>
        <w:ind w:firstLine="720"/>
        <w:jc w:val="both"/>
      </w:pPr>
      <w:r>
        <w:t xml:space="preserve">Ας υποθέσουμε ότι </w:t>
      </w:r>
      <w:r w:rsidR="00AB15DE">
        <w:t>τώρα</w:t>
      </w:r>
      <w:r>
        <w:t xml:space="preserve"> ότι οι ελλειμματικές τράπεζες δε δύνανται να βρουν πλεονασματικές τράπεζες για να δανεισθούν από αυτές. Εάν μια τράπεζα δε μπορεί να αποπληρώσει την υπερημερία της στο ΣΕΔΠ, τότε όλα τα μέλη του ΣΕΔΠ είναι κοινώς υπεύθυνα για το δάνειο. Αν μια τράπεζα δε μπορεί να αποπληρώσει την δανειακή διευκόλυνση της στην κεντρική τράπεζα, η κεντρική τράπεζα είναι πρόθυμη να επεκτείνει το δάνειο κατά τη διάρκεια της νύκτας δανείζοντας με το περιθώριο προεξόφλησης (</w:t>
      </w:r>
      <w:r>
        <w:rPr>
          <w:lang w:val="en-US"/>
        </w:rPr>
        <w:t>discount</w:t>
      </w:r>
      <w:r w:rsidRPr="00131C7D">
        <w:t xml:space="preserve"> </w:t>
      </w:r>
      <w:r>
        <w:rPr>
          <w:lang w:val="en-US"/>
        </w:rPr>
        <w:t>window</w:t>
      </w:r>
      <w:r>
        <w:t>), με επιτόκιο ποινής συνήθως 100 μονάδες βάσης</w:t>
      </w:r>
      <w:r w:rsidR="00AB15DE">
        <w:t xml:space="preserve"> (ή με άλλα λόγια 1%)</w:t>
      </w:r>
      <w:r>
        <w:t xml:space="preserve"> επάνω από το επιτόκιο στόχο των διαθεσίμων της κεντρικής τράπεζας</w:t>
      </w:r>
      <w:r w:rsidR="00D57384">
        <w:t xml:space="preserve"> της Αμερικής στο αμερικανικό τραπεζικό σύστημα (</w:t>
      </w:r>
      <w:r w:rsidR="00D57384">
        <w:rPr>
          <w:lang w:val="en-US"/>
        </w:rPr>
        <w:t>federal</w:t>
      </w:r>
      <w:r w:rsidR="00D57384" w:rsidRPr="006E0C21">
        <w:t xml:space="preserve"> </w:t>
      </w:r>
      <w:r w:rsidR="00D57384">
        <w:rPr>
          <w:lang w:val="en-US"/>
        </w:rPr>
        <w:t>fund</w:t>
      </w:r>
      <w:r w:rsidR="00D57384" w:rsidRPr="006E0C21">
        <w:t xml:space="preserve"> </w:t>
      </w:r>
      <w:r w:rsidR="00D57384">
        <w:rPr>
          <w:lang w:val="en-US"/>
        </w:rPr>
        <w:t>rate</w:t>
      </w:r>
      <w:r w:rsidR="00D57384" w:rsidRPr="006E0C21">
        <w:t xml:space="preserve"> </w:t>
      </w:r>
      <w:r w:rsidR="00D57384">
        <w:rPr>
          <w:lang w:val="en-US"/>
        </w:rPr>
        <w:t>target</w:t>
      </w:r>
      <w:r w:rsidR="00D57384">
        <w:t>)</w:t>
      </w:r>
      <w:r>
        <w:t xml:space="preserve">. Επομένως οι τράπεζες γενικά προτιμούν να δανείζονται στην αγορά κρατικών διαθεσίμων της κεντρικής τράπεζας κατά τη διάρκεια της ημέρας και δεν περιμένουν μέχρι το τέλος της ημέρας. </w:t>
      </w:r>
    </w:p>
    <w:p w:rsidR="00527BAA" w:rsidRDefault="00527BAA" w:rsidP="00AB15DE">
      <w:pPr>
        <w:spacing w:line="360" w:lineRule="auto"/>
        <w:ind w:firstLine="720"/>
        <w:jc w:val="both"/>
      </w:pPr>
      <w:r w:rsidRPr="00587DA8">
        <w:t>Το έσχατο μέσο πληρωμής στο τραπεζικό σύστημα των Η.Π.Α. είναι οι καταθέσεις στην κεντρική</w:t>
      </w:r>
      <w:r>
        <w:t xml:space="preserve"> τράπεζα. Ας ονομάζουμε αυτές τις καταθέσεις ως χρήμα. Τα διαθέσιμα της κεντρικής τράπεζας είναι δάνεια (συνήθως κατά τη διάρκεια της νύχτας) από μια τράπεζα σε μια άλλη, τα οποία μπορούν να πληρωθούν σε καταθέσεις στην κεντρική τράπεζα. Ας ονομάζουμε αυτά τα δάνεια πίστη. Μέχρι πρόσφατα, οι υποκείμενες καταθέσεις δεν απέφεραν τόκο, αλλά το διατραπεζικό δάνειο αποφέρει, και αυτό το επιτόκιο είναι το επιτόκιο των διαθεσίμων της κεντρικής τράπεζας (</w:t>
      </w:r>
      <w:r>
        <w:rPr>
          <w:lang w:val="en-US"/>
        </w:rPr>
        <w:t>Federal</w:t>
      </w:r>
      <w:r w:rsidRPr="006E0C21">
        <w:t xml:space="preserve"> </w:t>
      </w:r>
      <w:r>
        <w:rPr>
          <w:lang w:val="en-US"/>
        </w:rPr>
        <w:t>Fund</w:t>
      </w:r>
      <w:r w:rsidRPr="006E0C21">
        <w:t xml:space="preserve"> </w:t>
      </w:r>
      <w:r w:rsidR="00D57384">
        <w:rPr>
          <w:lang w:val="en-US"/>
        </w:rPr>
        <w:t>R</w:t>
      </w:r>
      <w:r>
        <w:rPr>
          <w:lang w:val="en-US"/>
        </w:rPr>
        <w:t>ate</w:t>
      </w:r>
      <w:r w:rsidRPr="006E0C21">
        <w:t xml:space="preserve">, </w:t>
      </w:r>
      <w:r>
        <w:rPr>
          <w:lang w:val="en-US"/>
        </w:rPr>
        <w:t>FFR</w:t>
      </w:r>
      <w:r>
        <w:t xml:space="preserve">). </w:t>
      </w:r>
    </w:p>
    <w:p w:rsidR="00527BAA" w:rsidRDefault="00527BAA" w:rsidP="00802C1C">
      <w:pPr>
        <w:spacing w:line="360" w:lineRule="auto"/>
        <w:jc w:val="both"/>
      </w:pPr>
      <w:r>
        <w:t xml:space="preserve">      Για να δούμε ακριβώς τι συμβαίνει </w:t>
      </w:r>
      <w:r w:rsidR="00D17CCB">
        <w:t>ας δούμε ένα παράδειγμα στον ακόλουθο πίνακα</w:t>
      </w:r>
      <w:r>
        <w:t xml:space="preserve"> μεταξύ της τράπεζας Α (ο δανειζόμενος ή αγοραστής χρήματος) και της τράπεζας Β (ο δανειστής ή πωλητής χρήματος). </w:t>
      </w:r>
    </w:p>
    <w:p w:rsidR="00FE21F5" w:rsidRDefault="00FE21F5" w:rsidP="00802C1C">
      <w:pPr>
        <w:spacing w:line="360" w:lineRule="auto"/>
        <w:jc w:val="both"/>
      </w:pPr>
    </w:p>
    <w:p w:rsidR="00527BAA" w:rsidRPr="007303C3" w:rsidRDefault="00FE21F5" w:rsidP="00134D65">
      <w:pPr>
        <w:jc w:val="both"/>
        <w:rPr>
          <w:rFonts w:cstheme="minorHAnsi"/>
        </w:rPr>
      </w:pPr>
      <w:r w:rsidRPr="00FE21F5">
        <w:rPr>
          <w:b/>
        </w:rPr>
        <w:t xml:space="preserve">Πίνακας </w:t>
      </w:r>
      <w:r w:rsidR="002864D1">
        <w:rPr>
          <w:b/>
        </w:rPr>
        <w:t>4.1</w:t>
      </w:r>
      <w:r w:rsidR="000C510F">
        <w:rPr>
          <w:b/>
        </w:rPr>
        <w:t>1</w:t>
      </w:r>
      <w:r>
        <w:t xml:space="preserve"> Συναλλαγές με διαθέσιμα στην </w:t>
      </w:r>
      <w:r w:rsidR="003F037E">
        <w:t>κεντρική τράπεζα</w:t>
      </w:r>
      <w:r w:rsidR="00802C1C">
        <w:rPr>
          <w:rFonts w:cstheme="minorHAnsi"/>
        </w:rPr>
        <w:t xml:space="preserve">         </w:t>
      </w:r>
    </w:p>
    <w:tbl>
      <w:tblPr>
        <w:tblStyle w:val="af3"/>
        <w:tblW w:w="8910" w:type="dxa"/>
        <w:tblInd w:w="-252" w:type="dxa"/>
        <w:tblLayout w:type="fixed"/>
        <w:tblLook w:val="04A0" w:firstRow="1" w:lastRow="0" w:firstColumn="1" w:lastColumn="0" w:noHBand="0" w:noVBand="1"/>
      </w:tblPr>
      <w:tblGrid>
        <w:gridCol w:w="1620"/>
        <w:gridCol w:w="1170"/>
        <w:gridCol w:w="1440"/>
        <w:gridCol w:w="1890"/>
        <w:gridCol w:w="1620"/>
        <w:gridCol w:w="1170"/>
      </w:tblGrid>
      <w:tr w:rsidR="00FE21F5" w:rsidRPr="003F037E" w:rsidTr="00FE21F5">
        <w:tc>
          <w:tcPr>
            <w:tcW w:w="2790" w:type="dxa"/>
            <w:gridSpan w:val="2"/>
            <w:shd w:val="clear" w:color="auto" w:fill="BFBFBF" w:themeFill="background1" w:themeFillShade="BF"/>
          </w:tcPr>
          <w:p w:rsidR="00FE21F5" w:rsidRPr="003F037E" w:rsidRDefault="00FE21F5" w:rsidP="00134D65">
            <w:pPr>
              <w:jc w:val="center"/>
              <w:rPr>
                <w:rFonts w:ascii="Times New Roman" w:hAnsi="Times New Roman"/>
                <w:b/>
                <w:sz w:val="22"/>
                <w:szCs w:val="22"/>
              </w:rPr>
            </w:pPr>
            <w:r w:rsidRPr="003F037E">
              <w:rPr>
                <w:rFonts w:ascii="Times New Roman" w:hAnsi="Times New Roman"/>
                <w:b/>
                <w:sz w:val="22"/>
                <w:szCs w:val="22"/>
              </w:rPr>
              <w:t>Τράπεζα Α</w:t>
            </w:r>
          </w:p>
        </w:tc>
        <w:tc>
          <w:tcPr>
            <w:tcW w:w="3330" w:type="dxa"/>
            <w:gridSpan w:val="2"/>
            <w:shd w:val="clear" w:color="auto" w:fill="BFBFBF" w:themeFill="background1" w:themeFillShade="BF"/>
          </w:tcPr>
          <w:p w:rsidR="00FE21F5" w:rsidRPr="003F037E" w:rsidRDefault="003F037E" w:rsidP="00134D65">
            <w:pPr>
              <w:jc w:val="center"/>
              <w:rPr>
                <w:rFonts w:ascii="Times New Roman" w:hAnsi="Times New Roman"/>
                <w:b/>
                <w:sz w:val="22"/>
                <w:szCs w:val="22"/>
              </w:rPr>
            </w:pPr>
            <w:r w:rsidRPr="003F037E">
              <w:rPr>
                <w:rFonts w:ascii="Times New Roman" w:hAnsi="Times New Roman"/>
                <w:b/>
                <w:sz w:val="22"/>
                <w:szCs w:val="22"/>
              </w:rPr>
              <w:t>Κεντρική Τ</w:t>
            </w:r>
            <w:r w:rsidR="00FE21F5" w:rsidRPr="003F037E">
              <w:rPr>
                <w:rFonts w:ascii="Times New Roman" w:hAnsi="Times New Roman"/>
                <w:b/>
                <w:sz w:val="22"/>
                <w:szCs w:val="22"/>
              </w:rPr>
              <w:t>ράπεζα</w:t>
            </w:r>
          </w:p>
        </w:tc>
        <w:tc>
          <w:tcPr>
            <w:tcW w:w="2790" w:type="dxa"/>
            <w:gridSpan w:val="2"/>
            <w:shd w:val="clear" w:color="auto" w:fill="BFBFBF" w:themeFill="background1" w:themeFillShade="BF"/>
          </w:tcPr>
          <w:p w:rsidR="00FE21F5" w:rsidRPr="003F037E" w:rsidRDefault="00FE21F5" w:rsidP="00134D65">
            <w:pPr>
              <w:jc w:val="center"/>
              <w:rPr>
                <w:rFonts w:ascii="Times New Roman" w:hAnsi="Times New Roman"/>
                <w:b/>
                <w:sz w:val="22"/>
                <w:szCs w:val="22"/>
              </w:rPr>
            </w:pPr>
            <w:r w:rsidRPr="003F037E">
              <w:rPr>
                <w:rFonts w:ascii="Times New Roman" w:hAnsi="Times New Roman"/>
                <w:b/>
                <w:sz w:val="22"/>
                <w:szCs w:val="22"/>
              </w:rPr>
              <w:t>Τράπεζα Β</w:t>
            </w:r>
          </w:p>
        </w:tc>
      </w:tr>
      <w:tr w:rsidR="00527BAA" w:rsidRPr="003F037E" w:rsidTr="00134D65">
        <w:tc>
          <w:tcPr>
            <w:tcW w:w="162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 xml:space="preserve">Στοιχεία </w:t>
            </w:r>
            <w:r w:rsidRPr="003F037E">
              <w:rPr>
                <w:rFonts w:ascii="Times New Roman" w:hAnsi="Times New Roman"/>
                <w:b/>
                <w:sz w:val="22"/>
                <w:szCs w:val="22"/>
              </w:rPr>
              <w:lastRenderedPageBreak/>
              <w:t>Ενεργητικού</w:t>
            </w:r>
          </w:p>
        </w:tc>
        <w:tc>
          <w:tcPr>
            <w:tcW w:w="117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lastRenderedPageBreak/>
              <w:t>Παθητικό</w:t>
            </w:r>
          </w:p>
        </w:tc>
        <w:tc>
          <w:tcPr>
            <w:tcW w:w="144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 xml:space="preserve">Στοιχεία </w:t>
            </w:r>
            <w:r w:rsidRPr="003F037E">
              <w:rPr>
                <w:rFonts w:ascii="Times New Roman" w:hAnsi="Times New Roman"/>
                <w:b/>
                <w:sz w:val="22"/>
                <w:szCs w:val="22"/>
              </w:rPr>
              <w:lastRenderedPageBreak/>
              <w:t>Ενεργητικού</w:t>
            </w:r>
          </w:p>
        </w:tc>
        <w:tc>
          <w:tcPr>
            <w:tcW w:w="189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lastRenderedPageBreak/>
              <w:t>Παθητικό</w:t>
            </w:r>
          </w:p>
        </w:tc>
        <w:tc>
          <w:tcPr>
            <w:tcW w:w="162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t xml:space="preserve">Στοιχεία </w:t>
            </w:r>
            <w:r w:rsidRPr="003F037E">
              <w:rPr>
                <w:rFonts w:ascii="Times New Roman" w:hAnsi="Times New Roman"/>
                <w:b/>
                <w:sz w:val="22"/>
                <w:szCs w:val="22"/>
              </w:rPr>
              <w:lastRenderedPageBreak/>
              <w:t>Ενεργητικού</w:t>
            </w:r>
          </w:p>
        </w:tc>
        <w:tc>
          <w:tcPr>
            <w:tcW w:w="1170" w:type="dxa"/>
          </w:tcPr>
          <w:p w:rsidR="00527BAA" w:rsidRPr="003F037E" w:rsidRDefault="00527BAA" w:rsidP="003150CE">
            <w:pPr>
              <w:jc w:val="both"/>
              <w:rPr>
                <w:rFonts w:ascii="Times New Roman" w:hAnsi="Times New Roman"/>
                <w:b/>
                <w:sz w:val="22"/>
                <w:szCs w:val="22"/>
              </w:rPr>
            </w:pPr>
            <w:r w:rsidRPr="003F037E">
              <w:rPr>
                <w:rFonts w:ascii="Times New Roman" w:hAnsi="Times New Roman"/>
                <w:b/>
                <w:sz w:val="22"/>
                <w:szCs w:val="22"/>
              </w:rPr>
              <w:lastRenderedPageBreak/>
              <w:t>Παθητικό</w:t>
            </w:r>
          </w:p>
        </w:tc>
      </w:tr>
      <w:tr w:rsidR="00527BAA" w:rsidRPr="003F037E" w:rsidTr="00134D65">
        <w:tc>
          <w:tcPr>
            <w:tcW w:w="1620"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lastRenderedPageBreak/>
              <w:t>+10 διαθέσιμα</w:t>
            </w:r>
          </w:p>
        </w:tc>
        <w:tc>
          <w:tcPr>
            <w:tcW w:w="1170"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+10 Διαθέσιμα</w:t>
            </w:r>
          </w:p>
          <w:p w:rsidR="00527BAA" w:rsidRPr="003F037E" w:rsidRDefault="00527BAA" w:rsidP="003150CE">
            <w:pPr>
              <w:jc w:val="both"/>
              <w:rPr>
                <w:rFonts w:ascii="Times New Roman" w:hAnsi="Times New Roman"/>
                <w:sz w:val="22"/>
                <w:szCs w:val="22"/>
              </w:rPr>
            </w:pPr>
            <w:proofErr w:type="spellStart"/>
            <w:r w:rsidRPr="003F037E">
              <w:rPr>
                <w:rFonts w:ascii="Times New Roman" w:hAnsi="Times New Roman"/>
                <w:sz w:val="22"/>
                <w:szCs w:val="22"/>
              </w:rPr>
              <w:t>Κεντρ</w:t>
            </w:r>
            <w:proofErr w:type="spellEnd"/>
            <w:r w:rsidRPr="003F037E">
              <w:rPr>
                <w:rFonts w:ascii="Times New Roman" w:hAnsi="Times New Roman"/>
                <w:sz w:val="22"/>
                <w:szCs w:val="22"/>
              </w:rPr>
              <w:t>. τράπεζας</w:t>
            </w:r>
          </w:p>
        </w:tc>
        <w:tc>
          <w:tcPr>
            <w:tcW w:w="1440" w:type="dxa"/>
          </w:tcPr>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p>
        </w:tc>
        <w:tc>
          <w:tcPr>
            <w:tcW w:w="1890"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+10 Κατάθεση Α</w:t>
            </w: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-10 Κατάθεση Β</w:t>
            </w:r>
          </w:p>
        </w:tc>
        <w:tc>
          <w:tcPr>
            <w:tcW w:w="1620"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-10 διαθέσιμα</w:t>
            </w:r>
          </w:p>
          <w:p w:rsidR="00527BAA" w:rsidRPr="003F037E" w:rsidRDefault="00527BAA" w:rsidP="003150CE">
            <w:pPr>
              <w:jc w:val="both"/>
              <w:rPr>
                <w:rFonts w:ascii="Times New Roman" w:hAnsi="Times New Roman"/>
                <w:sz w:val="22"/>
                <w:szCs w:val="22"/>
              </w:rPr>
            </w:pP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+10 Διαθέσιμα</w:t>
            </w:r>
          </w:p>
          <w:p w:rsidR="00527BAA" w:rsidRPr="003F037E" w:rsidRDefault="00527BAA" w:rsidP="003150CE">
            <w:pPr>
              <w:jc w:val="both"/>
              <w:rPr>
                <w:rFonts w:ascii="Times New Roman" w:hAnsi="Times New Roman"/>
                <w:sz w:val="22"/>
                <w:szCs w:val="22"/>
              </w:rPr>
            </w:pPr>
            <w:proofErr w:type="spellStart"/>
            <w:r w:rsidRPr="003F037E">
              <w:rPr>
                <w:rFonts w:ascii="Times New Roman" w:hAnsi="Times New Roman"/>
                <w:sz w:val="22"/>
                <w:szCs w:val="22"/>
              </w:rPr>
              <w:t>Κεντρ</w:t>
            </w:r>
            <w:proofErr w:type="spellEnd"/>
            <w:r w:rsidRPr="003F037E">
              <w:rPr>
                <w:rFonts w:ascii="Times New Roman" w:hAnsi="Times New Roman"/>
                <w:sz w:val="22"/>
                <w:szCs w:val="22"/>
              </w:rPr>
              <w:t>. τράπεζας</w:t>
            </w:r>
          </w:p>
        </w:tc>
        <w:tc>
          <w:tcPr>
            <w:tcW w:w="1170" w:type="dxa"/>
          </w:tcPr>
          <w:p w:rsidR="00527BAA" w:rsidRPr="003F037E" w:rsidRDefault="00527BAA" w:rsidP="003150CE">
            <w:pPr>
              <w:jc w:val="both"/>
              <w:rPr>
                <w:rFonts w:ascii="Times New Roman" w:hAnsi="Times New Roman"/>
                <w:sz w:val="22"/>
                <w:szCs w:val="22"/>
              </w:rPr>
            </w:pPr>
          </w:p>
        </w:tc>
      </w:tr>
    </w:tbl>
    <w:p w:rsidR="00527BAA" w:rsidRDefault="00527BAA" w:rsidP="00527BAA">
      <w:pPr>
        <w:jc w:val="both"/>
      </w:pPr>
    </w:p>
    <w:p w:rsidR="00527BAA" w:rsidRPr="009B2F63" w:rsidRDefault="00D17CCB" w:rsidP="003F037E">
      <w:pPr>
        <w:spacing w:line="360" w:lineRule="auto"/>
        <w:ind w:firstLine="720"/>
        <w:jc w:val="both"/>
      </w:pPr>
      <w:r>
        <w:t>Ο</w:t>
      </w:r>
      <w:r w:rsidR="00527BAA">
        <w:t xml:space="preserve"> δανειστής έχει να ανησυχεί σχετικά με το αν ο δανειζόμενος θα καταφέρει να αποπληρώσει. Αφού δανείζει τα </w:t>
      </w:r>
      <w:r>
        <w:t>δ</w:t>
      </w:r>
      <w:r w:rsidR="00527BAA">
        <w:t xml:space="preserve">ιαθέσιμα της κεντρικής τράπεζας στην Τράπεζα Α, η Τράπεζα Β έχει απαλλαγεί από την υπερβάλλουσα θέση διαθεσίμων που κρατούσε στην κεντρική τράπεζα. Αφότου δανείζεται </w:t>
      </w:r>
      <w:r w:rsidR="009B2F63">
        <w:t>δ</w:t>
      </w:r>
      <w:r w:rsidR="00527BAA">
        <w:t xml:space="preserve">ιαθέσιμα της κεντρικής τράπεζας από την Τράπεζα Β, η Τράπεζα Α έχει απαλλαγεί από την ελλειμματική θέση διαθεσίμων  της στην κεντρική τράπεζα. Όπως και οι δανειακές διευκολύνσεις κατά τη διάρκεια της ημέρας, τα </w:t>
      </w:r>
      <w:r w:rsidR="009B2F63">
        <w:t>δ</w:t>
      </w:r>
      <w:r w:rsidR="00527BAA">
        <w:t>ιαθέσιμα της κεντρικής τράπεζας είναι ένα πιστωτικό στοιχείο που δανείζει ελαστικότητα</w:t>
      </w:r>
      <w:r w:rsidR="009B2F63">
        <w:t xml:space="preserve"> στο σύστημα πληρωμών. </w:t>
      </w:r>
      <w:r w:rsidR="009B2F63" w:rsidRPr="009B2F63">
        <w:t>Αλλά τα δ</w:t>
      </w:r>
      <w:r w:rsidR="00527BAA" w:rsidRPr="009B2F63">
        <w:t>ιαθέσιμα της κεντρικής τράπεζας είναι πίστη κατά τη διάρκεια της νύχτας, όχι κατά τη διάρκεια της ημέρας, και διατραπεζική πίστη όχι πίστη της κεντρικής τράπεζας.</w:t>
      </w:r>
    </w:p>
    <w:p w:rsidR="009A445B" w:rsidRDefault="009B2F63" w:rsidP="009A445B">
      <w:pPr>
        <w:spacing w:line="360" w:lineRule="auto"/>
        <w:ind w:firstLine="720"/>
        <w:jc w:val="both"/>
      </w:pPr>
      <w:r>
        <w:t>Η</w:t>
      </w:r>
      <w:r w:rsidR="00527BAA">
        <w:t xml:space="preserve"> κανονική εργασία ορισμένων τραπεζών κάνει τις ημερήσιες χρηματικές εισροές τους να υπερβούν τις ημερήσιες χρηματικές εκροές τους, και για κάποιες άλλες τράπεζες ισχύει ακριβώς το αντίθετο. Συγκεκριμένα, φαίνεται ότι οι πρώτες είναι </w:t>
      </w:r>
      <w:r>
        <w:t xml:space="preserve">συνήθως </w:t>
      </w:r>
      <w:r w:rsidR="00527BAA">
        <w:t xml:space="preserve">μικρές τράπεζες που δεν αντιμετωπίζουν μεγάλη ζήτηση για δάνεια, ενώ οι τελευταίες είναι μεγάλες τράπεζες που μπορούν να δανείσουν όλες τις καταθέσεις τους κι ακόμη παραπάνω. Άρα η αγορά </w:t>
      </w:r>
      <w:r>
        <w:t>δ</w:t>
      </w:r>
      <w:r w:rsidR="00527BAA">
        <w:t xml:space="preserve">ιαθεσίμων της κεντρικής τράπεζας διοχετεύει πλεονάζοντα διαθέσιμα από τις </w:t>
      </w:r>
      <w:r>
        <w:t xml:space="preserve">μεγάλες πολλές φορές </w:t>
      </w:r>
      <w:r w:rsidR="00527BAA">
        <w:t xml:space="preserve">τράπεζες </w:t>
      </w:r>
      <w:r>
        <w:t>στις μικρότερες τράπεζες</w:t>
      </w:r>
      <w:r w:rsidR="00527BAA">
        <w:t xml:space="preserve">. </w:t>
      </w:r>
    </w:p>
    <w:p w:rsidR="00BB6F6A" w:rsidRDefault="00527BAA" w:rsidP="009A445B">
      <w:pPr>
        <w:spacing w:line="360" w:lineRule="auto"/>
        <w:ind w:firstLine="720"/>
        <w:jc w:val="both"/>
      </w:pPr>
      <w:r>
        <w:t>Σε ένα υψηλότερο επίπεδο στο σύστημα, οι τράπεζες</w:t>
      </w:r>
      <w:r w:rsidR="009B2F63">
        <w:t xml:space="preserve"> πολλές φορές </w:t>
      </w:r>
      <w:r>
        <w:t xml:space="preserve">συναλλάσσουν </w:t>
      </w:r>
      <w:r w:rsidR="009B2F63">
        <w:t>δ</w:t>
      </w:r>
      <w:r>
        <w:t xml:space="preserve">ιαθέσιμα της κεντρικής τράπεζας μεταξύ τους ως τρόπο να διαχειριστούν την κατά τη διάρκεια της ημέρας μεταβλητότητα στις χρηματικές ροές. Επομένως έτσι, υποθέστε ότι η </w:t>
      </w:r>
      <w:r>
        <w:rPr>
          <w:lang w:val="en-US"/>
        </w:rPr>
        <w:t>Citibank</w:t>
      </w:r>
      <w:r w:rsidRPr="00142DEB">
        <w:t xml:space="preserve"> </w:t>
      </w:r>
      <w:r>
        <w:t xml:space="preserve">δίνει ένα δάνειο με υποθήκη σε </w:t>
      </w:r>
      <w:r w:rsidR="009B2F63">
        <w:t>κάποιον (αγοραστής σπιτιού) για να αγοράσει ένα σπίτι από κάποιον άλλο (πωλητής σπιτιού)</w:t>
      </w:r>
      <w:r>
        <w:t xml:space="preserve">. Την ημέρα κλεισίματος, η </w:t>
      </w:r>
      <w:r>
        <w:rPr>
          <w:lang w:val="en-US"/>
        </w:rPr>
        <w:t>Citibank</w:t>
      </w:r>
      <w:r>
        <w:t xml:space="preserve"> πρέπει να κάνει μια μεγάλη πληρωμή στην τράπεζα του πωλητή. Γενικά, δεν υπάρχει λόγος να υποθέσουμε ότι η </w:t>
      </w:r>
      <w:r>
        <w:rPr>
          <w:lang w:val="en-US"/>
        </w:rPr>
        <w:t>Citibank</w:t>
      </w:r>
      <w:r>
        <w:t xml:space="preserve"> έχει επαρκή διαθέσιμα τη συγκεκριμένη στιγμή, άρα για να κάνει την πληρωμή πρέπει να τα βρει στην αγορά χρήματος. Η συναλλαγή επομένως λαμβάνει χώρα ως εξής</w:t>
      </w:r>
      <w:r w:rsidRPr="009E671B">
        <w:t>:</w:t>
      </w:r>
      <w:r w:rsidR="00BB6F6A" w:rsidRPr="00BB6F6A">
        <w:t xml:space="preserve"> </w:t>
      </w:r>
      <w:r w:rsidR="00BB6F6A">
        <w:t xml:space="preserve">Η </w:t>
      </w:r>
      <w:r w:rsidR="00BB6F6A">
        <w:lastRenderedPageBreak/>
        <w:t>πρώτη γραμμή του παρακάτω πίνακα δείχνει το δάνειο με υποθήκη, που περιλαμβάνει μια ανταλλαγή υποχρεώσεων</w:t>
      </w:r>
      <w:r w:rsidR="00BB6F6A" w:rsidRPr="00953184">
        <w:t xml:space="preserve"> </w:t>
      </w:r>
      <w:r w:rsidR="00BB6F6A">
        <w:t xml:space="preserve">ανάμεσα στον αγοραστή και την τράπεζα του. Η δεύτερη γραμμή δείχνει την άμεση </w:t>
      </w:r>
      <w:r w:rsidR="00BB6F6A" w:rsidRPr="00BB6F6A">
        <w:t>χρηματοδότηση</w:t>
      </w:r>
      <w:r w:rsidR="00BB6F6A">
        <w:t xml:space="preserve"> (με διαθέσιμα) του δανείου αγοράζοντας χρήματα από την </w:t>
      </w:r>
      <w:r w:rsidR="00BB6F6A" w:rsidRPr="00BB6F6A">
        <w:t>HSBC</w:t>
      </w:r>
      <w:r w:rsidR="00BB6F6A">
        <w:t xml:space="preserve"> στην αγορά διαθεσίμων της κεντρικής τράπεζας. Η τρίτη γραμμή δείχνει την </w:t>
      </w:r>
      <w:r w:rsidR="00BB6F6A" w:rsidRPr="00BB6F6A">
        <w:t>πληρωμή</w:t>
      </w:r>
      <w:r w:rsidR="00BB6F6A">
        <w:t xml:space="preserve"> που οριστικοποιεί και τελειώνει τη συναλλαγή, η οποία περιλαμβάνει μεταφορά των διαθεσίμων από τη </w:t>
      </w:r>
      <w:proofErr w:type="spellStart"/>
      <w:r w:rsidR="00BB6F6A" w:rsidRPr="00BB6F6A">
        <w:t>Citibank</w:t>
      </w:r>
      <w:proofErr w:type="spellEnd"/>
      <w:r w:rsidR="00BB6F6A" w:rsidRPr="00D5477A">
        <w:t xml:space="preserve"> </w:t>
      </w:r>
      <w:r w:rsidR="00BB6F6A">
        <w:t xml:space="preserve">στην </w:t>
      </w:r>
      <w:proofErr w:type="spellStart"/>
      <w:r w:rsidR="00BB6F6A" w:rsidRPr="00BB6F6A">
        <w:t>Chase</w:t>
      </w:r>
      <w:proofErr w:type="spellEnd"/>
      <w:r w:rsidR="00BB6F6A">
        <w:t xml:space="preserve">, καθώς και χρέωση του λογαριασμού του αγοραστή και πίστωση του λογαριασμού του πωλητή. </w:t>
      </w:r>
    </w:p>
    <w:p w:rsidR="009A445B" w:rsidRDefault="009A445B" w:rsidP="00134D65">
      <w:pPr>
        <w:jc w:val="both"/>
        <w:rPr>
          <w:b/>
        </w:rPr>
      </w:pPr>
    </w:p>
    <w:p w:rsidR="00BB6F6A" w:rsidRDefault="00BB6F6A" w:rsidP="00134D65">
      <w:pPr>
        <w:jc w:val="both"/>
      </w:pPr>
      <w:r w:rsidRPr="00BB6F6A">
        <w:rPr>
          <w:b/>
        </w:rPr>
        <w:t>Πίνακας</w:t>
      </w:r>
      <w:r w:rsidR="002864D1">
        <w:rPr>
          <w:b/>
        </w:rPr>
        <w:t xml:space="preserve"> 4.1</w:t>
      </w:r>
      <w:r w:rsidR="000C510F">
        <w:rPr>
          <w:b/>
        </w:rPr>
        <w:t>2</w:t>
      </w:r>
      <w:r>
        <w:t xml:space="preserve"> Τα διαθέσιμα της </w:t>
      </w:r>
      <w:r w:rsidR="003F037E">
        <w:t>κεντρικής τράπεζας</w:t>
      </w:r>
      <w:r>
        <w:t xml:space="preserve"> ως μέσο πληρωμής</w:t>
      </w:r>
    </w:p>
    <w:tbl>
      <w:tblPr>
        <w:tblStyle w:val="af3"/>
        <w:tblW w:w="9640" w:type="dxa"/>
        <w:tblInd w:w="-318" w:type="dxa"/>
        <w:tblLayout w:type="fixed"/>
        <w:tblLook w:val="04A0" w:firstRow="1" w:lastRow="0" w:firstColumn="1" w:lastColumn="0" w:noHBand="0" w:noVBand="1"/>
      </w:tblPr>
      <w:tblGrid>
        <w:gridCol w:w="1419"/>
        <w:gridCol w:w="2427"/>
        <w:gridCol w:w="1440"/>
        <w:gridCol w:w="1094"/>
        <w:gridCol w:w="1559"/>
        <w:gridCol w:w="1701"/>
      </w:tblGrid>
      <w:tr w:rsidR="00BB6F6A" w:rsidRPr="003F037E" w:rsidTr="00FE21F5">
        <w:tc>
          <w:tcPr>
            <w:tcW w:w="3846" w:type="dxa"/>
            <w:gridSpan w:val="2"/>
            <w:shd w:val="clear" w:color="auto" w:fill="BFBFBF" w:themeFill="background1" w:themeFillShade="BF"/>
          </w:tcPr>
          <w:p w:rsidR="00BB6F6A" w:rsidRPr="003F037E" w:rsidRDefault="00BB6F6A" w:rsidP="00BB6F6A">
            <w:pPr>
              <w:jc w:val="center"/>
              <w:rPr>
                <w:rFonts w:ascii="Times New Roman" w:hAnsi="Times New Roman"/>
                <w:sz w:val="20"/>
                <w:szCs w:val="20"/>
              </w:rPr>
            </w:pPr>
            <w:r w:rsidRPr="003F037E">
              <w:rPr>
                <w:rFonts w:ascii="Times New Roman" w:hAnsi="Times New Roman"/>
                <w:sz w:val="20"/>
                <w:szCs w:val="20"/>
                <w:lang w:val="en-US"/>
              </w:rPr>
              <w:t>Citibank</w:t>
            </w:r>
            <w:r w:rsidRPr="003F037E">
              <w:rPr>
                <w:rFonts w:ascii="Times New Roman" w:hAnsi="Times New Roman"/>
                <w:sz w:val="20"/>
                <w:szCs w:val="20"/>
              </w:rPr>
              <w:t xml:space="preserve"> (η τράπεζα αγοραστή κατοικίας)</w:t>
            </w:r>
          </w:p>
        </w:tc>
        <w:tc>
          <w:tcPr>
            <w:tcW w:w="2534" w:type="dxa"/>
            <w:gridSpan w:val="2"/>
            <w:shd w:val="clear" w:color="auto" w:fill="BFBFBF" w:themeFill="background1" w:themeFillShade="BF"/>
          </w:tcPr>
          <w:p w:rsidR="00BB6F6A" w:rsidRPr="003F037E" w:rsidRDefault="00BB6F6A" w:rsidP="00BB6F6A">
            <w:pPr>
              <w:jc w:val="center"/>
              <w:rPr>
                <w:rFonts w:ascii="Times New Roman" w:hAnsi="Times New Roman"/>
                <w:sz w:val="20"/>
                <w:szCs w:val="20"/>
              </w:rPr>
            </w:pPr>
            <w:r w:rsidRPr="003F037E">
              <w:rPr>
                <w:rFonts w:ascii="Times New Roman" w:hAnsi="Times New Roman"/>
                <w:sz w:val="20"/>
                <w:szCs w:val="20"/>
                <w:lang w:val="en-US"/>
              </w:rPr>
              <w:t>HSBC</w:t>
            </w:r>
          </w:p>
        </w:tc>
        <w:tc>
          <w:tcPr>
            <w:tcW w:w="3260" w:type="dxa"/>
            <w:gridSpan w:val="2"/>
            <w:shd w:val="clear" w:color="auto" w:fill="BFBFBF" w:themeFill="background1" w:themeFillShade="BF"/>
          </w:tcPr>
          <w:p w:rsidR="00BB6F6A" w:rsidRPr="003F037E" w:rsidRDefault="00BB6F6A" w:rsidP="00BB6F6A">
            <w:pPr>
              <w:jc w:val="center"/>
              <w:rPr>
                <w:rFonts w:ascii="Times New Roman" w:hAnsi="Times New Roman"/>
                <w:sz w:val="20"/>
                <w:szCs w:val="20"/>
              </w:rPr>
            </w:pPr>
            <w:r w:rsidRPr="003F037E">
              <w:rPr>
                <w:rFonts w:ascii="Times New Roman" w:hAnsi="Times New Roman"/>
                <w:sz w:val="20"/>
                <w:szCs w:val="20"/>
                <w:lang w:val="en-US"/>
              </w:rPr>
              <w:t>Chase</w:t>
            </w:r>
            <w:r w:rsidRPr="003F037E">
              <w:rPr>
                <w:rFonts w:ascii="Times New Roman" w:hAnsi="Times New Roman"/>
                <w:sz w:val="20"/>
                <w:szCs w:val="20"/>
              </w:rPr>
              <w:t xml:space="preserve"> (η τράπεζα πωλητή κατοικίας)</w:t>
            </w:r>
          </w:p>
        </w:tc>
      </w:tr>
      <w:tr w:rsidR="00527BAA" w:rsidRPr="003F037E" w:rsidTr="009B2F63">
        <w:tc>
          <w:tcPr>
            <w:tcW w:w="1419"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Στοιχεία Ενεργητικού</w:t>
            </w:r>
          </w:p>
        </w:tc>
        <w:tc>
          <w:tcPr>
            <w:tcW w:w="2427"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Παθητικό</w:t>
            </w:r>
          </w:p>
        </w:tc>
        <w:tc>
          <w:tcPr>
            <w:tcW w:w="1440"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Στοιχεία Ενεργητικού</w:t>
            </w:r>
          </w:p>
        </w:tc>
        <w:tc>
          <w:tcPr>
            <w:tcW w:w="1094"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Παθητικό</w:t>
            </w:r>
          </w:p>
        </w:tc>
        <w:tc>
          <w:tcPr>
            <w:tcW w:w="1559"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Στοιχεία Ενεργητικού</w:t>
            </w:r>
          </w:p>
        </w:tc>
        <w:tc>
          <w:tcPr>
            <w:tcW w:w="1701" w:type="dxa"/>
          </w:tcPr>
          <w:p w:rsidR="00527BAA" w:rsidRPr="003F037E" w:rsidRDefault="00527BAA" w:rsidP="00FE21F5">
            <w:pPr>
              <w:jc w:val="center"/>
              <w:rPr>
                <w:rFonts w:ascii="Times New Roman" w:hAnsi="Times New Roman"/>
                <w:b/>
                <w:sz w:val="20"/>
                <w:szCs w:val="20"/>
              </w:rPr>
            </w:pPr>
            <w:r w:rsidRPr="003F037E">
              <w:rPr>
                <w:rFonts w:ascii="Times New Roman" w:hAnsi="Times New Roman"/>
                <w:b/>
                <w:sz w:val="20"/>
                <w:szCs w:val="20"/>
              </w:rPr>
              <w:t>Παθητικό</w:t>
            </w:r>
          </w:p>
        </w:tc>
      </w:tr>
      <w:tr w:rsidR="009B2F63" w:rsidRPr="003F037E" w:rsidTr="009B2F63">
        <w:tc>
          <w:tcPr>
            <w:tcW w:w="1419"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 υποθήκη</w:t>
            </w:r>
          </w:p>
          <w:p w:rsidR="009B2F63" w:rsidRPr="003F037E" w:rsidRDefault="009B2F63" w:rsidP="00134D65">
            <w:pPr>
              <w:rPr>
                <w:rFonts w:ascii="Times New Roman" w:hAnsi="Times New Roman"/>
                <w:sz w:val="20"/>
                <w:szCs w:val="20"/>
              </w:rPr>
            </w:pPr>
          </w:p>
        </w:tc>
        <w:tc>
          <w:tcPr>
            <w:tcW w:w="2427"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+καταθέσεις (αγοραστής)</w:t>
            </w:r>
          </w:p>
          <w:p w:rsidR="009B2F63" w:rsidRPr="003F037E" w:rsidRDefault="009B2F63" w:rsidP="00134D65">
            <w:pPr>
              <w:rPr>
                <w:rFonts w:ascii="Times New Roman" w:hAnsi="Times New Roman"/>
                <w:sz w:val="20"/>
                <w:szCs w:val="20"/>
              </w:rPr>
            </w:pPr>
          </w:p>
        </w:tc>
        <w:tc>
          <w:tcPr>
            <w:tcW w:w="1440" w:type="dxa"/>
          </w:tcPr>
          <w:p w:rsidR="009B2F63" w:rsidRPr="003F037E" w:rsidRDefault="009B2F63" w:rsidP="00134D65">
            <w:pPr>
              <w:rPr>
                <w:rFonts w:ascii="Times New Roman" w:hAnsi="Times New Roman"/>
                <w:sz w:val="20"/>
                <w:szCs w:val="20"/>
              </w:rPr>
            </w:pPr>
          </w:p>
        </w:tc>
        <w:tc>
          <w:tcPr>
            <w:tcW w:w="1094" w:type="dxa"/>
          </w:tcPr>
          <w:p w:rsidR="009B2F63" w:rsidRPr="003F037E" w:rsidRDefault="009B2F63" w:rsidP="00134D65">
            <w:pPr>
              <w:rPr>
                <w:rFonts w:ascii="Times New Roman" w:hAnsi="Times New Roman"/>
                <w:sz w:val="20"/>
                <w:szCs w:val="20"/>
              </w:rPr>
            </w:pPr>
          </w:p>
        </w:tc>
        <w:tc>
          <w:tcPr>
            <w:tcW w:w="1559" w:type="dxa"/>
          </w:tcPr>
          <w:p w:rsidR="009B2F63" w:rsidRPr="003F037E" w:rsidRDefault="009B2F63" w:rsidP="00134D65">
            <w:pPr>
              <w:rPr>
                <w:rFonts w:ascii="Times New Roman" w:hAnsi="Times New Roman"/>
                <w:sz w:val="20"/>
                <w:szCs w:val="20"/>
              </w:rPr>
            </w:pPr>
          </w:p>
        </w:tc>
        <w:tc>
          <w:tcPr>
            <w:tcW w:w="1701" w:type="dxa"/>
          </w:tcPr>
          <w:p w:rsidR="009B2F63" w:rsidRPr="003F037E" w:rsidRDefault="009B2F63" w:rsidP="00134D65">
            <w:pPr>
              <w:rPr>
                <w:rFonts w:ascii="Times New Roman" w:hAnsi="Times New Roman"/>
                <w:sz w:val="20"/>
                <w:szCs w:val="20"/>
              </w:rPr>
            </w:pPr>
          </w:p>
        </w:tc>
      </w:tr>
      <w:tr w:rsidR="009B2F63" w:rsidRPr="003F037E" w:rsidTr="009B2F63">
        <w:tc>
          <w:tcPr>
            <w:tcW w:w="1419"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 xml:space="preserve">+διαθέσιμα </w:t>
            </w:r>
          </w:p>
          <w:p w:rsidR="009B2F63" w:rsidRPr="003F037E" w:rsidRDefault="009B2F63" w:rsidP="00134D65">
            <w:pPr>
              <w:rPr>
                <w:rFonts w:ascii="Times New Roman" w:hAnsi="Times New Roman"/>
                <w:sz w:val="20"/>
                <w:szCs w:val="20"/>
              </w:rPr>
            </w:pPr>
          </w:p>
        </w:tc>
        <w:tc>
          <w:tcPr>
            <w:tcW w:w="2427"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+δάνεια με διαθέσιμα ΚΤ</w:t>
            </w:r>
          </w:p>
          <w:p w:rsidR="009B2F63" w:rsidRPr="003F037E" w:rsidRDefault="009B2F63" w:rsidP="00134D65">
            <w:pPr>
              <w:rPr>
                <w:rFonts w:ascii="Times New Roman" w:hAnsi="Times New Roman"/>
                <w:sz w:val="20"/>
                <w:szCs w:val="20"/>
              </w:rPr>
            </w:pPr>
          </w:p>
        </w:tc>
        <w:tc>
          <w:tcPr>
            <w:tcW w:w="1440"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-διαθέσιμα</w:t>
            </w:r>
          </w:p>
          <w:p w:rsidR="009B2F63" w:rsidRPr="003F037E" w:rsidRDefault="00BB6F6A" w:rsidP="00134D65">
            <w:pPr>
              <w:rPr>
                <w:rFonts w:ascii="Times New Roman" w:hAnsi="Times New Roman"/>
                <w:sz w:val="20"/>
                <w:szCs w:val="20"/>
              </w:rPr>
            </w:pPr>
            <w:r w:rsidRPr="003F037E">
              <w:rPr>
                <w:rFonts w:ascii="Times New Roman" w:hAnsi="Times New Roman"/>
                <w:sz w:val="20"/>
                <w:szCs w:val="20"/>
              </w:rPr>
              <w:t>+δάνεια με διαθέσιμα ΚΤ</w:t>
            </w:r>
          </w:p>
        </w:tc>
        <w:tc>
          <w:tcPr>
            <w:tcW w:w="1094" w:type="dxa"/>
          </w:tcPr>
          <w:p w:rsidR="009B2F63" w:rsidRPr="003F037E" w:rsidRDefault="009B2F63" w:rsidP="00134D65">
            <w:pPr>
              <w:rPr>
                <w:rFonts w:ascii="Times New Roman" w:hAnsi="Times New Roman"/>
                <w:sz w:val="20"/>
                <w:szCs w:val="20"/>
              </w:rPr>
            </w:pPr>
          </w:p>
        </w:tc>
        <w:tc>
          <w:tcPr>
            <w:tcW w:w="1559" w:type="dxa"/>
          </w:tcPr>
          <w:p w:rsidR="009B2F63" w:rsidRPr="003F037E" w:rsidRDefault="009B2F63" w:rsidP="00134D65">
            <w:pPr>
              <w:rPr>
                <w:rFonts w:ascii="Times New Roman" w:hAnsi="Times New Roman"/>
                <w:sz w:val="20"/>
                <w:szCs w:val="20"/>
              </w:rPr>
            </w:pPr>
          </w:p>
        </w:tc>
        <w:tc>
          <w:tcPr>
            <w:tcW w:w="1701" w:type="dxa"/>
          </w:tcPr>
          <w:p w:rsidR="009B2F63" w:rsidRPr="003F037E" w:rsidRDefault="009B2F63" w:rsidP="00134D65">
            <w:pPr>
              <w:rPr>
                <w:rFonts w:ascii="Times New Roman" w:hAnsi="Times New Roman"/>
                <w:sz w:val="20"/>
                <w:szCs w:val="20"/>
              </w:rPr>
            </w:pPr>
          </w:p>
        </w:tc>
      </w:tr>
      <w:tr w:rsidR="009B2F63" w:rsidRPr="003F037E" w:rsidTr="009B2F63">
        <w:tc>
          <w:tcPr>
            <w:tcW w:w="1419" w:type="dxa"/>
          </w:tcPr>
          <w:p w:rsidR="009B2F63" w:rsidRPr="003F037E" w:rsidRDefault="00BB6F6A" w:rsidP="00134D65">
            <w:pPr>
              <w:rPr>
                <w:rFonts w:ascii="Times New Roman" w:hAnsi="Times New Roman"/>
                <w:sz w:val="20"/>
                <w:szCs w:val="20"/>
              </w:rPr>
            </w:pPr>
            <w:r w:rsidRPr="003F037E">
              <w:rPr>
                <w:rFonts w:ascii="Times New Roman" w:hAnsi="Times New Roman"/>
                <w:sz w:val="20"/>
                <w:szCs w:val="20"/>
              </w:rPr>
              <w:t>-διαθέσιμα</w:t>
            </w:r>
          </w:p>
        </w:tc>
        <w:tc>
          <w:tcPr>
            <w:tcW w:w="2427" w:type="dxa"/>
          </w:tcPr>
          <w:p w:rsidR="009B2F63" w:rsidRPr="003F037E" w:rsidRDefault="00BB6F6A" w:rsidP="00134D65">
            <w:pPr>
              <w:rPr>
                <w:rFonts w:ascii="Times New Roman" w:hAnsi="Times New Roman"/>
                <w:sz w:val="20"/>
                <w:szCs w:val="20"/>
              </w:rPr>
            </w:pPr>
            <w:r w:rsidRPr="003F037E">
              <w:rPr>
                <w:rFonts w:ascii="Times New Roman" w:hAnsi="Times New Roman"/>
                <w:sz w:val="20"/>
                <w:szCs w:val="20"/>
              </w:rPr>
              <w:t>-κατάθεση (εγώ)</w:t>
            </w:r>
          </w:p>
        </w:tc>
        <w:tc>
          <w:tcPr>
            <w:tcW w:w="1440" w:type="dxa"/>
          </w:tcPr>
          <w:p w:rsidR="009B2F63" w:rsidRPr="003F037E" w:rsidRDefault="009B2F63" w:rsidP="00134D65">
            <w:pPr>
              <w:rPr>
                <w:rFonts w:ascii="Times New Roman" w:hAnsi="Times New Roman"/>
                <w:sz w:val="20"/>
                <w:szCs w:val="20"/>
              </w:rPr>
            </w:pPr>
          </w:p>
        </w:tc>
        <w:tc>
          <w:tcPr>
            <w:tcW w:w="1094" w:type="dxa"/>
          </w:tcPr>
          <w:p w:rsidR="009B2F63" w:rsidRPr="003F037E" w:rsidRDefault="009B2F63" w:rsidP="00134D65">
            <w:pPr>
              <w:rPr>
                <w:rFonts w:ascii="Times New Roman" w:hAnsi="Times New Roman"/>
                <w:sz w:val="20"/>
                <w:szCs w:val="20"/>
              </w:rPr>
            </w:pPr>
          </w:p>
        </w:tc>
        <w:tc>
          <w:tcPr>
            <w:tcW w:w="1559"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 xml:space="preserve">+διαθέσιμα </w:t>
            </w:r>
          </w:p>
          <w:p w:rsidR="009B2F63" w:rsidRPr="003F037E" w:rsidRDefault="009B2F63" w:rsidP="00134D65">
            <w:pPr>
              <w:rPr>
                <w:rFonts w:ascii="Times New Roman" w:hAnsi="Times New Roman"/>
                <w:sz w:val="20"/>
                <w:szCs w:val="20"/>
              </w:rPr>
            </w:pPr>
          </w:p>
        </w:tc>
        <w:tc>
          <w:tcPr>
            <w:tcW w:w="1701" w:type="dxa"/>
          </w:tcPr>
          <w:p w:rsidR="009B2F63" w:rsidRPr="003F037E" w:rsidRDefault="00BB6F6A" w:rsidP="00134D65">
            <w:pPr>
              <w:rPr>
                <w:rFonts w:ascii="Times New Roman" w:hAnsi="Times New Roman"/>
                <w:sz w:val="20"/>
                <w:szCs w:val="20"/>
              </w:rPr>
            </w:pPr>
            <w:r w:rsidRPr="003F037E">
              <w:rPr>
                <w:rFonts w:ascii="Times New Roman" w:hAnsi="Times New Roman"/>
                <w:sz w:val="20"/>
                <w:szCs w:val="20"/>
              </w:rPr>
              <w:t>+κατάθεση (πωλητή)</w:t>
            </w:r>
          </w:p>
        </w:tc>
      </w:tr>
      <w:tr w:rsidR="00BB6F6A" w:rsidRPr="003F037E" w:rsidTr="009B2F63">
        <w:tc>
          <w:tcPr>
            <w:tcW w:w="1419" w:type="dxa"/>
          </w:tcPr>
          <w:p w:rsidR="00BB6F6A" w:rsidRPr="003F037E" w:rsidRDefault="00BB6F6A" w:rsidP="00134D65">
            <w:pPr>
              <w:rPr>
                <w:rFonts w:ascii="Times New Roman" w:hAnsi="Times New Roman"/>
                <w:sz w:val="20"/>
                <w:szCs w:val="20"/>
              </w:rPr>
            </w:pPr>
          </w:p>
        </w:tc>
        <w:tc>
          <w:tcPr>
            <w:tcW w:w="2427" w:type="dxa"/>
          </w:tcPr>
          <w:p w:rsidR="00BB6F6A" w:rsidRPr="003F037E" w:rsidRDefault="00BB6F6A" w:rsidP="00134D65">
            <w:pPr>
              <w:rPr>
                <w:rFonts w:ascii="Times New Roman" w:hAnsi="Times New Roman"/>
                <w:sz w:val="20"/>
                <w:szCs w:val="20"/>
              </w:rPr>
            </w:pPr>
          </w:p>
        </w:tc>
        <w:tc>
          <w:tcPr>
            <w:tcW w:w="1440"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+διαθέσιμα</w:t>
            </w:r>
          </w:p>
        </w:tc>
        <w:tc>
          <w:tcPr>
            <w:tcW w:w="1094"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+δάνεια με διαθέσιμα ΚΤ</w:t>
            </w:r>
          </w:p>
          <w:p w:rsidR="00BB6F6A" w:rsidRPr="003F037E" w:rsidRDefault="00BB6F6A" w:rsidP="00134D65">
            <w:pPr>
              <w:rPr>
                <w:rFonts w:ascii="Times New Roman" w:hAnsi="Times New Roman"/>
                <w:sz w:val="20"/>
                <w:szCs w:val="20"/>
              </w:rPr>
            </w:pPr>
          </w:p>
        </w:tc>
        <w:tc>
          <w:tcPr>
            <w:tcW w:w="1559" w:type="dxa"/>
          </w:tcPr>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-διαθέσιμα</w:t>
            </w:r>
          </w:p>
          <w:p w:rsidR="00BB6F6A" w:rsidRPr="003F037E" w:rsidRDefault="00BB6F6A" w:rsidP="00134D65">
            <w:pPr>
              <w:rPr>
                <w:rFonts w:ascii="Times New Roman" w:hAnsi="Times New Roman"/>
                <w:sz w:val="20"/>
                <w:szCs w:val="20"/>
              </w:rPr>
            </w:pPr>
            <w:r w:rsidRPr="003F037E">
              <w:rPr>
                <w:rFonts w:ascii="Times New Roman" w:hAnsi="Times New Roman"/>
                <w:sz w:val="20"/>
                <w:szCs w:val="20"/>
              </w:rPr>
              <w:t>+δάνεια με διαθέσιμα ΚΤ</w:t>
            </w:r>
          </w:p>
          <w:p w:rsidR="00BB6F6A" w:rsidRPr="003F037E" w:rsidRDefault="00BB6F6A" w:rsidP="00134D65">
            <w:pPr>
              <w:rPr>
                <w:rFonts w:ascii="Times New Roman" w:hAnsi="Times New Roman"/>
                <w:sz w:val="20"/>
                <w:szCs w:val="20"/>
              </w:rPr>
            </w:pPr>
          </w:p>
        </w:tc>
        <w:tc>
          <w:tcPr>
            <w:tcW w:w="1701" w:type="dxa"/>
          </w:tcPr>
          <w:p w:rsidR="00BB6F6A" w:rsidRPr="003F037E" w:rsidRDefault="00BB6F6A" w:rsidP="00134D65">
            <w:pPr>
              <w:rPr>
                <w:rFonts w:ascii="Times New Roman" w:hAnsi="Times New Roman"/>
                <w:sz w:val="20"/>
                <w:szCs w:val="20"/>
              </w:rPr>
            </w:pPr>
          </w:p>
        </w:tc>
      </w:tr>
    </w:tbl>
    <w:p w:rsidR="00527BAA" w:rsidRDefault="00527BAA" w:rsidP="00527BAA">
      <w:pPr>
        <w:jc w:val="both"/>
      </w:pPr>
    </w:p>
    <w:p w:rsidR="00527BAA" w:rsidRPr="00BB4346" w:rsidRDefault="00527BAA" w:rsidP="009A445B">
      <w:pPr>
        <w:spacing w:line="360" w:lineRule="auto"/>
        <w:ind w:firstLine="720"/>
        <w:jc w:val="both"/>
      </w:pPr>
      <w:r>
        <w:t>Αφού έχουν γίνει όλα αυτά, η</w:t>
      </w:r>
      <w:r w:rsidRPr="00D5477A">
        <w:t xml:space="preserve"> </w:t>
      </w:r>
      <w:r>
        <w:rPr>
          <w:lang w:val="en-US"/>
        </w:rPr>
        <w:t>Citibank</w:t>
      </w:r>
      <w:r>
        <w:t xml:space="preserve"> έχει ένα περιουσιακό στοιχείο ενεργητικού με τη μορφή δανείου με υποθήκη το οποίο χρηματοδοτείται από χρήμα της διάρκειας της νύχτας. Σημειώστε επίσης ότι η </w:t>
      </w:r>
      <w:r>
        <w:rPr>
          <w:lang w:val="en-US"/>
        </w:rPr>
        <w:t>Chase</w:t>
      </w:r>
      <w:r>
        <w:t xml:space="preserve"> τώρα έχει μια ευρεία θέση διαθεσίμων η οποία δεν αποφέρει τόκο, άρα έχει επίσης να κάνει  λίγη παραπάνω δουλειά. Ίσως θα πουλήσει στην</w:t>
      </w:r>
      <w:r w:rsidRPr="00353A78">
        <w:t xml:space="preserve"> </w:t>
      </w:r>
      <w:r>
        <w:t xml:space="preserve">αγορά </w:t>
      </w:r>
      <w:r w:rsidR="00FE21F5">
        <w:t>δ</w:t>
      </w:r>
      <w:r>
        <w:t xml:space="preserve">ιαθεσίμων της κεντρικής τράπεζας, ίσως στην </w:t>
      </w:r>
      <w:r>
        <w:rPr>
          <w:lang w:val="en-US"/>
        </w:rPr>
        <w:t>HSBC</w:t>
      </w:r>
      <w:r>
        <w:t xml:space="preserve">; Εάν ναι, τότε η έσχατη πηγή χρηματοδότησης μέσω διαθεσίμων με την οποία η </w:t>
      </w:r>
      <w:r>
        <w:rPr>
          <w:lang w:val="en-US"/>
        </w:rPr>
        <w:t>Citibank</w:t>
      </w:r>
      <w:r>
        <w:t xml:space="preserve"> συνήθιζε να πληρώνει την </w:t>
      </w:r>
      <w:r>
        <w:rPr>
          <w:lang w:val="en-US"/>
        </w:rPr>
        <w:t>Chase</w:t>
      </w:r>
      <w:r>
        <w:t xml:space="preserve"> είναι από την ίδια την </w:t>
      </w:r>
      <w:r>
        <w:rPr>
          <w:lang w:val="en-US"/>
        </w:rPr>
        <w:t>Chase</w:t>
      </w:r>
      <w:r w:rsidR="009A445B">
        <w:t>! Δείχνουμε</w:t>
      </w:r>
      <w:r>
        <w:t xml:space="preserve"> αυτή την πιθανότητα στην τέταρτη γραμμή. Σημειώστε </w:t>
      </w:r>
      <w:r w:rsidR="00FE21F5">
        <w:t xml:space="preserve">τώρα </w:t>
      </w:r>
      <w:r>
        <w:t xml:space="preserve">ότι η </w:t>
      </w:r>
      <w:r>
        <w:rPr>
          <w:lang w:val="en-US"/>
        </w:rPr>
        <w:t>HSBC</w:t>
      </w:r>
      <w:r>
        <w:t xml:space="preserve"> επέστρεψε τώρα πίσω στο μηδέν στη θέση διαθεσίμων</w:t>
      </w:r>
      <w:r w:rsidR="00FE21F5">
        <w:t xml:space="preserve"> της στην κεντρική τράπεζα. Μπορούμε λοιπόν να πούμε ότι η</w:t>
      </w:r>
      <w:r>
        <w:t xml:space="preserve"> </w:t>
      </w:r>
      <w:r>
        <w:rPr>
          <w:lang w:val="en-US"/>
        </w:rPr>
        <w:t>HSBC</w:t>
      </w:r>
      <w:r>
        <w:t xml:space="preserve"> έχει ενεργήσει στην πραγματικότητα ως ενδιάμεσος για το διατραπεζικό δανεισμό ανάμεσα στη</w:t>
      </w:r>
      <w:r w:rsidRPr="009E671B">
        <w:t xml:space="preserve"> </w:t>
      </w:r>
      <w:r>
        <w:rPr>
          <w:lang w:val="en-US"/>
        </w:rPr>
        <w:t>Citibank</w:t>
      </w:r>
      <w:r>
        <w:t xml:space="preserve"> και την</w:t>
      </w:r>
      <w:r w:rsidRPr="009E671B">
        <w:t xml:space="preserve"> </w:t>
      </w:r>
      <w:r>
        <w:rPr>
          <w:lang w:val="en-US"/>
        </w:rPr>
        <w:t>Chase</w:t>
      </w:r>
      <w:r>
        <w:t>. Στ’ αλήθεια η</w:t>
      </w:r>
      <w:r w:rsidRPr="009E671B">
        <w:t xml:space="preserve"> </w:t>
      </w:r>
      <w:r>
        <w:rPr>
          <w:lang w:val="en-US"/>
        </w:rPr>
        <w:t>HSBC</w:t>
      </w:r>
      <w:r>
        <w:t xml:space="preserve"> έχει ενεργήσει ως </w:t>
      </w:r>
      <w:r w:rsidR="009A445B" w:rsidRPr="009A445B">
        <w:rPr>
          <w:i/>
          <w:lang w:val="en-US"/>
        </w:rPr>
        <w:t>dealer</w:t>
      </w:r>
      <w:r>
        <w:t xml:space="preserve"> </w:t>
      </w:r>
      <w:r w:rsidR="00FE21F5">
        <w:t xml:space="preserve">χονδρικής </w:t>
      </w:r>
      <w:r>
        <w:t xml:space="preserve">στην αγορά χρήματος. </w:t>
      </w:r>
    </w:p>
    <w:p w:rsidR="00FE21F5" w:rsidRDefault="00FE21F5" w:rsidP="00802C1C">
      <w:pPr>
        <w:spacing w:line="360" w:lineRule="auto"/>
        <w:jc w:val="both"/>
        <w:rPr>
          <w:b/>
        </w:rPr>
      </w:pPr>
    </w:p>
    <w:p w:rsidR="00527BAA" w:rsidRPr="009A445B" w:rsidRDefault="00FE21F5" w:rsidP="00802C1C">
      <w:pPr>
        <w:spacing w:line="360" w:lineRule="auto"/>
        <w:jc w:val="both"/>
        <w:rPr>
          <w:u w:val="single"/>
        </w:rPr>
      </w:pPr>
      <w:r w:rsidRPr="009A445B">
        <w:rPr>
          <w:b/>
          <w:u w:val="single"/>
        </w:rPr>
        <w:t xml:space="preserve">Χρηματιστές </w:t>
      </w:r>
      <w:r w:rsidR="00527BAA" w:rsidRPr="009A445B">
        <w:rPr>
          <w:b/>
          <w:u w:val="single"/>
        </w:rPr>
        <w:t>έναντι</w:t>
      </w:r>
      <w:r w:rsidRPr="009A445B">
        <w:rPr>
          <w:b/>
          <w:u w:val="single"/>
        </w:rPr>
        <w:t xml:space="preserve"> διαπραγματευτών χρήματος (</w:t>
      </w:r>
      <w:r w:rsidRPr="009A445B">
        <w:rPr>
          <w:b/>
          <w:u w:val="single"/>
          <w:lang w:val="en-US"/>
        </w:rPr>
        <w:t>Brokers</w:t>
      </w:r>
      <w:r w:rsidRPr="009A445B">
        <w:rPr>
          <w:b/>
          <w:u w:val="single"/>
        </w:rPr>
        <w:t xml:space="preserve"> </w:t>
      </w:r>
      <w:r w:rsidRPr="009A445B">
        <w:rPr>
          <w:b/>
          <w:u w:val="single"/>
          <w:lang w:val="en-US"/>
        </w:rPr>
        <w:t>vs</w:t>
      </w:r>
      <w:r w:rsidRPr="009A445B">
        <w:rPr>
          <w:b/>
          <w:u w:val="single"/>
        </w:rPr>
        <w:t xml:space="preserve"> </w:t>
      </w:r>
      <w:r w:rsidRPr="009A445B">
        <w:rPr>
          <w:b/>
          <w:u w:val="single"/>
          <w:lang w:val="en-US"/>
        </w:rPr>
        <w:t>Dealers</w:t>
      </w:r>
      <w:r w:rsidRPr="009A445B">
        <w:rPr>
          <w:b/>
          <w:u w:val="single"/>
        </w:rPr>
        <w:t>)</w:t>
      </w:r>
    </w:p>
    <w:p w:rsidR="009A445B" w:rsidRPr="009A445B" w:rsidRDefault="00527BAA" w:rsidP="009A445B">
      <w:pPr>
        <w:spacing w:line="360" w:lineRule="auto"/>
        <w:ind w:firstLine="720"/>
        <w:jc w:val="both"/>
      </w:pPr>
      <w:r>
        <w:lastRenderedPageBreak/>
        <w:t xml:space="preserve">Κάποιες από τις συναλλαγές </w:t>
      </w:r>
      <w:r w:rsidR="00FE21F5">
        <w:t>δ</w:t>
      </w:r>
      <w:r>
        <w:t>ιαθεσίμων της κεν</w:t>
      </w:r>
      <w:r w:rsidR="00FE21F5">
        <w:t xml:space="preserve">τρικής τράπεζας είναι άμεσες- η Τράπεζα Α καλεί </w:t>
      </w:r>
      <w:r>
        <w:t>τη</w:t>
      </w:r>
      <w:r w:rsidR="00FE21F5">
        <w:t>ν</w:t>
      </w:r>
      <w:r>
        <w:t xml:space="preserve"> Τράπεζα Β- αλλά ένα σημαντικό πλήθος διακινούν</w:t>
      </w:r>
      <w:r w:rsidR="00FE21F5">
        <w:t>ται με διαμεσολάβηση. Στην πραγματικότητα</w:t>
      </w:r>
      <w:r>
        <w:t xml:space="preserve">, </w:t>
      </w:r>
      <w:r w:rsidR="00E76380">
        <w:t xml:space="preserve">ο καθορισμός του </w:t>
      </w:r>
      <w:r>
        <w:t xml:space="preserve">επιτοκίου των </w:t>
      </w:r>
      <w:r w:rsidR="00E76380">
        <w:t>διαθεσίμων</w:t>
      </w:r>
      <w:r>
        <w:t xml:space="preserve"> λαμβάνει χώρα στους </w:t>
      </w:r>
      <w:r w:rsidR="00E76380">
        <w:t>χρηματιστές και στους διαπραγματευτές και η διάκριση μεταξύ τους</w:t>
      </w:r>
      <w:r>
        <w:t xml:space="preserve"> είναι σημαντική.</w:t>
      </w:r>
    </w:p>
    <w:p w:rsidR="009A445B" w:rsidRPr="009A445B" w:rsidRDefault="00527BAA" w:rsidP="009A445B">
      <w:pPr>
        <w:spacing w:line="360" w:lineRule="auto"/>
        <w:ind w:firstLine="720"/>
        <w:jc w:val="both"/>
      </w:pPr>
      <w:r>
        <w:t xml:space="preserve">Ένας </w:t>
      </w:r>
      <w:r w:rsidR="00E76380">
        <w:t>χρηματομεσίτης ή χρηματιστής (</w:t>
      </w:r>
      <w:r w:rsidR="00E76380">
        <w:rPr>
          <w:lang w:val="en-US"/>
        </w:rPr>
        <w:t>broker</w:t>
      </w:r>
      <w:r w:rsidR="00E76380" w:rsidRPr="00E76380">
        <w:t xml:space="preserve">) </w:t>
      </w:r>
      <w:r>
        <w:t xml:space="preserve">απλά φέρνει σε επαφή δυνητικούς αγοραστές και πωλητές από τη λίστα του, </w:t>
      </w:r>
      <w:r w:rsidR="00E76380">
        <w:t>όπως</w:t>
      </w:r>
      <w:r>
        <w:t xml:space="preserve"> οι μεσίτες</w:t>
      </w:r>
      <w:r w:rsidR="00E76380">
        <w:t xml:space="preserve"> ακινήτων</w:t>
      </w:r>
      <w:r>
        <w:t xml:space="preserve"> καταρτίζουν τις λίστες και τα πελ</w:t>
      </w:r>
      <w:r w:rsidR="00E76380">
        <w:t xml:space="preserve">ατολόγια τους. Οι </w:t>
      </w:r>
      <w:r w:rsidR="00E76380" w:rsidRPr="00E76380">
        <w:t>“</w:t>
      </w:r>
      <w:r w:rsidR="00E76380">
        <w:rPr>
          <w:lang w:val="en-US"/>
        </w:rPr>
        <w:t>brokers</w:t>
      </w:r>
      <w:r w:rsidR="00E76380" w:rsidRPr="00E76380">
        <w:t>”</w:t>
      </w:r>
      <w:r>
        <w:t xml:space="preserve"> κρατούν λίστες από τις τιμές που έχουν προτείνει δυνητικοί αγοραστές, και έχουν προσφέρει δυνητικοί πωλητές, και ψάχνουν για ταιριάσματα</w:t>
      </w:r>
      <w:r w:rsidR="00E76380">
        <w:t xml:space="preserve"> (</w:t>
      </w:r>
      <w:r w:rsidR="00E76380">
        <w:rPr>
          <w:lang w:val="en-US"/>
        </w:rPr>
        <w:t>matching</w:t>
      </w:r>
      <w:r w:rsidR="00E76380">
        <w:t>)</w:t>
      </w:r>
      <w:r>
        <w:t>.</w:t>
      </w:r>
    </w:p>
    <w:p w:rsidR="00527BAA" w:rsidRDefault="00527BAA" w:rsidP="009A445B">
      <w:pPr>
        <w:spacing w:line="360" w:lineRule="auto"/>
        <w:ind w:firstLine="720"/>
        <w:jc w:val="both"/>
      </w:pPr>
      <w:r>
        <w:t xml:space="preserve">Οι </w:t>
      </w:r>
      <w:r w:rsidR="00E76380">
        <w:t xml:space="preserve">διαπραγματευτές </w:t>
      </w:r>
      <w:r w:rsidR="009A445B">
        <w:t xml:space="preserve">τίτλων ή </w:t>
      </w:r>
      <w:r w:rsidR="009A445B" w:rsidRPr="009A445B">
        <w:t xml:space="preserve">χρήματος </w:t>
      </w:r>
      <w:r w:rsidR="00E76380" w:rsidRPr="009A445B">
        <w:t>(</w:t>
      </w:r>
      <w:r w:rsidR="00E76380" w:rsidRPr="009A445B">
        <w:rPr>
          <w:lang w:val="en-US"/>
        </w:rPr>
        <w:t>dealers</w:t>
      </w:r>
      <w:r w:rsidR="00E76380" w:rsidRPr="009A445B">
        <w:t>)</w:t>
      </w:r>
      <w:r w:rsidRPr="009A445B">
        <w:t>,</w:t>
      </w:r>
      <w:r>
        <w:t xml:space="preserve"> σε αντίθεση, λαμβάνουν θέσεις οι ίδιοι.</w:t>
      </w:r>
      <w:r w:rsidR="00E76380">
        <w:t xml:space="preserve"> Πρόκειται για χρηματιστές που διενεργούν πράξεις για ίδιο λογαριασμό και αποκομίζουν κέρδος από την διαφορά μεταξύ τιμής αγορά</w:t>
      </w:r>
      <w:r w:rsidR="009A445B">
        <w:t>ς</w:t>
      </w:r>
      <w:r w:rsidR="00E76380">
        <w:t xml:space="preserve"> και τιμής πώλησης.</w:t>
      </w:r>
      <w:r>
        <w:t xml:space="preserve"> Τι κάνουν αυτοί; Αγοράζουν διαθέσιμα σε χαμηλή τιμή και τα πωλούν σε υψηλή τιμή. Αυτό ορισμένες φορές επιφέρει γεφύρωση δ</w:t>
      </w:r>
      <w:r w:rsidR="009A445B">
        <w:t>ιαφορετικών τμημάτων της αγοράς για παράδειγμα</w:t>
      </w:r>
      <w:r>
        <w:t xml:space="preserve"> </w:t>
      </w:r>
      <w:r w:rsidR="009A445B">
        <w:t xml:space="preserve">μιας </w:t>
      </w:r>
      <w:r>
        <w:t xml:space="preserve">μικρής έναντι </w:t>
      </w:r>
      <w:r w:rsidR="00E76380">
        <w:t>μεγάλης διευθέτησης κατά σειρά, εγχώρι</w:t>
      </w:r>
      <w:r w:rsidR="009A445B">
        <w:t>ας έναντι παράκτιας διευθέτησης.</w:t>
      </w:r>
      <w:r w:rsidR="00E76380">
        <w:t xml:space="preserve"> </w:t>
      </w:r>
      <w:r w:rsidR="009A445B">
        <w:t>Κ</w:t>
      </w:r>
      <w:r>
        <w:t xml:space="preserve">αι </w:t>
      </w:r>
      <w:r w:rsidR="009A445B">
        <w:t>άλλες</w:t>
      </w:r>
      <w:r>
        <w:t xml:space="preserve"> φορές επιφ</w:t>
      </w:r>
      <w:r w:rsidR="009A445B">
        <w:t>έρει γεφύρωση ανάμεσα στο χρόνο για παράδειγμα</w:t>
      </w:r>
      <w:r>
        <w:t xml:space="preserve"> θέσεις κα</w:t>
      </w:r>
      <w:r w:rsidR="009A445B">
        <w:t>τά τη διάρκεια της ίδιας ημέρας και</w:t>
      </w:r>
      <w:r>
        <w:t xml:space="preserve"> θέσεις διασταυρούμενες μεταξύ ημερών. Από μια οπτική, οι </w:t>
      </w:r>
      <w:r w:rsidR="00E76380">
        <w:rPr>
          <w:lang w:val="en-US"/>
        </w:rPr>
        <w:t>dealers</w:t>
      </w:r>
      <w:r>
        <w:t xml:space="preserve"> πραγματοπο</w:t>
      </w:r>
      <w:r w:rsidR="009A445B">
        <w:t xml:space="preserve">ιούν κερδοσκοπική αγοραπωλησία </w:t>
      </w:r>
      <w:r>
        <w:t xml:space="preserve">μαζεύοντας </w:t>
      </w:r>
      <w:r w:rsidR="00E76380">
        <w:t>χρήμα και</w:t>
      </w:r>
      <w:r>
        <w:t xml:space="preserve"> δημιουργώντας μια ενιαία τιμή. Από μια άλλη οπτική, είναι </w:t>
      </w:r>
      <w:r w:rsidRPr="009A445B">
        <w:rPr>
          <w:i/>
        </w:rPr>
        <w:t>διαμορφωτές αγοράς</w:t>
      </w:r>
      <w:r w:rsidR="00E76380" w:rsidRPr="009A445B">
        <w:rPr>
          <w:i/>
        </w:rPr>
        <w:t xml:space="preserve"> (</w:t>
      </w:r>
      <w:r w:rsidR="00E76380" w:rsidRPr="009A445B">
        <w:rPr>
          <w:i/>
          <w:lang w:val="en-US"/>
        </w:rPr>
        <w:t>market</w:t>
      </w:r>
      <w:r w:rsidR="00E76380" w:rsidRPr="009A445B">
        <w:rPr>
          <w:i/>
        </w:rPr>
        <w:t xml:space="preserve"> </w:t>
      </w:r>
      <w:r w:rsidR="00E76380" w:rsidRPr="009A445B">
        <w:rPr>
          <w:i/>
          <w:lang w:val="en-US"/>
        </w:rPr>
        <w:t>makers</w:t>
      </w:r>
      <w:r w:rsidR="00E76380" w:rsidRPr="009A445B">
        <w:rPr>
          <w:i/>
        </w:rPr>
        <w:t>)</w:t>
      </w:r>
      <w:r w:rsidRPr="009A445B">
        <w:rPr>
          <w:i/>
        </w:rPr>
        <w:t>,</w:t>
      </w:r>
      <w:r>
        <w:t xml:space="preserve"> και αυτή είναι μια μεγάλη διαφορά από τους </w:t>
      </w:r>
      <w:r w:rsidR="00E76380">
        <w:t>χρηματιστές (</w:t>
      </w:r>
      <w:r w:rsidR="00E76380">
        <w:rPr>
          <w:lang w:val="en-US"/>
        </w:rPr>
        <w:t>brokers</w:t>
      </w:r>
      <w:r w:rsidR="00E76380">
        <w:t>)</w:t>
      </w:r>
      <w:r>
        <w:t>. Αυτή την τελευταία διάσταση θα την αναπτύξουμε</w:t>
      </w:r>
      <w:r w:rsidR="00E76380" w:rsidRPr="00E76380">
        <w:t xml:space="preserve"> </w:t>
      </w:r>
      <w:r w:rsidR="0099648F">
        <w:t xml:space="preserve">την </w:t>
      </w:r>
      <w:r w:rsidR="00E76380">
        <w:t>ενότητα των  οικονομικών των διαπραγματευτών</w:t>
      </w:r>
      <w:r w:rsidR="0099648F">
        <w:t xml:space="preserve"> λίγο παρακάτω στο παρόν κεφάλαιο</w:t>
      </w:r>
      <w:r>
        <w:t xml:space="preserve">. </w:t>
      </w:r>
      <w:r w:rsidR="0099648F">
        <w:t xml:space="preserve">Αυτό που πρέπει να σημειώσουμε προς το παρόν είναι </w:t>
      </w:r>
      <w:r>
        <w:t>ότι η δραστηριότητα</w:t>
      </w:r>
      <w:r w:rsidR="0099648F">
        <w:t xml:space="preserve"> του </w:t>
      </w:r>
      <w:r w:rsidR="0099648F">
        <w:rPr>
          <w:lang w:val="en-US"/>
        </w:rPr>
        <w:t>dealer</w:t>
      </w:r>
      <w:r>
        <w:t xml:space="preserve"> επεκτείνει τον ισολογισμό του </w:t>
      </w:r>
      <w:r w:rsidR="0099648F">
        <w:rPr>
          <w:lang w:val="en-US"/>
        </w:rPr>
        <w:t>dealer</w:t>
      </w:r>
      <w:r>
        <w:t>, ενώ η απλή δι</w:t>
      </w:r>
      <w:r w:rsidR="009A445B">
        <w:t>αμεσολάβηση δεν τον επεκτείνει όπως φαίνεται από τους πίνακες 4.1</w:t>
      </w:r>
      <w:r w:rsidR="000C510F">
        <w:t>3</w:t>
      </w:r>
      <w:r w:rsidR="009A445B">
        <w:t>α,β.</w:t>
      </w:r>
    </w:p>
    <w:p w:rsidR="00527BAA" w:rsidRPr="00DC7EB8" w:rsidRDefault="00527BAA" w:rsidP="00527BAA">
      <w:pPr>
        <w:jc w:val="both"/>
      </w:pPr>
      <w:r>
        <w:t xml:space="preserve">         </w:t>
      </w:r>
      <w:r w:rsidR="0099648F" w:rsidRPr="00DC7EB8">
        <w:rPr>
          <w:b/>
        </w:rPr>
        <w:t>Πίνακας</w:t>
      </w:r>
      <w:r w:rsidR="00DC7EB8" w:rsidRPr="00DC7EB8">
        <w:rPr>
          <w:b/>
        </w:rPr>
        <w:t xml:space="preserve"> 4.1</w:t>
      </w:r>
      <w:r w:rsidR="000C510F">
        <w:rPr>
          <w:b/>
        </w:rPr>
        <w:t>3</w:t>
      </w:r>
      <w:r w:rsidR="00DC7EB8" w:rsidRPr="00DC7EB8">
        <w:rPr>
          <w:b/>
        </w:rPr>
        <w:t>α</w:t>
      </w:r>
      <w:r w:rsidR="0099648F">
        <w:t xml:space="preserve"> Απλή διαμεσολάβηση</w:t>
      </w:r>
      <w:r w:rsidR="0099648F" w:rsidRPr="00DC7EB8">
        <w:t xml:space="preserve"> </w:t>
      </w:r>
      <w:r w:rsidR="0099648F">
        <w:t xml:space="preserve">μέσω </w:t>
      </w:r>
      <w:r w:rsidR="0099648F">
        <w:rPr>
          <w:lang w:val="en-US"/>
        </w:rPr>
        <w:t>broker</w:t>
      </w:r>
    </w:p>
    <w:tbl>
      <w:tblPr>
        <w:tblStyle w:val="af3"/>
        <w:tblW w:w="0" w:type="auto"/>
        <w:tblInd w:w="108" w:type="dxa"/>
        <w:tblLook w:val="04A0" w:firstRow="1" w:lastRow="0" w:firstColumn="1" w:lastColumn="0" w:noHBand="0" w:noVBand="1"/>
      </w:tblPr>
      <w:tblGrid>
        <w:gridCol w:w="1260"/>
        <w:gridCol w:w="1980"/>
        <w:gridCol w:w="912"/>
        <w:gridCol w:w="1420"/>
        <w:gridCol w:w="1658"/>
        <w:gridCol w:w="1184"/>
      </w:tblGrid>
      <w:tr w:rsidR="0099648F" w:rsidRPr="003F037E" w:rsidTr="00134D65">
        <w:tc>
          <w:tcPr>
            <w:tcW w:w="3240"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rPr>
              <w:t>Τράπεζα Α</w:t>
            </w:r>
          </w:p>
        </w:tc>
        <w:tc>
          <w:tcPr>
            <w:tcW w:w="2332"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rPr>
              <w:t xml:space="preserve">Χρηματιστής διαθεσίμων </w:t>
            </w:r>
            <w:proofErr w:type="spellStart"/>
            <w:r w:rsidRPr="003F037E">
              <w:rPr>
                <w:rFonts w:ascii="Times New Roman" w:hAnsi="Times New Roman"/>
                <w:b/>
                <w:sz w:val="22"/>
                <w:szCs w:val="22"/>
              </w:rPr>
              <w:t>ΚΤ</w:t>
            </w:r>
            <w:r w:rsidR="008E0396" w:rsidRPr="003F037E">
              <w:rPr>
                <w:rFonts w:ascii="Times New Roman" w:hAnsi="Times New Roman"/>
                <w:b/>
                <w:sz w:val="22"/>
                <w:szCs w:val="22"/>
              </w:rPr>
              <w:t>ς</w:t>
            </w:r>
            <w:proofErr w:type="spellEnd"/>
          </w:p>
        </w:tc>
        <w:tc>
          <w:tcPr>
            <w:tcW w:w="2842"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rPr>
              <w:t>Τράπεζα Β</w:t>
            </w:r>
          </w:p>
        </w:tc>
      </w:tr>
      <w:tr w:rsidR="00527BAA" w:rsidRPr="003F037E" w:rsidTr="00134D65">
        <w:tc>
          <w:tcPr>
            <w:tcW w:w="1260"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xml:space="preserve">+διαθέσιμα </w:t>
            </w:r>
          </w:p>
        </w:tc>
        <w:tc>
          <w:tcPr>
            <w:tcW w:w="1980"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+δάνεια Διαθεσίμων ΚΤ</w:t>
            </w:r>
          </w:p>
        </w:tc>
        <w:tc>
          <w:tcPr>
            <w:tcW w:w="912" w:type="dxa"/>
          </w:tcPr>
          <w:p w:rsidR="00527BAA" w:rsidRPr="003F037E" w:rsidRDefault="00527BAA" w:rsidP="003150CE">
            <w:pPr>
              <w:jc w:val="both"/>
              <w:rPr>
                <w:rFonts w:ascii="Times New Roman" w:hAnsi="Times New Roman"/>
                <w:sz w:val="22"/>
                <w:szCs w:val="22"/>
              </w:rPr>
            </w:pPr>
          </w:p>
        </w:tc>
        <w:tc>
          <w:tcPr>
            <w:tcW w:w="1420" w:type="dxa"/>
          </w:tcPr>
          <w:p w:rsidR="00527BAA" w:rsidRPr="003F037E" w:rsidRDefault="00527BAA" w:rsidP="003150CE">
            <w:pPr>
              <w:jc w:val="both"/>
              <w:rPr>
                <w:rFonts w:ascii="Times New Roman" w:hAnsi="Times New Roman"/>
                <w:sz w:val="22"/>
                <w:szCs w:val="22"/>
              </w:rPr>
            </w:pPr>
          </w:p>
        </w:tc>
        <w:tc>
          <w:tcPr>
            <w:tcW w:w="1658"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-διαθέσιμα</w:t>
            </w: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+δάνεια Διαθεσίμων ΚΤ</w:t>
            </w:r>
          </w:p>
        </w:tc>
        <w:tc>
          <w:tcPr>
            <w:tcW w:w="1184" w:type="dxa"/>
          </w:tcPr>
          <w:p w:rsidR="00527BAA" w:rsidRPr="003F037E" w:rsidRDefault="00527BAA" w:rsidP="003150CE">
            <w:pPr>
              <w:jc w:val="both"/>
              <w:rPr>
                <w:rFonts w:ascii="Times New Roman" w:hAnsi="Times New Roman"/>
                <w:sz w:val="22"/>
                <w:szCs w:val="22"/>
              </w:rPr>
            </w:pPr>
          </w:p>
        </w:tc>
      </w:tr>
    </w:tbl>
    <w:p w:rsidR="00527BAA" w:rsidRPr="002756DE" w:rsidRDefault="00527BAA" w:rsidP="00527BAA">
      <w:pPr>
        <w:jc w:val="both"/>
      </w:pPr>
    </w:p>
    <w:p w:rsidR="00527BAA" w:rsidRPr="00DC7EB8" w:rsidRDefault="0099648F" w:rsidP="00527BAA">
      <w:pPr>
        <w:jc w:val="both"/>
      </w:pPr>
      <w:r w:rsidRPr="0099648F">
        <w:rPr>
          <w:b/>
        </w:rPr>
        <w:t>Πίνακας</w:t>
      </w:r>
      <w:r w:rsidR="00DC7EB8">
        <w:rPr>
          <w:b/>
        </w:rPr>
        <w:t xml:space="preserve"> 4.1</w:t>
      </w:r>
      <w:r w:rsidR="000C510F">
        <w:rPr>
          <w:b/>
        </w:rPr>
        <w:t>3</w:t>
      </w:r>
      <w:r w:rsidR="00DC7EB8">
        <w:rPr>
          <w:b/>
        </w:rPr>
        <w:t xml:space="preserve">β </w:t>
      </w:r>
      <w:r>
        <w:rPr>
          <w:lang w:val="en-US"/>
        </w:rPr>
        <w:t>H</w:t>
      </w:r>
      <w:r>
        <w:t xml:space="preserve"> διαμεσολάβηση</w:t>
      </w:r>
      <w:r w:rsidRPr="00DC7EB8">
        <w:t xml:space="preserve"> </w:t>
      </w:r>
      <w:r>
        <w:t xml:space="preserve">μέσω </w:t>
      </w:r>
      <w:r>
        <w:rPr>
          <w:lang w:val="en-US"/>
        </w:rPr>
        <w:t>dealer</w:t>
      </w:r>
    </w:p>
    <w:tbl>
      <w:tblPr>
        <w:tblStyle w:val="af3"/>
        <w:tblW w:w="0" w:type="auto"/>
        <w:tblInd w:w="108" w:type="dxa"/>
        <w:tblLook w:val="04A0" w:firstRow="1" w:lastRow="0" w:firstColumn="1" w:lastColumn="0" w:noHBand="0" w:noVBand="1"/>
      </w:tblPr>
      <w:tblGrid>
        <w:gridCol w:w="1357"/>
        <w:gridCol w:w="1709"/>
        <w:gridCol w:w="1561"/>
        <w:gridCol w:w="1426"/>
        <w:gridCol w:w="1597"/>
        <w:gridCol w:w="770"/>
      </w:tblGrid>
      <w:tr w:rsidR="0099648F" w:rsidRPr="003F037E" w:rsidTr="00134D65">
        <w:tc>
          <w:tcPr>
            <w:tcW w:w="3066"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rPr>
              <w:t>Τράπεζα Α</w:t>
            </w:r>
          </w:p>
        </w:tc>
        <w:tc>
          <w:tcPr>
            <w:tcW w:w="2987"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lang w:val="en-US"/>
              </w:rPr>
              <w:t>Dealer</w:t>
            </w:r>
            <w:r w:rsidRPr="003F037E">
              <w:rPr>
                <w:rFonts w:ascii="Times New Roman" w:hAnsi="Times New Roman"/>
                <w:b/>
                <w:sz w:val="22"/>
                <w:szCs w:val="22"/>
              </w:rPr>
              <w:t xml:space="preserve"> Διαθεσίμων </w:t>
            </w:r>
            <w:proofErr w:type="spellStart"/>
            <w:r w:rsidRPr="003F037E">
              <w:rPr>
                <w:rFonts w:ascii="Times New Roman" w:hAnsi="Times New Roman"/>
                <w:b/>
                <w:sz w:val="22"/>
                <w:szCs w:val="22"/>
              </w:rPr>
              <w:t>ΚΤ</w:t>
            </w:r>
            <w:r w:rsidR="008E0396" w:rsidRPr="003F037E">
              <w:rPr>
                <w:rFonts w:ascii="Times New Roman" w:hAnsi="Times New Roman"/>
                <w:b/>
                <w:sz w:val="22"/>
                <w:szCs w:val="22"/>
              </w:rPr>
              <w:t>ς</w:t>
            </w:r>
            <w:proofErr w:type="spellEnd"/>
          </w:p>
        </w:tc>
        <w:tc>
          <w:tcPr>
            <w:tcW w:w="2367" w:type="dxa"/>
            <w:gridSpan w:val="2"/>
            <w:shd w:val="clear" w:color="auto" w:fill="BFBFBF" w:themeFill="background1" w:themeFillShade="BF"/>
          </w:tcPr>
          <w:p w:rsidR="0099648F" w:rsidRPr="003F037E" w:rsidRDefault="0099648F" w:rsidP="0099648F">
            <w:pPr>
              <w:jc w:val="center"/>
              <w:rPr>
                <w:rFonts w:ascii="Times New Roman" w:hAnsi="Times New Roman"/>
                <w:b/>
                <w:sz w:val="22"/>
                <w:szCs w:val="22"/>
              </w:rPr>
            </w:pPr>
            <w:r w:rsidRPr="003F037E">
              <w:rPr>
                <w:rFonts w:ascii="Times New Roman" w:hAnsi="Times New Roman"/>
                <w:b/>
                <w:sz w:val="22"/>
                <w:szCs w:val="22"/>
              </w:rPr>
              <w:t>Τράπεζα Β</w:t>
            </w:r>
          </w:p>
        </w:tc>
      </w:tr>
      <w:tr w:rsidR="00527BAA" w:rsidRPr="003F037E" w:rsidTr="00134D65">
        <w:tc>
          <w:tcPr>
            <w:tcW w:w="1357"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xml:space="preserve">+διαθέσιμα </w:t>
            </w:r>
          </w:p>
        </w:tc>
        <w:tc>
          <w:tcPr>
            <w:tcW w:w="1709"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t xml:space="preserve">+δάνεια </w:t>
            </w:r>
            <w:r w:rsidRPr="003F037E">
              <w:rPr>
                <w:rFonts w:ascii="Times New Roman" w:hAnsi="Times New Roman"/>
                <w:sz w:val="22"/>
                <w:szCs w:val="22"/>
              </w:rPr>
              <w:lastRenderedPageBreak/>
              <w:t>Διαθεσίμων ΚΤ</w:t>
            </w:r>
          </w:p>
        </w:tc>
        <w:tc>
          <w:tcPr>
            <w:tcW w:w="1561"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lastRenderedPageBreak/>
              <w:t xml:space="preserve">+δάνεια </w:t>
            </w:r>
            <w:r w:rsidRPr="003F037E">
              <w:rPr>
                <w:rFonts w:ascii="Times New Roman" w:hAnsi="Times New Roman"/>
                <w:sz w:val="22"/>
                <w:szCs w:val="22"/>
              </w:rPr>
              <w:lastRenderedPageBreak/>
              <w:t>Διαθεσίμων ΚΤ</w:t>
            </w:r>
          </w:p>
        </w:tc>
        <w:tc>
          <w:tcPr>
            <w:tcW w:w="1426"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lastRenderedPageBreak/>
              <w:t xml:space="preserve">+δάνεια </w:t>
            </w:r>
            <w:r w:rsidRPr="003F037E">
              <w:rPr>
                <w:rFonts w:ascii="Times New Roman" w:hAnsi="Times New Roman"/>
                <w:sz w:val="22"/>
                <w:szCs w:val="22"/>
              </w:rPr>
              <w:lastRenderedPageBreak/>
              <w:t>Διαθεσίμων ΚΤ</w:t>
            </w:r>
          </w:p>
        </w:tc>
        <w:tc>
          <w:tcPr>
            <w:tcW w:w="1597" w:type="dxa"/>
          </w:tcPr>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lastRenderedPageBreak/>
              <w:t>-διαθέσιμα</w:t>
            </w:r>
          </w:p>
          <w:p w:rsidR="00527BAA" w:rsidRPr="003F037E" w:rsidRDefault="00527BAA" w:rsidP="003150CE">
            <w:pPr>
              <w:jc w:val="both"/>
              <w:rPr>
                <w:rFonts w:ascii="Times New Roman" w:hAnsi="Times New Roman"/>
                <w:sz w:val="22"/>
                <w:szCs w:val="22"/>
              </w:rPr>
            </w:pPr>
            <w:r w:rsidRPr="003F037E">
              <w:rPr>
                <w:rFonts w:ascii="Times New Roman" w:hAnsi="Times New Roman"/>
                <w:sz w:val="22"/>
                <w:szCs w:val="22"/>
              </w:rPr>
              <w:lastRenderedPageBreak/>
              <w:t>+δάνεια Διαθεσίμων ΚΤ</w:t>
            </w:r>
          </w:p>
        </w:tc>
        <w:tc>
          <w:tcPr>
            <w:tcW w:w="770" w:type="dxa"/>
          </w:tcPr>
          <w:p w:rsidR="00527BAA" w:rsidRPr="003F037E" w:rsidRDefault="00527BAA" w:rsidP="003150CE">
            <w:pPr>
              <w:jc w:val="both"/>
              <w:rPr>
                <w:rFonts w:ascii="Times New Roman" w:hAnsi="Times New Roman"/>
                <w:sz w:val="22"/>
                <w:szCs w:val="22"/>
              </w:rPr>
            </w:pPr>
          </w:p>
        </w:tc>
      </w:tr>
    </w:tbl>
    <w:p w:rsidR="00802C1C" w:rsidRDefault="00802C1C" w:rsidP="00527BAA">
      <w:pPr>
        <w:jc w:val="both"/>
        <w:rPr>
          <w:b/>
        </w:rPr>
      </w:pPr>
    </w:p>
    <w:p w:rsidR="009A445B" w:rsidRDefault="008E0396" w:rsidP="009A445B">
      <w:pPr>
        <w:spacing w:line="360" w:lineRule="auto"/>
        <w:ind w:firstLine="720"/>
        <w:jc w:val="both"/>
      </w:pPr>
      <w:r>
        <w:t>Έχοντας</w:t>
      </w:r>
      <w:r w:rsidR="00527BAA">
        <w:t xml:space="preserve"> επικεντρωθεί στον περιορισμό επιβίωσης και στην ημερήσια εκκαθάριση, </w:t>
      </w:r>
      <w:r w:rsidR="004F739C">
        <w:t xml:space="preserve">τώρα </w:t>
      </w:r>
      <w:r>
        <w:t>δίνουμε</w:t>
      </w:r>
      <w:r w:rsidR="004F739C">
        <w:t xml:space="preserve"> έμφαση στην</w:t>
      </w:r>
      <w:r w:rsidR="00527BAA">
        <w:t xml:space="preserve"> απαίτηση σ</w:t>
      </w:r>
      <w:r>
        <w:t>ε διαθέσιμα</w:t>
      </w:r>
      <w:r w:rsidR="004F739C">
        <w:t xml:space="preserve">. </w:t>
      </w:r>
      <w:r w:rsidR="00527BAA">
        <w:t>Οι τράπεζες υποχρεούνται να κρατούν ένα συγκεκριμένο τμήμα (ποσοστό) των καταθέσεων σε διαθέσιμα και μπορούν εθελοντικά να υποσχεθούν ότι θα κρατήσουν περισσότερα από αυτά. Στις μέρες μας αυτός ο περιορισμός δεν είναι υποχρεωτικός</w:t>
      </w:r>
      <w:r w:rsidR="004F739C">
        <w:t xml:space="preserve"> σε όλες τις χώρες</w:t>
      </w:r>
      <w:r w:rsidR="00527BAA">
        <w:t>, αλλά είναι όπως και να έχει αξιοσημε</w:t>
      </w:r>
      <w:r w:rsidR="009A445B">
        <w:t xml:space="preserve">ίωτου ιστορικού ενδιαφέροντος. </w:t>
      </w:r>
    </w:p>
    <w:p w:rsidR="00460D2E" w:rsidRPr="00460D2E" w:rsidRDefault="008E0396" w:rsidP="00460D2E">
      <w:pPr>
        <w:spacing w:line="360" w:lineRule="auto"/>
        <w:ind w:firstLine="720"/>
        <w:jc w:val="both"/>
      </w:pPr>
      <w:r>
        <w:t xml:space="preserve">Κατά την </w:t>
      </w:r>
      <w:proofErr w:type="spellStart"/>
      <w:r w:rsidRPr="009A445B">
        <w:rPr>
          <w:lang w:val="en-US"/>
        </w:rPr>
        <w:t>Stigum</w:t>
      </w:r>
      <w:proofErr w:type="spellEnd"/>
      <w:r w:rsidRPr="009A445B">
        <w:t xml:space="preserve"> (</w:t>
      </w:r>
      <w:r w:rsidR="009A445B" w:rsidRPr="009A445B">
        <w:t>1983</w:t>
      </w:r>
      <w:r w:rsidRPr="009A445B">
        <w:t xml:space="preserve">) </w:t>
      </w:r>
      <w:r>
        <w:t>οι μονεταριστές ή</w:t>
      </w:r>
      <w:r w:rsidR="00527BAA">
        <w:t xml:space="preserve">θελαν οι τράπεζες να ρυθμίζουν τις καταθέσεις ως προς </w:t>
      </w:r>
      <w:r w:rsidR="00527BAA" w:rsidRPr="009A445B">
        <w:t>σταθερά</w:t>
      </w:r>
      <w:r w:rsidR="00527BAA">
        <w:t xml:space="preserve"> διαθέσιμα, παρά το αντίστροφο.</w:t>
      </w:r>
      <w:r>
        <w:t xml:space="preserve"> Όμως δεν επικράτησε αυτή η αντίληψη και σ</w:t>
      </w:r>
      <w:r w:rsidR="00527BAA">
        <w:t xml:space="preserve">ήμερα η κεντρική τράπεζα προμηθεύει οποιαδήποτε ποσότητα διαθεσίμων είναι αναγκαία για να επιτύχει το στόχο ως προς τα διαθέσιμα της κεντρικής τράπεζας. Αυτό </w:t>
      </w:r>
      <w:r>
        <w:t xml:space="preserve">πρακτικά </w:t>
      </w:r>
      <w:r w:rsidR="00527BAA">
        <w:t xml:space="preserve">εμπλέκει την κεντρική τράπεζα σε ημερήσιες παρεμβάσεις στην αγορά </w:t>
      </w:r>
      <w:r>
        <w:t>που</w:t>
      </w:r>
      <w:r w:rsidR="00527BAA">
        <w:t xml:space="preserve"> αποτελούν ρυθμίσεις του μεγέθους του ισολογισμού της κεντρικής τράπεζας. </w:t>
      </w:r>
      <w:r w:rsidR="00527BAA" w:rsidRPr="004F739C">
        <w:t xml:space="preserve">Εάν η κεντρική τράπεζα προσθέτει διαθέσιμα, αυτό σημαίνει ότι η κατά τη διάρκεια της ημέρας επέκταση της πίστης στο </w:t>
      </w:r>
      <w:proofErr w:type="spellStart"/>
      <w:r w:rsidR="00527BAA" w:rsidRPr="004F739C">
        <w:rPr>
          <w:lang w:val="en-US"/>
        </w:rPr>
        <w:t>Fedwire</w:t>
      </w:r>
      <w:proofErr w:type="spellEnd"/>
      <w:r w:rsidR="00527BAA" w:rsidRPr="004F739C">
        <w:t xml:space="preserve"> (σύστημα Μεικτής Διευθέτησης σε Πραγματικό Χρόνο) δε χρειάζεται να </w:t>
      </w:r>
      <w:r w:rsidR="004F739C" w:rsidRPr="004F739C">
        <w:t>συρρικνωθεί</w:t>
      </w:r>
      <w:r w:rsidR="00527BAA" w:rsidRPr="004F739C">
        <w:t xml:space="preserve"> πάλι πίσω στο τέλος της ημέρας. Η κεντρική τράπεζα </w:t>
      </w:r>
      <w:r w:rsidRPr="004F739C">
        <w:t>επιφορτίζεται</w:t>
      </w:r>
      <w:r w:rsidR="00527BAA" w:rsidRPr="004F739C">
        <w:t xml:space="preserve"> λίγη από αυτή την πίστη στο δικό της ισολογισμό κατά τη διάρκεια της νύχτας, ή πιο μακροχρόνια.</w:t>
      </w:r>
      <w:r w:rsidR="00527BAA">
        <w:t xml:space="preserve">  </w:t>
      </w:r>
      <w:r w:rsidR="00527BAA" w:rsidRPr="005D194A">
        <w:t xml:space="preserve">  </w:t>
      </w:r>
    </w:p>
    <w:p w:rsidR="00527BAA" w:rsidRDefault="00527BAA" w:rsidP="00460D2E">
      <w:pPr>
        <w:spacing w:line="360" w:lineRule="auto"/>
        <w:ind w:firstLine="720"/>
        <w:jc w:val="both"/>
      </w:pPr>
      <w:r>
        <w:t>Η κεντρική τράπεζα διεξάγει αυτές τις καθημερινές προσθήκες συν</w:t>
      </w:r>
      <w:r w:rsidR="004F739C">
        <w:t>ήθως δανείζοντας τους διαπραγματευτές</w:t>
      </w:r>
      <w:r>
        <w:t xml:space="preserve"> τίτλων στην αγορά </w:t>
      </w:r>
      <w:r w:rsidR="009A445B">
        <w:t>των συμφωνιών επαναγοράς (</w:t>
      </w:r>
      <w:r w:rsidR="009A445B">
        <w:rPr>
          <w:lang w:val="en-US"/>
        </w:rPr>
        <w:t>Repurchase</w:t>
      </w:r>
      <w:r w:rsidR="009A445B" w:rsidRPr="009A445B">
        <w:t xml:space="preserve"> </w:t>
      </w:r>
      <w:r w:rsidR="00460D2E">
        <w:rPr>
          <w:lang w:val="en-US"/>
        </w:rPr>
        <w:t>Agreements</w:t>
      </w:r>
      <w:r w:rsidR="009A445B" w:rsidRPr="009A445B">
        <w:t xml:space="preserve">, </w:t>
      </w:r>
      <w:r w:rsidR="00460D2E">
        <w:rPr>
          <w:lang w:val="en-US"/>
        </w:rPr>
        <w:t>R</w:t>
      </w:r>
      <w:r>
        <w:rPr>
          <w:lang w:val="en-US"/>
        </w:rPr>
        <w:t>epo</w:t>
      </w:r>
      <w:r w:rsidR="009A445B">
        <w:rPr>
          <w:lang w:val="en-US"/>
        </w:rPr>
        <w:t>s</w:t>
      </w:r>
      <w:r w:rsidR="009A445B">
        <w:t>)</w:t>
      </w:r>
      <w:r w:rsidRPr="005D194A">
        <w:t xml:space="preserve">. </w:t>
      </w:r>
      <w:r>
        <w:t xml:space="preserve">Θα μιλήσουμε για την αγορά </w:t>
      </w:r>
      <w:r w:rsidR="00460D2E">
        <w:t xml:space="preserve">των </w:t>
      </w:r>
      <w:r>
        <w:rPr>
          <w:lang w:val="en-US"/>
        </w:rPr>
        <w:t>repo</w:t>
      </w:r>
      <w:r w:rsidR="00460D2E">
        <w:rPr>
          <w:lang w:val="en-US"/>
        </w:rPr>
        <w:t>s</w:t>
      </w:r>
      <w:r w:rsidRPr="005D194A">
        <w:t xml:space="preserve"> </w:t>
      </w:r>
      <w:r w:rsidR="004F739C">
        <w:t>σ</w:t>
      </w:r>
      <w:r>
        <w:t>την επόμενη</w:t>
      </w:r>
      <w:r w:rsidR="004F739C">
        <w:t xml:space="preserve"> ενότητα</w:t>
      </w:r>
      <w:r>
        <w:t xml:space="preserve">. Προς το παρόν , αρκεί να πούμε ότι τα </w:t>
      </w:r>
      <w:r>
        <w:rPr>
          <w:lang w:val="en-US"/>
        </w:rPr>
        <w:t>repos</w:t>
      </w:r>
      <w:r>
        <w:t xml:space="preserve"> είναι δάνεια, άρα η προσθήκη διαθεσίμων μπορεί να απεικονισθεί ως εξής</w:t>
      </w:r>
      <w:r w:rsidR="003D7D78">
        <w:t xml:space="preserve"> στον ακόλουθο πίνακα.</w:t>
      </w:r>
    </w:p>
    <w:p w:rsidR="003F037E" w:rsidRDefault="003F037E" w:rsidP="00460D2E">
      <w:pPr>
        <w:spacing w:line="360" w:lineRule="auto"/>
        <w:ind w:firstLine="720"/>
        <w:jc w:val="both"/>
      </w:pPr>
    </w:p>
    <w:p w:rsidR="00527BAA" w:rsidRDefault="003D7D78" w:rsidP="00527BAA">
      <w:pPr>
        <w:jc w:val="both"/>
      </w:pPr>
      <w:r w:rsidRPr="00DC7EB8">
        <w:rPr>
          <w:b/>
        </w:rPr>
        <w:t xml:space="preserve">Πίνακας </w:t>
      </w:r>
      <w:r w:rsidR="00DC7EB8" w:rsidRPr="00DC7EB8">
        <w:rPr>
          <w:b/>
        </w:rPr>
        <w:t>4.1</w:t>
      </w:r>
      <w:r w:rsidR="000C510F">
        <w:rPr>
          <w:b/>
        </w:rPr>
        <w:t>4</w:t>
      </w:r>
      <w:r w:rsidR="00DC7EB8">
        <w:t xml:space="preserve"> </w:t>
      </w:r>
      <w:r>
        <w:t xml:space="preserve">Αύξηση διαθεσίμων και </w:t>
      </w:r>
      <w:proofErr w:type="spellStart"/>
      <w:r>
        <w:t>ρέπος</w:t>
      </w:r>
      <w:proofErr w:type="spellEnd"/>
    </w:p>
    <w:tbl>
      <w:tblPr>
        <w:tblStyle w:val="af3"/>
        <w:tblW w:w="7920" w:type="dxa"/>
        <w:tblInd w:w="108" w:type="dxa"/>
        <w:tblLayout w:type="fixed"/>
        <w:tblLook w:val="04A0" w:firstRow="1" w:lastRow="0" w:firstColumn="1" w:lastColumn="0" w:noHBand="0" w:noVBand="1"/>
      </w:tblPr>
      <w:tblGrid>
        <w:gridCol w:w="2250"/>
        <w:gridCol w:w="1890"/>
        <w:gridCol w:w="2340"/>
        <w:gridCol w:w="1440"/>
      </w:tblGrid>
      <w:tr w:rsidR="004F739C" w:rsidRPr="00134D65" w:rsidTr="00134D65">
        <w:tc>
          <w:tcPr>
            <w:tcW w:w="4140" w:type="dxa"/>
            <w:gridSpan w:val="2"/>
            <w:shd w:val="clear" w:color="auto" w:fill="BFBFBF" w:themeFill="background1" w:themeFillShade="BF"/>
          </w:tcPr>
          <w:p w:rsidR="004F739C" w:rsidRPr="00134D65" w:rsidRDefault="004F739C" w:rsidP="004F739C">
            <w:pPr>
              <w:jc w:val="center"/>
              <w:rPr>
                <w:b/>
                <w:sz w:val="22"/>
                <w:szCs w:val="22"/>
              </w:rPr>
            </w:pPr>
            <w:r w:rsidRPr="00134D65">
              <w:rPr>
                <w:b/>
                <w:sz w:val="22"/>
                <w:szCs w:val="22"/>
              </w:rPr>
              <w:t>Διαπραγματευτές Τίτλων</w:t>
            </w:r>
          </w:p>
        </w:tc>
        <w:tc>
          <w:tcPr>
            <w:tcW w:w="3780" w:type="dxa"/>
            <w:gridSpan w:val="2"/>
            <w:shd w:val="clear" w:color="auto" w:fill="BFBFBF" w:themeFill="background1" w:themeFillShade="BF"/>
          </w:tcPr>
          <w:p w:rsidR="004F739C" w:rsidRPr="00134D65" w:rsidRDefault="004F739C" w:rsidP="004F739C">
            <w:pPr>
              <w:jc w:val="center"/>
              <w:rPr>
                <w:b/>
                <w:sz w:val="22"/>
                <w:szCs w:val="22"/>
              </w:rPr>
            </w:pPr>
            <w:r w:rsidRPr="00134D65">
              <w:rPr>
                <w:b/>
                <w:sz w:val="22"/>
                <w:szCs w:val="22"/>
              </w:rPr>
              <w:t>κεντρική τράπεζα</w:t>
            </w:r>
          </w:p>
        </w:tc>
      </w:tr>
      <w:tr w:rsidR="00527BAA" w:rsidRPr="00134D65" w:rsidTr="00134D65">
        <w:tc>
          <w:tcPr>
            <w:tcW w:w="2250" w:type="dxa"/>
            <w:shd w:val="clear" w:color="auto" w:fill="FFFFFF" w:themeFill="background1"/>
          </w:tcPr>
          <w:p w:rsidR="00527BAA" w:rsidRPr="00134D65" w:rsidRDefault="00527BAA" w:rsidP="004F739C">
            <w:pPr>
              <w:jc w:val="center"/>
              <w:rPr>
                <w:b/>
                <w:sz w:val="22"/>
                <w:szCs w:val="22"/>
              </w:rPr>
            </w:pPr>
            <w:r w:rsidRPr="00134D65">
              <w:rPr>
                <w:b/>
                <w:sz w:val="22"/>
                <w:szCs w:val="22"/>
              </w:rPr>
              <w:t>Στοιχεία Ενεργητικού</w:t>
            </w:r>
          </w:p>
        </w:tc>
        <w:tc>
          <w:tcPr>
            <w:tcW w:w="1890" w:type="dxa"/>
            <w:shd w:val="clear" w:color="auto" w:fill="FFFFFF" w:themeFill="background1"/>
          </w:tcPr>
          <w:p w:rsidR="00527BAA" w:rsidRPr="00134D65" w:rsidRDefault="00527BAA" w:rsidP="004F739C">
            <w:pPr>
              <w:jc w:val="center"/>
              <w:rPr>
                <w:b/>
                <w:sz w:val="22"/>
                <w:szCs w:val="22"/>
              </w:rPr>
            </w:pPr>
            <w:r w:rsidRPr="00134D65">
              <w:rPr>
                <w:b/>
                <w:sz w:val="22"/>
                <w:szCs w:val="22"/>
              </w:rPr>
              <w:t>Παθητικό</w:t>
            </w:r>
          </w:p>
        </w:tc>
        <w:tc>
          <w:tcPr>
            <w:tcW w:w="2340" w:type="dxa"/>
            <w:shd w:val="clear" w:color="auto" w:fill="FFFFFF" w:themeFill="background1"/>
          </w:tcPr>
          <w:p w:rsidR="00527BAA" w:rsidRPr="00134D65" w:rsidRDefault="00527BAA" w:rsidP="004F739C">
            <w:pPr>
              <w:jc w:val="center"/>
              <w:rPr>
                <w:b/>
                <w:sz w:val="22"/>
                <w:szCs w:val="22"/>
              </w:rPr>
            </w:pPr>
            <w:r w:rsidRPr="00134D65">
              <w:rPr>
                <w:b/>
                <w:sz w:val="22"/>
                <w:szCs w:val="22"/>
              </w:rPr>
              <w:t>Στοιχεία Ενεργητικού</w:t>
            </w:r>
          </w:p>
        </w:tc>
        <w:tc>
          <w:tcPr>
            <w:tcW w:w="1440" w:type="dxa"/>
            <w:shd w:val="clear" w:color="auto" w:fill="FFFFFF" w:themeFill="background1"/>
          </w:tcPr>
          <w:p w:rsidR="00527BAA" w:rsidRPr="00134D65" w:rsidRDefault="00527BAA" w:rsidP="004F739C">
            <w:pPr>
              <w:jc w:val="center"/>
              <w:rPr>
                <w:b/>
                <w:sz w:val="22"/>
                <w:szCs w:val="22"/>
              </w:rPr>
            </w:pPr>
            <w:r w:rsidRPr="00134D65">
              <w:rPr>
                <w:b/>
                <w:sz w:val="22"/>
                <w:szCs w:val="22"/>
              </w:rPr>
              <w:t>Παθητικό</w:t>
            </w:r>
          </w:p>
        </w:tc>
      </w:tr>
      <w:tr w:rsidR="00527BAA" w:rsidRPr="00134D65" w:rsidTr="00134D65">
        <w:tc>
          <w:tcPr>
            <w:tcW w:w="2250" w:type="dxa"/>
          </w:tcPr>
          <w:p w:rsidR="00527BAA" w:rsidRPr="00134D65" w:rsidRDefault="00527BAA" w:rsidP="003150CE">
            <w:pPr>
              <w:jc w:val="both"/>
              <w:rPr>
                <w:sz w:val="22"/>
                <w:szCs w:val="22"/>
              </w:rPr>
            </w:pPr>
            <w:r w:rsidRPr="00134D65">
              <w:rPr>
                <w:sz w:val="22"/>
                <w:szCs w:val="22"/>
              </w:rPr>
              <w:t>+διαθέσιμα</w:t>
            </w:r>
          </w:p>
        </w:tc>
        <w:tc>
          <w:tcPr>
            <w:tcW w:w="1890" w:type="dxa"/>
          </w:tcPr>
          <w:p w:rsidR="00527BAA" w:rsidRPr="00134D65" w:rsidRDefault="00527BAA" w:rsidP="003150CE">
            <w:pPr>
              <w:jc w:val="both"/>
              <w:rPr>
                <w:sz w:val="22"/>
                <w:szCs w:val="22"/>
              </w:rPr>
            </w:pPr>
            <w:r w:rsidRPr="00134D65">
              <w:rPr>
                <w:sz w:val="22"/>
                <w:szCs w:val="22"/>
              </w:rPr>
              <w:t xml:space="preserve">+δάνεια σε </w:t>
            </w:r>
            <w:proofErr w:type="spellStart"/>
            <w:r w:rsidRPr="00134D65">
              <w:rPr>
                <w:sz w:val="22"/>
                <w:szCs w:val="22"/>
              </w:rPr>
              <w:t>ρέπος</w:t>
            </w:r>
            <w:proofErr w:type="spellEnd"/>
          </w:p>
        </w:tc>
        <w:tc>
          <w:tcPr>
            <w:tcW w:w="2340" w:type="dxa"/>
          </w:tcPr>
          <w:p w:rsidR="00527BAA" w:rsidRPr="00134D65" w:rsidRDefault="00527BAA" w:rsidP="003150CE">
            <w:pPr>
              <w:jc w:val="both"/>
              <w:rPr>
                <w:sz w:val="22"/>
                <w:szCs w:val="22"/>
              </w:rPr>
            </w:pPr>
            <w:r w:rsidRPr="00134D65">
              <w:rPr>
                <w:sz w:val="22"/>
                <w:szCs w:val="22"/>
              </w:rPr>
              <w:t xml:space="preserve">+δάνεια σε </w:t>
            </w:r>
            <w:proofErr w:type="spellStart"/>
            <w:r w:rsidRPr="00134D65">
              <w:rPr>
                <w:sz w:val="22"/>
                <w:szCs w:val="22"/>
              </w:rPr>
              <w:t>ρέπος</w:t>
            </w:r>
            <w:proofErr w:type="spellEnd"/>
            <w:r w:rsidRPr="00134D65">
              <w:rPr>
                <w:sz w:val="22"/>
                <w:szCs w:val="22"/>
              </w:rPr>
              <w:t xml:space="preserve"> </w:t>
            </w:r>
          </w:p>
        </w:tc>
        <w:tc>
          <w:tcPr>
            <w:tcW w:w="1440" w:type="dxa"/>
          </w:tcPr>
          <w:p w:rsidR="00527BAA" w:rsidRPr="00134D65" w:rsidRDefault="00527BAA" w:rsidP="003150CE">
            <w:pPr>
              <w:jc w:val="both"/>
              <w:rPr>
                <w:sz w:val="22"/>
                <w:szCs w:val="22"/>
              </w:rPr>
            </w:pPr>
            <w:r w:rsidRPr="00134D65">
              <w:rPr>
                <w:sz w:val="22"/>
                <w:szCs w:val="22"/>
              </w:rPr>
              <w:t>+διαθέσιμα</w:t>
            </w:r>
          </w:p>
        </w:tc>
      </w:tr>
    </w:tbl>
    <w:p w:rsidR="00527BAA" w:rsidRDefault="00527BAA" w:rsidP="00527BAA">
      <w:pPr>
        <w:jc w:val="both"/>
      </w:pPr>
    </w:p>
    <w:p w:rsidR="003F037E" w:rsidRDefault="003F037E" w:rsidP="00802C1C">
      <w:pPr>
        <w:spacing w:line="360" w:lineRule="auto"/>
        <w:jc w:val="both"/>
      </w:pPr>
    </w:p>
    <w:p w:rsidR="00527BAA" w:rsidRPr="00DC0569" w:rsidRDefault="00527BAA" w:rsidP="003F037E">
      <w:pPr>
        <w:spacing w:line="360" w:lineRule="auto"/>
        <w:ind w:firstLine="720"/>
        <w:jc w:val="both"/>
      </w:pPr>
      <w:r>
        <w:t xml:space="preserve">Εάν ο </w:t>
      </w:r>
      <w:r w:rsidR="003D7D78">
        <w:t>διαπραγματευτής τ</w:t>
      </w:r>
      <w:r>
        <w:t>ίτλων δανείζει αυτά τα πλεονάζοντα διαθέσιμα, αυτό οδηγεί σε μια επιπρόσθ</w:t>
      </w:r>
      <w:r w:rsidR="004F739C">
        <w:t>ετη προσφορά πίστης στην αγορά δ</w:t>
      </w:r>
      <w:r>
        <w:t xml:space="preserve">ιαθεσίμων της κεντρικής </w:t>
      </w:r>
      <w:r>
        <w:lastRenderedPageBreak/>
        <w:t xml:space="preserve">τράπεζας, η οποία μειώνει την πίεση στο επιτόκιο </w:t>
      </w:r>
      <w:r w:rsidR="003D7D78">
        <w:t>δ</w:t>
      </w:r>
      <w:r>
        <w:t>ιαθεσίμων της κεντρικής τράπεζας</w:t>
      </w:r>
      <w:r w:rsidR="003D7D78">
        <w:t xml:space="preserve"> (</w:t>
      </w:r>
      <w:r w:rsidR="003D7D78">
        <w:rPr>
          <w:lang w:val="en-US"/>
        </w:rPr>
        <w:t>FF</w:t>
      </w:r>
      <w:r w:rsidR="003D7D78" w:rsidRPr="003D7D78">
        <w:t xml:space="preserve"> </w:t>
      </w:r>
      <w:r w:rsidR="003D7D78">
        <w:rPr>
          <w:lang w:val="en-US"/>
        </w:rPr>
        <w:t>rate</w:t>
      </w:r>
      <w:r w:rsidR="003D7D78">
        <w:t>)</w:t>
      </w:r>
      <w:r>
        <w:t>.</w:t>
      </w:r>
      <w:r w:rsidR="003D7D78">
        <w:t xml:space="preserve"> </w:t>
      </w:r>
      <w:r>
        <w:t xml:space="preserve">Σημειώστε </w:t>
      </w:r>
      <w:r w:rsidR="003D7D78">
        <w:t>σε αυτό το σημείο</w:t>
      </w:r>
      <w:r>
        <w:t xml:space="preserve"> </w:t>
      </w:r>
      <w:r w:rsidR="003D7D78">
        <w:t xml:space="preserve">πώς η κεντρική τράπεζα παρεμβαίνει για να παρέχει τα ζητούμενα διαθέσιμα για το στόχο του επιτοκίου των διαθεσίμων της κεντρικής τράπεζας. </w:t>
      </w:r>
      <w:r>
        <w:t xml:space="preserve"> </w:t>
      </w:r>
      <w:r w:rsidR="003D7D78">
        <w:t xml:space="preserve">Ένα εναλλακτικό σύστημα πληρωμής αποτελεί το λεγόμενο </w:t>
      </w:r>
      <w:r>
        <w:rPr>
          <w:lang w:val="en-US"/>
        </w:rPr>
        <w:t>CHIPs</w:t>
      </w:r>
      <w:r>
        <w:t xml:space="preserve"> </w:t>
      </w:r>
      <w:r w:rsidR="003D7D78">
        <w:t>το οποίο είναι</w:t>
      </w:r>
      <w:r>
        <w:t xml:space="preserve"> </w:t>
      </w:r>
      <w:r w:rsidR="003D7D78">
        <w:t xml:space="preserve">με </w:t>
      </w:r>
      <w:r>
        <w:t>ένα ακόμη ισχυρότερο στοιχείο πίστ</w:t>
      </w:r>
      <w:r w:rsidR="003D7D78">
        <w:t>ης επειδή οι πληρωμές δεν είναι</w:t>
      </w:r>
      <w:r>
        <w:t xml:space="preserve"> διαθέσιμα </w:t>
      </w:r>
      <w:r w:rsidR="003D7D78">
        <w:t xml:space="preserve">στην κεντρική τράπεζα </w:t>
      </w:r>
      <w:r>
        <w:t>μέχρι την καθαρή διευθέτηση στο τέλος της ημέρας.</w:t>
      </w:r>
      <w:r w:rsidR="003D7D78">
        <w:t xml:space="preserve"> Αξιοσημείωτο όμως ότι την 1/10/</w:t>
      </w:r>
      <w:r>
        <w:t xml:space="preserve"> 1981, η κεντρική τράπεζα</w:t>
      </w:r>
      <w:r w:rsidR="003D7D78">
        <w:t xml:space="preserve"> των ΗΠΑ</w:t>
      </w:r>
      <w:r>
        <w:t xml:space="preserve"> απαίτησε τα </w:t>
      </w:r>
      <w:r>
        <w:rPr>
          <w:lang w:val="en-US"/>
        </w:rPr>
        <w:t>CHIPs</w:t>
      </w:r>
      <w:r>
        <w:t xml:space="preserve"> να προβαίνουν σε διευθέτηση της ίδιας ημέρας, που στην πρα</w:t>
      </w:r>
      <w:r w:rsidR="003D7D78">
        <w:t>γματικότητα περιόρισε σχετικά</w:t>
      </w:r>
      <w:r>
        <w:t xml:space="preserve"> τ</w:t>
      </w:r>
      <w:r w:rsidR="003D7D78">
        <w:t>ο στοιχείο της πίστης αυτής</w:t>
      </w:r>
      <w:r>
        <w:t xml:space="preserve">. </w:t>
      </w:r>
      <w:r w:rsidR="003D7D78">
        <w:t>Βασικός στόχος της κεντρικής τράπεζας να ωθήσει</w:t>
      </w:r>
      <w:r>
        <w:t xml:space="preserve"> το πιστωτικό στοιχείο έξω από το σύ</w:t>
      </w:r>
      <w:r w:rsidR="00460D2E">
        <w:t xml:space="preserve">στημα πληρωμών στην αγορά </w:t>
      </w:r>
      <w:proofErr w:type="spellStart"/>
      <w:r w:rsidR="00460D2E">
        <w:t>ρέπος</w:t>
      </w:r>
      <w:proofErr w:type="spellEnd"/>
      <w:r w:rsidR="00460D2E">
        <w:t>.</w:t>
      </w:r>
    </w:p>
    <w:p w:rsidR="00F861D4" w:rsidRPr="00460D2E" w:rsidRDefault="00F861D4" w:rsidP="0040797E">
      <w:pPr>
        <w:spacing w:line="360" w:lineRule="auto"/>
        <w:contextualSpacing/>
        <w:jc w:val="both"/>
        <w:rPr>
          <w:rFonts w:eastAsia="Calibri"/>
          <w:sz w:val="22"/>
          <w:szCs w:val="22"/>
          <w:lang w:eastAsia="en-US"/>
        </w:rPr>
      </w:pPr>
    </w:p>
    <w:p w:rsidR="005B6B87" w:rsidRPr="005B6B87" w:rsidRDefault="005B6B87" w:rsidP="005B6B87">
      <w:pPr>
        <w:pStyle w:val="2"/>
        <w:spacing w:before="0" w:after="0" w:line="360" w:lineRule="auto"/>
        <w:jc w:val="both"/>
        <w:rPr>
          <w:rFonts w:ascii="Times New Roman" w:hAnsi="Times New Roman" w:cs="Times New Roman"/>
          <w:i w:val="0"/>
        </w:rPr>
      </w:pPr>
      <w:bookmarkStart w:id="9" w:name="_Toc393111066"/>
      <w:r>
        <w:rPr>
          <w:rFonts w:ascii="Times New Roman" w:hAnsi="Times New Roman" w:cs="Times New Roman"/>
          <w:i w:val="0"/>
        </w:rPr>
        <w:t xml:space="preserve">4.6 </w:t>
      </w:r>
      <w:r w:rsidRPr="009F6F3B">
        <w:rPr>
          <w:rFonts w:ascii="Times New Roman" w:hAnsi="Times New Roman" w:cs="Times New Roman"/>
          <w:i w:val="0"/>
        </w:rPr>
        <w:t xml:space="preserve">Η αγορά των συμφωνιών επαναγοράς </w:t>
      </w:r>
      <w:r w:rsidRPr="005B6B87">
        <w:rPr>
          <w:rFonts w:ascii="Times New Roman" w:hAnsi="Times New Roman" w:cs="Times New Roman"/>
          <w:i w:val="0"/>
        </w:rPr>
        <w:t>(</w:t>
      </w:r>
      <w:r>
        <w:rPr>
          <w:rFonts w:ascii="Times New Roman" w:hAnsi="Times New Roman" w:cs="Times New Roman"/>
          <w:i w:val="0"/>
          <w:lang w:val="en-US"/>
        </w:rPr>
        <w:t>R</w:t>
      </w:r>
      <w:proofErr w:type="spellStart"/>
      <w:r w:rsidRPr="009F6F3B">
        <w:rPr>
          <w:rFonts w:ascii="Times New Roman" w:hAnsi="Times New Roman" w:cs="Times New Roman"/>
          <w:i w:val="0"/>
        </w:rPr>
        <w:t>epos</w:t>
      </w:r>
      <w:proofErr w:type="spellEnd"/>
      <w:r w:rsidRPr="005B6B87">
        <w:rPr>
          <w:rFonts w:ascii="Times New Roman" w:hAnsi="Times New Roman" w:cs="Times New Roman"/>
          <w:i w:val="0"/>
        </w:rPr>
        <w:t>)</w:t>
      </w:r>
      <w:bookmarkEnd w:id="9"/>
    </w:p>
    <w:p w:rsidR="00B04962" w:rsidRDefault="00460D2E" w:rsidP="00B04962">
      <w:pPr>
        <w:spacing w:line="360" w:lineRule="auto"/>
        <w:ind w:firstLine="720"/>
        <w:jc w:val="both"/>
      </w:pPr>
      <w:r>
        <w:t xml:space="preserve">Η συμφωνία επαναγοράς το λεγόμενο </w:t>
      </w:r>
      <w:proofErr w:type="spellStart"/>
      <w:r>
        <w:t>ρ</w:t>
      </w:r>
      <w:r w:rsidR="009F7E1A">
        <w:t>έπος</w:t>
      </w:r>
      <w:proofErr w:type="spellEnd"/>
      <w:r w:rsidR="009F7E1A">
        <w:t xml:space="preserve"> (</w:t>
      </w:r>
      <w:proofErr w:type="spellStart"/>
      <w:r w:rsidR="009F7E1A" w:rsidRPr="009F7E1A">
        <w:t>Repo</w:t>
      </w:r>
      <w:r w:rsidR="009F7E1A" w:rsidRPr="00B04962">
        <w:t>s</w:t>
      </w:r>
      <w:proofErr w:type="spellEnd"/>
      <w:r w:rsidR="009F7E1A">
        <w:t>)</w:t>
      </w:r>
      <w:r w:rsidR="009F7E1A" w:rsidRPr="009F7E1A">
        <w:t xml:space="preserve"> είναι ένα συμβόλαιο όπου ένας πωλητής-δανειζόμενος πωλεί ένα αξιόγραφο (πχ ΕΓΔ) σ’</w:t>
      </w:r>
      <w:r w:rsidR="009F7E1A">
        <w:t xml:space="preserve"> </w:t>
      </w:r>
      <w:r w:rsidR="009F7E1A" w:rsidRPr="009F7E1A">
        <w:t xml:space="preserve">έναν αγοραστή-δανειστή με τη συμφωνία να το </w:t>
      </w:r>
      <w:proofErr w:type="spellStart"/>
      <w:r w:rsidR="009F7E1A" w:rsidRPr="009F7E1A">
        <w:t>επαναγοράσει</w:t>
      </w:r>
      <w:proofErr w:type="spellEnd"/>
      <w:r w:rsidR="009F7E1A" w:rsidRPr="009F7E1A">
        <w:t xml:space="preserve"> μετά από ορισμένο χρόνο σε μία προκαθορισμέν</w:t>
      </w:r>
      <w:r>
        <w:t>η μεγαλύτερη</w:t>
      </w:r>
      <w:r w:rsidR="009F7E1A" w:rsidRPr="009F7E1A">
        <w:t xml:space="preserve"> τιμή</w:t>
      </w:r>
      <w:r w:rsidR="009F7E1A">
        <w:t>. Δ</w:t>
      </w:r>
      <w:r w:rsidR="009F7E1A" w:rsidRPr="009F7E1A">
        <w:t>ιεθνώς η χρήση τους περιορίζ</w:t>
      </w:r>
      <w:r>
        <w:t>εται σε τράπεζες και</w:t>
      </w:r>
      <w:r w:rsidR="009F7E1A">
        <w:t xml:space="preserve"> μεγάλες επιχειρήσεις αν και στην Ελλάδα χρησιμοποιείται και μεταξύ τράπεζας και ιδιωτών. Μια συμφωνία επαναγοράς είναι </w:t>
      </w:r>
      <w:r w:rsidR="009F7E1A" w:rsidRPr="00B04962">
        <w:t xml:space="preserve">συνήθως </w:t>
      </w:r>
      <w:r w:rsidR="009F7E1A">
        <w:t xml:space="preserve">ένα </w:t>
      </w:r>
      <w:r w:rsidR="009F7E1A" w:rsidRPr="00B04962">
        <w:t xml:space="preserve">δάνειο με εγγύηση κατά τη διάρκεια της νύχτας μεταξύ τραπεζών, νομικά διαμορφωμένο ως δύο συναλλαγές τίτλων με διαφορά μίας ημέρας μεταξύ τους. </w:t>
      </w:r>
    </w:p>
    <w:p w:rsidR="00B04962" w:rsidRDefault="009F7E1A" w:rsidP="00B04962">
      <w:pPr>
        <w:spacing w:line="360" w:lineRule="auto"/>
        <w:ind w:firstLine="720"/>
        <w:jc w:val="both"/>
      </w:pPr>
      <w:r w:rsidRPr="00B04962">
        <w:t>Μ</w:t>
      </w:r>
      <w:r>
        <w:t xml:space="preserve">πορούμε να αποκαλούμε την οικονομική μονάδα που </w:t>
      </w:r>
      <w:r w:rsidR="00810A8A">
        <w:t>πουλά τίτλους για επαναγορά (</w:t>
      </w:r>
      <w:r>
        <w:t>με</w:t>
      </w:r>
      <w:r w:rsidR="00810A8A">
        <w:t xml:space="preserve">τατρέπει τους τίτλους σε </w:t>
      </w:r>
      <w:proofErr w:type="spellStart"/>
      <w:r w:rsidR="00810A8A">
        <w:t>ρέπος</w:t>
      </w:r>
      <w:proofErr w:type="spellEnd"/>
      <w:r w:rsidR="00810A8A">
        <w:t xml:space="preserve">) </w:t>
      </w:r>
      <w:r>
        <w:t xml:space="preserve"> ως δανειζόμενο χρήματος, και </w:t>
      </w:r>
      <w:r w:rsidR="00B04962" w:rsidRPr="00B04962">
        <w:t xml:space="preserve">την οικονομική μονάδα </w:t>
      </w:r>
      <w:r>
        <w:t xml:space="preserve">που </w:t>
      </w:r>
      <w:r w:rsidR="00810A8A">
        <w:t xml:space="preserve">αγοράζει τίτλους για </w:t>
      </w:r>
      <w:proofErr w:type="spellStart"/>
      <w:r w:rsidR="00810A8A">
        <w:t>επαναπώληση</w:t>
      </w:r>
      <w:proofErr w:type="spellEnd"/>
      <w:r w:rsidR="00810A8A">
        <w:t xml:space="preserve"> (αντιστρέφει σε τίτλους)</w:t>
      </w:r>
      <w:r>
        <w:t xml:space="preserve"> ως δανειστή χρήμα</w:t>
      </w:r>
      <w:r w:rsidR="00B04962">
        <w:t xml:space="preserve">τος και </w:t>
      </w:r>
      <w:r>
        <w:t>είναι αυτός ο τελευταίο</w:t>
      </w:r>
      <w:r w:rsidR="00810A8A">
        <w:t xml:space="preserve">ς που καλείται «να κάνει </w:t>
      </w:r>
      <w:proofErr w:type="spellStart"/>
      <w:r w:rsidR="00810A8A">
        <w:t>ρέπο</w:t>
      </w:r>
      <w:proofErr w:type="spellEnd"/>
      <w:r w:rsidR="00810A8A">
        <w:t>»</w:t>
      </w:r>
      <w:r>
        <w:t>, εννοώντας να επενδύσει σε δάνε</w:t>
      </w:r>
      <w:r w:rsidR="00B04962">
        <w:t>ια κατά τη διάρκεια της νύχτας.</w:t>
      </w:r>
      <w:r>
        <w:t xml:space="preserve"> Στο πρώτο πόδι του </w:t>
      </w:r>
      <w:proofErr w:type="spellStart"/>
      <w:r>
        <w:t>ρέπο</w:t>
      </w:r>
      <w:proofErr w:type="spellEnd"/>
      <w:r>
        <w:t xml:space="preserve">, το χρήμα ρέει από τον δανειστή στον δανειζόμενο και οι τίτλοι ρέουν στην αντίθετη κατεύθυνση. Στο δεύτερο πόδι του </w:t>
      </w:r>
      <w:proofErr w:type="spellStart"/>
      <w:r>
        <w:t>ρέπο</w:t>
      </w:r>
      <w:proofErr w:type="spellEnd"/>
      <w:r>
        <w:t xml:space="preserve">, οι τίτλοι ρέουν πίσω στον δανειζόμενο, και λίγο περισσότερο χρήμα ρέει πίσω στον δανειστή. </w:t>
      </w:r>
    </w:p>
    <w:p w:rsidR="00810A8A" w:rsidRDefault="00B04962" w:rsidP="00810A8A">
      <w:pPr>
        <w:spacing w:line="360" w:lineRule="auto"/>
        <w:ind w:firstLine="720"/>
        <w:jc w:val="both"/>
      </w:pPr>
      <w:r>
        <w:t>Για να γίνει κατανοητό βλέπουμε το ακόλουθο παράδειγμα όπου μ</w:t>
      </w:r>
      <w:r w:rsidRPr="009F7E1A">
        <w:t xml:space="preserve">ια τράπεζα έχει στη κατοχή της </w:t>
      </w:r>
      <w:r w:rsidR="00460D2E">
        <w:t>έντοκα γραμμάτια του δημοσίου (</w:t>
      </w:r>
      <w:r w:rsidR="00460D2E" w:rsidRPr="009F7E1A">
        <w:t>ΕΓΔ</w:t>
      </w:r>
      <w:r w:rsidR="00460D2E">
        <w:t>) αξίας</w:t>
      </w:r>
      <w:r w:rsidR="00460D2E" w:rsidRPr="009F7E1A">
        <w:t xml:space="preserve"> </w:t>
      </w:r>
      <w:r w:rsidRPr="009F7E1A">
        <w:t xml:space="preserve">10 εκατ. </w:t>
      </w:r>
      <w:r>
        <w:t>Ευρώ</w:t>
      </w:r>
      <w:r w:rsidRPr="009F7E1A">
        <w:t xml:space="preserve"> και χρειάζεται ρευστά για μια ημέρα 10 εκατ. </w:t>
      </w:r>
      <w:r w:rsidRPr="00B04962">
        <w:t>Ευρώ</w:t>
      </w:r>
      <w:r>
        <w:t>.</w:t>
      </w:r>
      <w:r w:rsidRPr="00B04962">
        <w:t xml:space="preserve"> </w:t>
      </w:r>
      <w:r w:rsidRPr="009F7E1A">
        <w:t>Εάν</w:t>
      </w:r>
      <w:r>
        <w:t xml:space="preserve"> από την άλλη</w:t>
      </w:r>
      <w:r w:rsidRPr="009F7E1A">
        <w:t xml:space="preserve"> μια επιχείρηση </w:t>
      </w:r>
      <w:r w:rsidRPr="009F7E1A">
        <w:lastRenderedPageBreak/>
        <w:t xml:space="preserve">έχει ρευστά 10 εκατ. </w:t>
      </w:r>
      <w:r>
        <w:t>Ευρώ</w:t>
      </w:r>
      <w:r w:rsidRPr="009F7E1A">
        <w:t xml:space="preserve">, θέλει να τα τοποθετήσει για μια ημέρα σε </w:t>
      </w:r>
      <w:proofErr w:type="spellStart"/>
      <w:r w:rsidRPr="00B04962">
        <w:t>repos</w:t>
      </w:r>
      <w:proofErr w:type="spellEnd"/>
      <w:r w:rsidRPr="009F7E1A">
        <w:t xml:space="preserve"> και </w:t>
      </w:r>
      <w:r w:rsidR="00460D2E">
        <w:t xml:space="preserve">η </w:t>
      </w:r>
      <w:r w:rsidRPr="009F7E1A">
        <w:t xml:space="preserve">απόδοση μιας ημέρας των </w:t>
      </w:r>
      <w:proofErr w:type="spellStart"/>
      <w:r w:rsidRPr="00B04962">
        <w:t>repos</w:t>
      </w:r>
      <w:proofErr w:type="spellEnd"/>
      <w:r w:rsidRPr="009F7E1A">
        <w:t xml:space="preserve"> είναι 7% </w:t>
      </w:r>
      <w:r>
        <w:t xml:space="preserve">τότε το ερώτημα που τίθεται είναι </w:t>
      </w:r>
      <w:r w:rsidRPr="009F7E1A">
        <w:t xml:space="preserve">πόσο πρέπει η τράπεζα να πουλήσει τα ΕΓΔ τα οποία θα τα </w:t>
      </w:r>
      <w:proofErr w:type="spellStart"/>
      <w:r w:rsidRPr="009F7E1A">
        <w:t>επαναγοράσει</w:t>
      </w:r>
      <w:proofErr w:type="spellEnd"/>
      <w:r w:rsidRPr="009F7E1A">
        <w:t xml:space="preserve"> στη τιμή των 10 εκατ.; </w:t>
      </w:r>
      <w:r>
        <w:t xml:space="preserve">Προκειμένου να απαντήσουμε σε αυτό βρίσκουμε πρώτα τους τόκους ως ακολούθως: </w:t>
      </w:r>
    </w:p>
    <w:p w:rsidR="00810A8A" w:rsidRDefault="009F7E1A" w:rsidP="00810A8A">
      <w:pPr>
        <w:spacing w:line="360" w:lineRule="auto"/>
        <w:ind w:firstLine="720"/>
        <w:jc w:val="both"/>
      </w:pPr>
      <w:r w:rsidRPr="009F7E1A">
        <w:t xml:space="preserve">Τόκοι = Αρχικό κεφάλαιο * απόδοση του </w:t>
      </w:r>
      <w:r w:rsidRPr="009F7E1A">
        <w:rPr>
          <w:lang w:val="en-US"/>
        </w:rPr>
        <w:t>repo</w:t>
      </w:r>
      <w:r w:rsidRPr="009F7E1A">
        <w:t xml:space="preserve"> * διάρκεια σε ημέρες /365</w:t>
      </w:r>
    </w:p>
    <w:p w:rsidR="00810A8A" w:rsidRDefault="009F7E1A" w:rsidP="003D7D78">
      <w:pPr>
        <w:spacing w:line="360" w:lineRule="auto"/>
        <w:ind w:firstLine="720"/>
        <w:jc w:val="both"/>
      </w:pPr>
      <w:r w:rsidRPr="009F7E1A">
        <w:t>Τόκοι= 10000000 * 0,07 * 1/365 = 1917,808</w:t>
      </w:r>
    </w:p>
    <w:p w:rsidR="00B04962" w:rsidRDefault="00B04962" w:rsidP="00810A8A">
      <w:pPr>
        <w:spacing w:line="360" w:lineRule="auto"/>
        <w:jc w:val="both"/>
      </w:pPr>
      <w:r>
        <w:t xml:space="preserve">Στην συνέχεια αφαιρούμε από την ονομαστική τιμή τους τόκους και βρίσκουμε την τιμή πώλησης </w:t>
      </w:r>
      <w:r w:rsidRPr="009F7E1A">
        <w:t xml:space="preserve">των ΕΓΔ </w:t>
      </w:r>
      <w:r>
        <w:t>που ψάχνουμε. Πιο συγκεκριμένα:</w:t>
      </w:r>
    </w:p>
    <w:p w:rsidR="00B04962" w:rsidRDefault="00B04962" w:rsidP="009F7E1A">
      <w:pPr>
        <w:jc w:val="both"/>
      </w:pPr>
    </w:p>
    <w:p w:rsidR="009F7E1A" w:rsidRPr="009F7E1A" w:rsidRDefault="009F7E1A" w:rsidP="00D8701A">
      <w:pPr>
        <w:ind w:firstLine="720"/>
        <w:jc w:val="both"/>
      </w:pPr>
      <w:r w:rsidRPr="009F7E1A">
        <w:t xml:space="preserve">10000000 – 1917,808 = 9998082 </w:t>
      </w:r>
    </w:p>
    <w:p w:rsidR="009F7E1A" w:rsidRPr="009F7E1A" w:rsidRDefault="009F7E1A" w:rsidP="009F7E1A">
      <w:pPr>
        <w:jc w:val="both"/>
      </w:pPr>
    </w:p>
    <w:p w:rsidR="00810A8A" w:rsidRDefault="00B04962" w:rsidP="00810A8A">
      <w:pPr>
        <w:spacing w:line="360" w:lineRule="auto"/>
        <w:jc w:val="both"/>
      </w:pPr>
      <w:r>
        <w:t>Αντίστοιχα αν ψάχναμε την απόδοση</w:t>
      </w:r>
      <w:r w:rsidR="00460D2E">
        <w:t xml:space="preserve"> σε ετήσια βάση</w:t>
      </w:r>
      <w:r>
        <w:t xml:space="preserve"> των </w:t>
      </w:r>
      <w:proofErr w:type="spellStart"/>
      <w:r>
        <w:t>ρέπος</w:t>
      </w:r>
      <w:proofErr w:type="spellEnd"/>
      <w:r>
        <w:t xml:space="preserve"> γνωρίζοντας ότι </w:t>
      </w:r>
      <w:r w:rsidR="009F7E1A" w:rsidRPr="009F7E1A">
        <w:t xml:space="preserve">η επιχείρηση </w:t>
      </w:r>
      <w:r>
        <w:t xml:space="preserve">θα </w:t>
      </w:r>
      <w:r w:rsidR="009F7E1A" w:rsidRPr="009F7E1A">
        <w:t xml:space="preserve">πληρώσει για τα ΕΓΔ 9998082 και τα ξανά πουλούσε πίσω στη τράπεζα για 10000000, τότε η απόδοση του </w:t>
      </w:r>
      <w:proofErr w:type="spellStart"/>
      <w:r w:rsidR="009F7E1A" w:rsidRPr="00810A8A">
        <w:t>repo</w:t>
      </w:r>
      <w:proofErr w:type="spellEnd"/>
      <w:r w:rsidR="009F7E1A" w:rsidRPr="009F7E1A">
        <w:t xml:space="preserve"> θα ήταν:</w:t>
      </w:r>
    </w:p>
    <w:p w:rsidR="009F7E1A" w:rsidRPr="009F7E1A" w:rsidRDefault="009F7E1A" w:rsidP="00810A8A">
      <w:pPr>
        <w:spacing w:line="360" w:lineRule="auto"/>
        <w:jc w:val="both"/>
      </w:pPr>
      <w:r w:rsidRPr="009F7E1A">
        <w:t xml:space="preserve">Απόδοση </w:t>
      </w:r>
      <w:r w:rsidRPr="009F7E1A">
        <w:rPr>
          <w:lang w:val="en-US"/>
        </w:rPr>
        <w:t>Repo</w:t>
      </w:r>
      <w:r w:rsidRPr="009F7E1A">
        <w:t xml:space="preserve"> =</w:t>
      </w:r>
      <w:r w:rsidR="00810A8A">
        <w:t xml:space="preserve"> </w:t>
      </w:r>
      <w:r w:rsidRPr="009F7E1A">
        <w:t>[(Αρχ. Κεφάλαιο –</w:t>
      </w:r>
      <w:r w:rsidR="00810A8A">
        <w:t>π</w:t>
      </w:r>
      <w:r w:rsidRPr="009F7E1A">
        <w:t>οσό αγοράς) / ποσό αγοράς]*365/ διάρκεια σε ημέρες</w:t>
      </w:r>
      <w:r w:rsidR="00810A8A">
        <w:t xml:space="preserve"> δηλαδή </w:t>
      </w:r>
      <w:r w:rsidRPr="009F7E1A">
        <w:t xml:space="preserve">[(10000000-9998082)/9998082]*365/1ή  </w:t>
      </w:r>
      <w:r w:rsidRPr="009F7E1A">
        <w:rPr>
          <w:lang w:val="en-US"/>
        </w:rPr>
        <w:t>repo</w:t>
      </w:r>
      <w:r w:rsidRPr="009F7E1A">
        <w:t xml:space="preserve"> </w:t>
      </w:r>
      <w:r w:rsidRPr="009F7E1A">
        <w:rPr>
          <w:lang w:val="en-US"/>
        </w:rPr>
        <w:t>rate</w:t>
      </w:r>
      <w:r w:rsidRPr="009F7E1A">
        <w:t xml:space="preserve"> = 0,07</w:t>
      </w:r>
    </w:p>
    <w:p w:rsidR="009F7E1A" w:rsidRDefault="009F7E1A" w:rsidP="009F7E1A">
      <w:pPr>
        <w:jc w:val="both"/>
        <w:rPr>
          <w:b/>
        </w:rPr>
      </w:pPr>
    </w:p>
    <w:p w:rsidR="009F7E1A" w:rsidRPr="003F037E" w:rsidRDefault="00B04962" w:rsidP="00490FDB">
      <w:pPr>
        <w:spacing w:line="360" w:lineRule="auto"/>
        <w:jc w:val="both"/>
        <w:rPr>
          <w:b/>
          <w:i/>
          <w:u w:val="single"/>
        </w:rPr>
      </w:pPr>
      <w:r w:rsidRPr="003F037E">
        <w:rPr>
          <w:b/>
          <w:i/>
          <w:u w:val="single"/>
        </w:rPr>
        <w:t>Διαπραγματευτέ</w:t>
      </w:r>
      <w:r w:rsidR="009F7E1A" w:rsidRPr="003F037E">
        <w:rPr>
          <w:b/>
          <w:i/>
          <w:u w:val="single"/>
        </w:rPr>
        <w:t>ς τίτλων</w:t>
      </w:r>
      <w:r w:rsidR="00460D2E" w:rsidRPr="003F037E">
        <w:rPr>
          <w:b/>
          <w:i/>
          <w:u w:val="single"/>
        </w:rPr>
        <w:t xml:space="preserve"> στην αγορά των </w:t>
      </w:r>
      <w:r w:rsidR="00460D2E" w:rsidRPr="003F037E">
        <w:rPr>
          <w:b/>
          <w:i/>
          <w:u w:val="single"/>
          <w:lang w:val="en-US"/>
        </w:rPr>
        <w:t>Repos</w:t>
      </w:r>
      <w:r w:rsidR="009F7E1A" w:rsidRPr="003F037E">
        <w:rPr>
          <w:b/>
          <w:i/>
          <w:u w:val="single"/>
        </w:rPr>
        <w:t xml:space="preserve"> </w:t>
      </w:r>
    </w:p>
    <w:p w:rsidR="00460D2E" w:rsidRPr="00460D2E" w:rsidRDefault="009F7E1A" w:rsidP="00460D2E">
      <w:pPr>
        <w:spacing w:line="360" w:lineRule="auto"/>
        <w:ind w:firstLine="720"/>
        <w:jc w:val="both"/>
      </w:pPr>
      <w:r>
        <w:t xml:space="preserve">Στην πράξη, ένας </w:t>
      </w:r>
      <w:r w:rsidR="00810A8A">
        <w:t>διαπραγματευτής</w:t>
      </w:r>
      <w:r>
        <w:t xml:space="preserve"> τίτλων</w:t>
      </w:r>
      <w:r w:rsidR="00810A8A">
        <w:t xml:space="preserve"> (</w:t>
      </w:r>
      <w:proofErr w:type="spellStart"/>
      <w:r w:rsidR="00810A8A" w:rsidRPr="00490FDB">
        <w:t>dealer</w:t>
      </w:r>
      <w:proofErr w:type="spellEnd"/>
      <w:r w:rsidR="00810A8A" w:rsidRPr="00810A8A">
        <w:t>)</w:t>
      </w:r>
      <w:r>
        <w:t xml:space="preserve"> βρίσκεται στην άλλη πλευρά των περισσότερων συναλλαγών σε </w:t>
      </w:r>
      <w:proofErr w:type="spellStart"/>
      <w:r>
        <w:t>ρέπος</w:t>
      </w:r>
      <w:proofErr w:type="spellEnd"/>
      <w:r>
        <w:t>. Αυτός είτε δανείζεται χρήμα χρησιμοποιώντας τους τίτλους του ως εγγυήσεις ή δανείζει χρήμα λαμβάνοντας τίτ</w:t>
      </w:r>
      <w:r w:rsidR="00810A8A">
        <w:t>λους ως εγγύηση. Θεωρήστε τους διαπραγματευτές</w:t>
      </w:r>
      <w:r>
        <w:t xml:space="preserve"> τίτλων ως ένα είδος τράπεζας.</w:t>
      </w:r>
    </w:p>
    <w:p w:rsidR="009F7E1A" w:rsidRDefault="00810A8A" w:rsidP="00460D2E">
      <w:pPr>
        <w:spacing w:line="360" w:lineRule="auto"/>
        <w:ind w:firstLine="720"/>
        <w:jc w:val="both"/>
      </w:pPr>
      <w:r>
        <w:t>Ο πίνακας</w:t>
      </w:r>
      <w:r w:rsidR="00460D2E" w:rsidRPr="00460D2E">
        <w:t xml:space="preserve"> 4.1</w:t>
      </w:r>
      <w:r w:rsidR="000C510F">
        <w:t>5</w:t>
      </w:r>
      <w:r w:rsidR="009F7E1A">
        <w:t xml:space="preserve"> δείχνει τον τυποποιημένο ισολογισμό ενός </w:t>
      </w:r>
      <w:r>
        <w:t>διαπραγματευτή</w:t>
      </w:r>
      <w:r w:rsidR="009F7E1A">
        <w:t xml:space="preserve"> τίτλων, που συμπεριφέρεται στο </w:t>
      </w:r>
      <w:proofErr w:type="spellStart"/>
      <w:r w:rsidR="009F7E1A">
        <w:t>δανείζεσθαι</w:t>
      </w:r>
      <w:proofErr w:type="spellEnd"/>
      <w:r w:rsidR="009F7E1A">
        <w:t xml:space="preserve"> χρήμα ως ένα στοιχείο παθητικού και στο </w:t>
      </w:r>
      <w:proofErr w:type="spellStart"/>
      <w:r w:rsidR="009F7E1A">
        <w:t>δανείζειν</w:t>
      </w:r>
      <w:proofErr w:type="spellEnd"/>
      <w:r w:rsidR="009F7E1A">
        <w:t xml:space="preserve"> χρήμα ως ένα στοιχείο ενεργητικού. Εδώ είναι μια εκδοχή αυτής της απεικόνισης που περιλαμβάνει τον ισολογισμό του έσχατου δανειζόμενου (εταιρεία Α)  και του έσχατου δανειστή (εταιρεία Β). Συγκεκριμένα θα μπορούσαμε να θεωρήσουμε την εταιρεία Α ως μια τράπεζα που χρηματοδοτεί τα αποθέματα της σε τίτλους με </w:t>
      </w:r>
      <w:proofErr w:type="spellStart"/>
      <w:r w:rsidR="009F7E1A">
        <w:t>ρέπος</w:t>
      </w:r>
      <w:proofErr w:type="spellEnd"/>
      <w:r w:rsidR="009F7E1A">
        <w:t xml:space="preserve"> κατά τη διάρκεια της νύχτας, και την εταιρεία Β ως ένα συνταξιοδοτικό ταμείο που χρησιμοποιεί </w:t>
      </w:r>
      <w:proofErr w:type="spellStart"/>
      <w:r w:rsidR="009F7E1A">
        <w:t>ρέπος</w:t>
      </w:r>
      <w:proofErr w:type="spellEnd"/>
      <w:r w:rsidR="009F7E1A">
        <w:t xml:space="preserve"> κατά τη διάρκεια της νύχτας για να στηρίξει τα χρηματικά του ισοζύγια.          </w:t>
      </w:r>
    </w:p>
    <w:p w:rsidR="00490FDB" w:rsidRDefault="00490FDB" w:rsidP="009F7E1A">
      <w:pPr>
        <w:jc w:val="both"/>
      </w:pPr>
    </w:p>
    <w:p w:rsidR="009F7E1A" w:rsidRDefault="00490FDB" w:rsidP="009F7E1A">
      <w:pPr>
        <w:jc w:val="both"/>
      </w:pPr>
      <w:r w:rsidRPr="00490FDB">
        <w:rPr>
          <w:b/>
        </w:rPr>
        <w:t>Πίνακας</w:t>
      </w:r>
      <w:r w:rsidR="00DC7EB8">
        <w:rPr>
          <w:b/>
        </w:rPr>
        <w:t xml:space="preserve"> 4.1</w:t>
      </w:r>
      <w:r w:rsidR="000C510F">
        <w:rPr>
          <w:b/>
        </w:rPr>
        <w:t xml:space="preserve">5 </w:t>
      </w:r>
      <w:r>
        <w:t xml:space="preserve">Ισολογισμός ενός </w:t>
      </w:r>
      <w:r w:rsidR="00680A7D">
        <w:t>διαπραγματευτής</w:t>
      </w:r>
      <w:r w:rsidRPr="00490FDB">
        <w:t xml:space="preserve"> </w:t>
      </w:r>
      <w:r>
        <w:t xml:space="preserve">των </w:t>
      </w:r>
      <w:r>
        <w:rPr>
          <w:lang w:val="en-US"/>
        </w:rPr>
        <w:t>Repos</w:t>
      </w:r>
      <w:r w:rsidR="009F7E1A" w:rsidRPr="00427AB7">
        <w:t xml:space="preserve"> </w:t>
      </w:r>
      <w:r w:rsidR="009F7E1A">
        <w:t xml:space="preserve">                                   </w:t>
      </w:r>
    </w:p>
    <w:tbl>
      <w:tblPr>
        <w:tblStyle w:val="af3"/>
        <w:tblW w:w="8520" w:type="dxa"/>
        <w:tblLook w:val="04A0" w:firstRow="1" w:lastRow="0" w:firstColumn="1" w:lastColumn="0" w:noHBand="0" w:noVBand="1"/>
      </w:tblPr>
      <w:tblGrid>
        <w:gridCol w:w="1434"/>
        <w:gridCol w:w="1410"/>
        <w:gridCol w:w="1491"/>
        <w:gridCol w:w="1376"/>
        <w:gridCol w:w="1433"/>
        <w:gridCol w:w="1376"/>
      </w:tblGrid>
      <w:tr w:rsidR="00810A8A" w:rsidRPr="003F037E" w:rsidTr="00810A8A">
        <w:tc>
          <w:tcPr>
            <w:tcW w:w="2844" w:type="dxa"/>
            <w:gridSpan w:val="2"/>
            <w:shd w:val="clear" w:color="auto" w:fill="BFBFBF" w:themeFill="background1" w:themeFillShade="BF"/>
          </w:tcPr>
          <w:p w:rsidR="00810A8A" w:rsidRPr="003F037E" w:rsidRDefault="00810A8A" w:rsidP="00810A8A">
            <w:pPr>
              <w:jc w:val="center"/>
              <w:rPr>
                <w:rFonts w:ascii="Times New Roman" w:hAnsi="Times New Roman"/>
                <w:b/>
                <w:sz w:val="22"/>
                <w:szCs w:val="22"/>
              </w:rPr>
            </w:pPr>
            <w:r w:rsidRPr="003F037E">
              <w:rPr>
                <w:rFonts w:ascii="Times New Roman" w:hAnsi="Times New Roman"/>
                <w:b/>
                <w:sz w:val="22"/>
                <w:szCs w:val="22"/>
              </w:rPr>
              <w:lastRenderedPageBreak/>
              <w:t>Τράπεζα</w:t>
            </w:r>
          </w:p>
          <w:p w:rsidR="00810A8A" w:rsidRPr="003F037E" w:rsidRDefault="00810A8A" w:rsidP="00810A8A">
            <w:pPr>
              <w:jc w:val="center"/>
              <w:rPr>
                <w:rFonts w:ascii="Times New Roman" w:hAnsi="Times New Roman"/>
                <w:b/>
                <w:sz w:val="22"/>
                <w:szCs w:val="22"/>
              </w:rPr>
            </w:pPr>
            <w:r w:rsidRPr="003F037E">
              <w:rPr>
                <w:rFonts w:ascii="Times New Roman" w:hAnsi="Times New Roman"/>
                <w:b/>
                <w:sz w:val="22"/>
                <w:szCs w:val="22"/>
              </w:rPr>
              <w:t>Εταιρία  Α</w:t>
            </w:r>
          </w:p>
        </w:tc>
        <w:tc>
          <w:tcPr>
            <w:tcW w:w="2867" w:type="dxa"/>
            <w:gridSpan w:val="2"/>
            <w:shd w:val="clear" w:color="auto" w:fill="BFBFBF" w:themeFill="background1" w:themeFillShade="BF"/>
          </w:tcPr>
          <w:p w:rsidR="00810A8A" w:rsidRPr="003F037E" w:rsidRDefault="00810A8A" w:rsidP="00810A8A">
            <w:pPr>
              <w:jc w:val="center"/>
              <w:rPr>
                <w:rFonts w:ascii="Times New Roman" w:hAnsi="Times New Roman"/>
                <w:b/>
                <w:sz w:val="22"/>
                <w:szCs w:val="22"/>
              </w:rPr>
            </w:pPr>
            <w:r w:rsidRPr="003F037E">
              <w:rPr>
                <w:rFonts w:ascii="Times New Roman" w:hAnsi="Times New Roman"/>
                <w:b/>
                <w:sz w:val="22"/>
                <w:szCs w:val="22"/>
              </w:rPr>
              <w:t>Διαπραγματευτής</w:t>
            </w:r>
          </w:p>
        </w:tc>
        <w:tc>
          <w:tcPr>
            <w:tcW w:w="2809" w:type="dxa"/>
            <w:gridSpan w:val="2"/>
            <w:shd w:val="clear" w:color="auto" w:fill="BFBFBF" w:themeFill="background1" w:themeFillShade="BF"/>
          </w:tcPr>
          <w:p w:rsidR="00810A8A" w:rsidRPr="003F037E" w:rsidRDefault="00810A8A" w:rsidP="00810A8A">
            <w:pPr>
              <w:jc w:val="center"/>
              <w:rPr>
                <w:rFonts w:ascii="Times New Roman" w:hAnsi="Times New Roman"/>
                <w:b/>
                <w:sz w:val="22"/>
                <w:szCs w:val="22"/>
              </w:rPr>
            </w:pPr>
            <w:r w:rsidRPr="003F037E">
              <w:rPr>
                <w:rFonts w:ascii="Times New Roman" w:hAnsi="Times New Roman"/>
                <w:b/>
                <w:sz w:val="22"/>
                <w:szCs w:val="22"/>
              </w:rPr>
              <w:t>Συνταξιοδοτικό Ταμείο Εταιρία Β</w:t>
            </w:r>
          </w:p>
        </w:tc>
      </w:tr>
      <w:tr w:rsidR="009F7E1A" w:rsidRPr="003F037E" w:rsidTr="00810A8A">
        <w:tc>
          <w:tcPr>
            <w:tcW w:w="1434"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410"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Παθητικό</w:t>
            </w:r>
          </w:p>
        </w:tc>
        <w:tc>
          <w:tcPr>
            <w:tcW w:w="1491"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376"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Παθητικό</w:t>
            </w:r>
          </w:p>
        </w:tc>
        <w:tc>
          <w:tcPr>
            <w:tcW w:w="1433"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Στοιχεία Ενεργητικού</w:t>
            </w:r>
          </w:p>
        </w:tc>
        <w:tc>
          <w:tcPr>
            <w:tcW w:w="1376" w:type="dxa"/>
          </w:tcPr>
          <w:p w:rsidR="009F7E1A" w:rsidRPr="003F037E" w:rsidRDefault="009F7E1A" w:rsidP="009F7E1A">
            <w:pPr>
              <w:jc w:val="both"/>
              <w:rPr>
                <w:rFonts w:ascii="Times New Roman" w:hAnsi="Times New Roman"/>
                <w:b/>
                <w:sz w:val="22"/>
                <w:szCs w:val="22"/>
              </w:rPr>
            </w:pPr>
            <w:r w:rsidRPr="003F037E">
              <w:rPr>
                <w:rFonts w:ascii="Times New Roman" w:hAnsi="Times New Roman"/>
                <w:b/>
                <w:sz w:val="22"/>
                <w:szCs w:val="22"/>
              </w:rPr>
              <w:t>Παθητικό</w:t>
            </w:r>
          </w:p>
        </w:tc>
      </w:tr>
      <w:tr w:rsidR="009F7E1A" w:rsidRPr="003F037E" w:rsidTr="00810A8A">
        <w:tc>
          <w:tcPr>
            <w:tcW w:w="1434" w:type="dxa"/>
          </w:tcPr>
          <w:p w:rsidR="009F7E1A" w:rsidRPr="003F037E" w:rsidRDefault="009F7E1A" w:rsidP="00134D65">
            <w:pPr>
              <w:rPr>
                <w:rFonts w:ascii="Times New Roman" w:hAnsi="Times New Roman"/>
                <w:sz w:val="22"/>
                <w:szCs w:val="22"/>
              </w:rPr>
            </w:pPr>
          </w:p>
        </w:tc>
        <w:tc>
          <w:tcPr>
            <w:tcW w:w="1410" w:type="dxa"/>
          </w:tcPr>
          <w:p w:rsidR="009F7E1A" w:rsidRPr="003F037E" w:rsidRDefault="009F7E1A" w:rsidP="00134D65">
            <w:pPr>
              <w:rPr>
                <w:rFonts w:ascii="Times New Roman" w:hAnsi="Times New Roman"/>
                <w:sz w:val="22"/>
                <w:szCs w:val="22"/>
              </w:rPr>
            </w:pPr>
            <w:r w:rsidRPr="003F037E">
              <w:rPr>
                <w:rFonts w:ascii="Times New Roman" w:hAnsi="Times New Roman"/>
                <w:sz w:val="22"/>
                <w:szCs w:val="22"/>
              </w:rPr>
              <w:t>+διαθέσιμα</w:t>
            </w:r>
          </w:p>
        </w:tc>
        <w:tc>
          <w:tcPr>
            <w:tcW w:w="1491" w:type="dxa"/>
          </w:tcPr>
          <w:p w:rsidR="009F7E1A" w:rsidRPr="003F037E" w:rsidRDefault="009F7E1A" w:rsidP="00134D65">
            <w:pPr>
              <w:rPr>
                <w:rFonts w:ascii="Times New Roman" w:hAnsi="Times New Roman"/>
                <w:sz w:val="22"/>
                <w:szCs w:val="22"/>
                <w:lang w:val="en-US"/>
              </w:rPr>
            </w:pPr>
            <w:r w:rsidRPr="003F037E">
              <w:rPr>
                <w:rFonts w:ascii="Times New Roman" w:hAnsi="Times New Roman"/>
                <w:sz w:val="22"/>
                <w:szCs w:val="22"/>
              </w:rPr>
              <w:t>+αντίστροφο (</w:t>
            </w:r>
            <w:r w:rsidRPr="003F037E">
              <w:rPr>
                <w:rFonts w:ascii="Times New Roman" w:hAnsi="Times New Roman"/>
                <w:sz w:val="22"/>
                <w:szCs w:val="22"/>
                <w:lang w:val="en-US"/>
              </w:rPr>
              <w:t>reverse</w:t>
            </w:r>
            <w:r w:rsidR="00810A8A" w:rsidRPr="003F037E">
              <w:rPr>
                <w:rFonts w:ascii="Times New Roman" w:hAnsi="Times New Roman"/>
                <w:sz w:val="22"/>
                <w:szCs w:val="22"/>
              </w:rPr>
              <w:t xml:space="preserve"> </w:t>
            </w:r>
            <w:r w:rsidR="00810A8A" w:rsidRPr="003F037E">
              <w:rPr>
                <w:rFonts w:ascii="Times New Roman" w:hAnsi="Times New Roman"/>
                <w:sz w:val="22"/>
                <w:szCs w:val="22"/>
                <w:lang w:val="en-US"/>
              </w:rPr>
              <w:t>repos</w:t>
            </w:r>
            <w:r w:rsidRPr="003F037E">
              <w:rPr>
                <w:rFonts w:ascii="Times New Roman" w:hAnsi="Times New Roman"/>
                <w:sz w:val="22"/>
                <w:szCs w:val="22"/>
                <w:lang w:val="en-US"/>
              </w:rPr>
              <w:t>)</w:t>
            </w:r>
          </w:p>
        </w:tc>
        <w:tc>
          <w:tcPr>
            <w:tcW w:w="1376" w:type="dxa"/>
          </w:tcPr>
          <w:p w:rsidR="009F7E1A" w:rsidRPr="003F037E" w:rsidRDefault="009F7E1A" w:rsidP="00134D65">
            <w:pPr>
              <w:rPr>
                <w:rFonts w:ascii="Times New Roman" w:hAnsi="Times New Roman"/>
                <w:sz w:val="22"/>
                <w:szCs w:val="22"/>
              </w:rPr>
            </w:pPr>
          </w:p>
          <w:p w:rsidR="009F7E1A" w:rsidRPr="003F037E" w:rsidRDefault="009F7E1A" w:rsidP="00134D65">
            <w:pPr>
              <w:rPr>
                <w:rFonts w:ascii="Times New Roman" w:hAnsi="Times New Roman"/>
                <w:sz w:val="22"/>
                <w:szCs w:val="22"/>
              </w:rPr>
            </w:pPr>
          </w:p>
          <w:p w:rsidR="009F7E1A" w:rsidRPr="003F037E" w:rsidRDefault="009F7E1A" w:rsidP="00134D65">
            <w:pPr>
              <w:rPr>
                <w:rFonts w:ascii="Times New Roman" w:hAnsi="Times New Roman"/>
                <w:sz w:val="22"/>
                <w:szCs w:val="22"/>
              </w:rPr>
            </w:pPr>
            <w:r w:rsidRPr="003F037E">
              <w:rPr>
                <w:rFonts w:ascii="Times New Roman" w:hAnsi="Times New Roman"/>
                <w:sz w:val="22"/>
                <w:szCs w:val="22"/>
              </w:rPr>
              <w:t xml:space="preserve">+δάνειο σε </w:t>
            </w:r>
            <w:proofErr w:type="spellStart"/>
            <w:r w:rsidRPr="003F037E">
              <w:rPr>
                <w:rFonts w:ascii="Times New Roman" w:hAnsi="Times New Roman"/>
                <w:sz w:val="22"/>
                <w:szCs w:val="22"/>
              </w:rPr>
              <w:t>ρέπος</w:t>
            </w:r>
            <w:proofErr w:type="spellEnd"/>
          </w:p>
        </w:tc>
        <w:tc>
          <w:tcPr>
            <w:tcW w:w="1433" w:type="dxa"/>
          </w:tcPr>
          <w:p w:rsidR="009F7E1A" w:rsidRPr="003F037E" w:rsidRDefault="009F7E1A" w:rsidP="00134D65">
            <w:pPr>
              <w:rPr>
                <w:rFonts w:ascii="Times New Roman" w:hAnsi="Times New Roman"/>
                <w:sz w:val="22"/>
                <w:szCs w:val="22"/>
              </w:rPr>
            </w:pPr>
          </w:p>
          <w:p w:rsidR="009F7E1A" w:rsidRPr="003F037E" w:rsidRDefault="009F7E1A" w:rsidP="00134D65">
            <w:pPr>
              <w:rPr>
                <w:rFonts w:ascii="Times New Roman" w:hAnsi="Times New Roman"/>
                <w:sz w:val="22"/>
                <w:szCs w:val="22"/>
              </w:rPr>
            </w:pPr>
          </w:p>
          <w:p w:rsidR="009F7E1A" w:rsidRPr="003F037E" w:rsidRDefault="009F7E1A" w:rsidP="00134D65">
            <w:pPr>
              <w:rPr>
                <w:rFonts w:ascii="Times New Roman" w:hAnsi="Times New Roman"/>
                <w:sz w:val="22"/>
                <w:szCs w:val="22"/>
              </w:rPr>
            </w:pPr>
            <w:r w:rsidRPr="003F037E">
              <w:rPr>
                <w:rFonts w:ascii="Times New Roman" w:hAnsi="Times New Roman"/>
                <w:sz w:val="22"/>
                <w:szCs w:val="22"/>
              </w:rPr>
              <w:t xml:space="preserve">+δάνειο σε </w:t>
            </w:r>
            <w:proofErr w:type="spellStart"/>
            <w:r w:rsidRPr="003F037E">
              <w:rPr>
                <w:rFonts w:ascii="Times New Roman" w:hAnsi="Times New Roman"/>
                <w:sz w:val="22"/>
                <w:szCs w:val="22"/>
              </w:rPr>
              <w:t>ρέπος</w:t>
            </w:r>
            <w:proofErr w:type="spellEnd"/>
          </w:p>
        </w:tc>
        <w:tc>
          <w:tcPr>
            <w:tcW w:w="1376" w:type="dxa"/>
          </w:tcPr>
          <w:p w:rsidR="009F7E1A" w:rsidRPr="003F037E" w:rsidRDefault="009F7E1A" w:rsidP="00134D65">
            <w:pPr>
              <w:rPr>
                <w:rFonts w:ascii="Times New Roman" w:hAnsi="Times New Roman"/>
                <w:sz w:val="22"/>
                <w:szCs w:val="22"/>
              </w:rPr>
            </w:pPr>
          </w:p>
        </w:tc>
      </w:tr>
    </w:tbl>
    <w:p w:rsidR="009F7E1A" w:rsidRDefault="009F7E1A" w:rsidP="009F7E1A">
      <w:pPr>
        <w:jc w:val="both"/>
      </w:pPr>
    </w:p>
    <w:p w:rsidR="004516CF" w:rsidRDefault="009F7E1A" w:rsidP="004516CF">
      <w:pPr>
        <w:spacing w:line="360" w:lineRule="auto"/>
        <w:ind w:firstLine="720"/>
        <w:jc w:val="both"/>
      </w:pPr>
      <w:r>
        <w:t xml:space="preserve">Καθώς λαμβάνουν χώρα αυτές οι συναλλαγές, η εγγύηση μετατοπίζεται από τα αριστερά στα δεξιά, από την τράπεζα μέσω του </w:t>
      </w:r>
      <w:r w:rsidR="00810A8A">
        <w:t>διαπραγματευτ</w:t>
      </w:r>
      <w:r>
        <w:t xml:space="preserve">ή στο συνταξιοδοτικό ταμείο. Και το χρήμα ρέει από δεξιά προς τα αριστερά, από το συνταξιοδοτικό ταμείο στον </w:t>
      </w:r>
      <w:r w:rsidR="00810A8A" w:rsidRPr="00810A8A">
        <w:t>διαπραγματευτή</w:t>
      </w:r>
      <w:r>
        <w:t xml:space="preserve"> και μετά στην τράπεζα. Σημειώστε ότι</w:t>
      </w:r>
      <w:r w:rsidR="00490FDB">
        <w:t xml:space="preserve"> στα στοιχεία του ισολογισμού του διαπραγματευτή είναι ίδια απλά τα</w:t>
      </w:r>
      <w:r>
        <w:t xml:space="preserve"> αποκαλώ </w:t>
      </w:r>
      <w:r w:rsidR="00490FDB">
        <w:t>ως αντί</w:t>
      </w:r>
      <w:r>
        <w:t>στροφο (</w:t>
      </w:r>
      <w:r>
        <w:rPr>
          <w:lang w:val="en-US"/>
        </w:rPr>
        <w:t>reverse</w:t>
      </w:r>
      <w:r w:rsidRPr="00427AB7">
        <w:t xml:space="preserve">) </w:t>
      </w:r>
      <w:proofErr w:type="spellStart"/>
      <w:r w:rsidR="00490FDB">
        <w:t>ρέπος</w:t>
      </w:r>
      <w:proofErr w:type="spellEnd"/>
      <w:r w:rsidR="00490FDB">
        <w:t xml:space="preserve"> </w:t>
      </w:r>
      <w:r>
        <w:t xml:space="preserve">όταν είναι περιουσιακό στοιχείο ενεργητικού </w:t>
      </w:r>
      <w:r w:rsidR="00490FDB">
        <w:t xml:space="preserve">και δάνειο σε </w:t>
      </w:r>
      <w:proofErr w:type="spellStart"/>
      <w:r w:rsidR="00490FDB">
        <w:t>ρέπος</w:t>
      </w:r>
      <w:proofErr w:type="spellEnd"/>
      <w:r w:rsidR="00490FDB">
        <w:t xml:space="preserve"> όταν είναι στο παθητικό</w:t>
      </w:r>
      <w:r>
        <w:t xml:space="preserve">. </w:t>
      </w:r>
    </w:p>
    <w:p w:rsidR="004516CF" w:rsidRDefault="009F7E1A" w:rsidP="004516CF">
      <w:pPr>
        <w:spacing w:line="360" w:lineRule="auto"/>
        <w:ind w:firstLine="720"/>
        <w:jc w:val="both"/>
      </w:pPr>
      <w:r>
        <w:t xml:space="preserve">Χρησιμοποιώντας αυτόν τον ισολογισμό, </w:t>
      </w:r>
      <w:r w:rsidR="00490FDB">
        <w:t>μπορούμε να συγκρίνουμε</w:t>
      </w:r>
      <w:r>
        <w:t xml:space="preserve"> την αγορά </w:t>
      </w:r>
      <w:proofErr w:type="spellStart"/>
      <w:r>
        <w:t>ρέπος</w:t>
      </w:r>
      <w:proofErr w:type="spellEnd"/>
      <w:r>
        <w:t xml:space="preserve"> με</w:t>
      </w:r>
      <w:r w:rsidR="00490FDB">
        <w:t xml:space="preserve"> την αγορά δ</w:t>
      </w:r>
      <w:r>
        <w:t xml:space="preserve">ιαθεσίμων της κεντρικής τράπεζας για την οποία μιλήσαμε </w:t>
      </w:r>
      <w:r w:rsidR="00490FDB">
        <w:t>προηγουμένως</w:t>
      </w:r>
      <w:r>
        <w:t xml:space="preserve">. Είδαμε </w:t>
      </w:r>
      <w:r w:rsidR="00490FDB">
        <w:t>ότι τα δ</w:t>
      </w:r>
      <w:r>
        <w:t xml:space="preserve">ιαθέσιμα της κεντρικής τράπεζας μπορούν να κατανοηθούν ως </w:t>
      </w:r>
      <w:proofErr w:type="spellStart"/>
      <w:r w:rsidRPr="00490FDB">
        <w:rPr>
          <w:i/>
        </w:rPr>
        <w:t>δανείζεσθαι</w:t>
      </w:r>
      <w:proofErr w:type="spellEnd"/>
      <w:r w:rsidRPr="00490FDB">
        <w:rPr>
          <w:i/>
        </w:rPr>
        <w:t xml:space="preserve"> διατραπεζικώς</w:t>
      </w:r>
      <w:r>
        <w:t xml:space="preserve">, και μπορούν να χρησιμοποιηθούν για να διοχετεύσουν διαθέσιμα από </w:t>
      </w:r>
      <w:r w:rsidR="00490FDB">
        <w:t xml:space="preserve">τις </w:t>
      </w:r>
      <w:r>
        <w:t>πλεονασματικές τράπεζες</w:t>
      </w:r>
      <w:r w:rsidR="00490FDB">
        <w:t xml:space="preserve"> στις ελλειμματικές τράπεζες</w:t>
      </w:r>
      <w:r>
        <w:t xml:space="preserve">. </w:t>
      </w:r>
      <w:r w:rsidR="00490FDB">
        <w:t>Όμως</w:t>
      </w:r>
      <w:r>
        <w:t xml:space="preserve"> η αγορά</w:t>
      </w:r>
      <w:r w:rsidR="00490FDB">
        <w:t xml:space="preserve"> των</w:t>
      </w:r>
      <w:r>
        <w:t xml:space="preserve"> </w:t>
      </w:r>
      <w:proofErr w:type="spellStart"/>
      <w:r>
        <w:t>ρέπος</w:t>
      </w:r>
      <w:proofErr w:type="spellEnd"/>
      <w:r>
        <w:t xml:space="preserve"> κάνει σε μεγάλο βαθμό το ίδιο πράγμα που κάνει η αγορά </w:t>
      </w:r>
      <w:r w:rsidR="00490FDB">
        <w:t>δ</w:t>
      </w:r>
      <w:r>
        <w:t xml:space="preserve">ιαθεσίμων της κεντρικής τράπεζας αλλά για μια πολύ ευρύτερη κατηγορία οικονομικών </w:t>
      </w:r>
      <w:r w:rsidR="00490FDB">
        <w:t>μονάδων</w:t>
      </w:r>
      <w:r>
        <w:t xml:space="preserve">, μια κατηγορία που περιλαμβάνει σχεδόν όλους </w:t>
      </w:r>
      <w:r w:rsidR="00490FDB">
        <w:t xml:space="preserve">όσους </w:t>
      </w:r>
      <w:r>
        <w:t>κατέχουν ευέλικτη εγγύηση</w:t>
      </w:r>
      <w:r w:rsidR="00490FDB">
        <w:t xml:space="preserve"> (π.χ. ΕΓΔ)</w:t>
      </w:r>
      <w:r>
        <w:t xml:space="preserve">. Το </w:t>
      </w:r>
      <w:proofErr w:type="spellStart"/>
      <w:r>
        <w:t>ρέπο</w:t>
      </w:r>
      <w:proofErr w:type="spellEnd"/>
      <w:r>
        <w:t xml:space="preserve"> μπορεί επομένως να κατανοηθεί ως δια-</w:t>
      </w:r>
      <w:r w:rsidRPr="00490FDB">
        <w:rPr>
          <w:i/>
        </w:rPr>
        <w:t xml:space="preserve">εταιρικό </w:t>
      </w:r>
      <w:proofErr w:type="spellStart"/>
      <w:r w:rsidRPr="00490FDB">
        <w:rPr>
          <w:i/>
        </w:rPr>
        <w:t>δανείζεσθαι</w:t>
      </w:r>
      <w:proofErr w:type="spellEnd"/>
      <w:r w:rsidRPr="00490FDB">
        <w:rPr>
          <w:i/>
        </w:rPr>
        <w:t>,</w:t>
      </w:r>
      <w:r w:rsidR="004516CF">
        <w:t xml:space="preserve">. </w:t>
      </w:r>
      <w:r>
        <w:t>Ενώ η αγορά</w:t>
      </w:r>
      <w:r w:rsidRPr="007E0429">
        <w:t xml:space="preserve"> </w:t>
      </w:r>
      <w:r w:rsidR="004516CF">
        <w:t>δ</w:t>
      </w:r>
      <w:r>
        <w:t xml:space="preserve">ιαθεσίμων της κεντρικής τράπεζας είναι ευρέως μία άμεση ή μέσω </w:t>
      </w:r>
      <w:r w:rsidR="004516CF">
        <w:rPr>
          <w:lang w:val="en-US"/>
        </w:rPr>
        <w:t>broker</w:t>
      </w:r>
      <w:r w:rsidR="004516CF" w:rsidRPr="004516CF">
        <w:t xml:space="preserve"> </w:t>
      </w:r>
      <w:r>
        <w:t xml:space="preserve">αγορά, η αγορά </w:t>
      </w:r>
      <w:r w:rsidR="00460D2E">
        <w:t xml:space="preserve">των </w:t>
      </w:r>
      <w:proofErr w:type="spellStart"/>
      <w:r>
        <w:t>ρέπος</w:t>
      </w:r>
      <w:proofErr w:type="spellEnd"/>
      <w:r>
        <w:t xml:space="preserve"> είναι ευρέως μια αγορά </w:t>
      </w:r>
      <w:r w:rsidR="004516CF">
        <w:rPr>
          <w:lang w:val="en-US"/>
        </w:rPr>
        <w:t>dealers</w:t>
      </w:r>
      <w:r>
        <w:t>, των οποίων οι ι</w:t>
      </w:r>
      <w:r w:rsidR="00460D2E">
        <w:t xml:space="preserve">σολογισμοί παρακολουθούνται </w:t>
      </w:r>
      <w:r w:rsidR="004516CF">
        <w:t xml:space="preserve">στις ΗΠΑ από </w:t>
      </w:r>
      <w:r>
        <w:t xml:space="preserve">την κεντρική τράπεζα. </w:t>
      </w:r>
    </w:p>
    <w:p w:rsidR="004516CF" w:rsidRDefault="009F7E1A" w:rsidP="004516CF">
      <w:pPr>
        <w:spacing w:line="360" w:lineRule="auto"/>
        <w:ind w:firstLine="720"/>
        <w:jc w:val="both"/>
        <w:rPr>
          <w:u w:val="single"/>
        </w:rPr>
      </w:pPr>
      <w:r>
        <w:t>Λε</w:t>
      </w:r>
      <w:r w:rsidR="004516CF">
        <w:t>ιτουργώντας ως αντισυμβαλλόμενοι</w:t>
      </w:r>
      <w:r>
        <w:t xml:space="preserve"> για τις περισσότερες συναλλαγές σε </w:t>
      </w:r>
      <w:proofErr w:type="spellStart"/>
      <w:r>
        <w:t>ρέπος</w:t>
      </w:r>
      <w:proofErr w:type="spellEnd"/>
      <w:r>
        <w:t xml:space="preserve"> (</w:t>
      </w:r>
      <w:r>
        <w:rPr>
          <w:lang w:val="en-US"/>
        </w:rPr>
        <w:t>RP</w:t>
      </w:r>
      <w:r w:rsidRPr="00E35ADE">
        <w:t xml:space="preserve"> </w:t>
      </w:r>
      <w:proofErr w:type="spellStart"/>
      <w:r>
        <w:rPr>
          <w:lang w:val="en-US"/>
        </w:rPr>
        <w:t>transanctions</w:t>
      </w:r>
      <w:proofErr w:type="spellEnd"/>
      <w:r w:rsidRPr="00E35ADE">
        <w:t xml:space="preserve">), </w:t>
      </w:r>
      <w:r w:rsidR="004516CF">
        <w:t xml:space="preserve">οι </w:t>
      </w:r>
      <w:r w:rsidR="004516CF">
        <w:rPr>
          <w:lang w:val="en-US"/>
        </w:rPr>
        <w:t>dealers</w:t>
      </w:r>
      <w:r w:rsidR="004516CF" w:rsidRPr="004516CF">
        <w:t xml:space="preserve"> </w:t>
      </w:r>
      <w:r>
        <w:t xml:space="preserve">χρησιμεύουν στην κατασκευή μιας ενοποιημένης και σχετικά </w:t>
      </w:r>
      <w:r w:rsidRPr="00460D2E">
        <w:t>ομοιογενούς αγοράς,</w:t>
      </w:r>
      <w:r>
        <w:t xml:space="preserve"> σε μια κατάσταση που διαφορετικά θα ήταν υπερβολικά περιορισμένη και ετερογενής (διάφοροι αντισυμβαλλόμενοι, διάφορα εχέγγυα ως εγγυήσεις, διάφορες ωριμάνσεις</w:t>
      </w:r>
      <w:r w:rsidR="004516CF" w:rsidRPr="004516CF">
        <w:t xml:space="preserve"> </w:t>
      </w:r>
      <w:r w:rsidR="004516CF">
        <w:t>τίτλων</w:t>
      </w:r>
      <w:r>
        <w:t>)</w:t>
      </w:r>
      <w:r w:rsidR="004516CF">
        <w:t>.</w:t>
      </w:r>
      <w:r>
        <w:t xml:space="preserve"> Όπως και οι </w:t>
      </w:r>
      <w:r w:rsidR="004516CF">
        <w:t>διαπραγματευτές δ</w:t>
      </w:r>
      <w:r>
        <w:t xml:space="preserve">ιαθεσίμων της κεντρικής τράπεζας, οι </w:t>
      </w:r>
      <w:r w:rsidR="004516CF">
        <w:t>διαπραγματευτές</w:t>
      </w:r>
      <w:r>
        <w:t xml:space="preserve"> </w:t>
      </w:r>
      <w:proofErr w:type="spellStart"/>
      <w:r>
        <w:t>ρέπος</w:t>
      </w:r>
      <w:proofErr w:type="spellEnd"/>
      <w:r>
        <w:t xml:space="preserve"> μπορούν να θεωρηθούν ως </w:t>
      </w:r>
      <w:r w:rsidRPr="00460D2E">
        <w:t>διαμορφωτές αγοράς</w:t>
      </w:r>
      <w:r w:rsidR="004516CF" w:rsidRPr="00460D2E">
        <w:t xml:space="preserve"> (</w:t>
      </w:r>
      <w:r w:rsidR="004516CF" w:rsidRPr="00460D2E">
        <w:rPr>
          <w:lang w:val="en-US"/>
        </w:rPr>
        <w:t>market</w:t>
      </w:r>
      <w:r w:rsidR="004516CF" w:rsidRPr="00460D2E">
        <w:t xml:space="preserve"> </w:t>
      </w:r>
      <w:r w:rsidR="004516CF" w:rsidRPr="00460D2E">
        <w:rPr>
          <w:lang w:val="en-US"/>
        </w:rPr>
        <w:t>makers</w:t>
      </w:r>
      <w:r w:rsidR="004516CF" w:rsidRPr="00460D2E">
        <w:t>)</w:t>
      </w:r>
      <w:r w:rsidRPr="00460D2E">
        <w:t>.</w:t>
      </w:r>
      <w:r w:rsidRPr="00E35ADE">
        <w:rPr>
          <w:u w:val="single"/>
        </w:rPr>
        <w:t xml:space="preserve"> </w:t>
      </w:r>
    </w:p>
    <w:p w:rsidR="004516CF" w:rsidRDefault="004516CF" w:rsidP="004516CF">
      <w:pPr>
        <w:spacing w:line="360" w:lineRule="auto"/>
        <w:ind w:firstLine="720"/>
        <w:jc w:val="both"/>
      </w:pPr>
      <w:r w:rsidRPr="004516CF">
        <w:lastRenderedPageBreak/>
        <w:t xml:space="preserve">Εδώ θα πρέπει να τονίσουμε </w:t>
      </w:r>
      <w:r>
        <w:t xml:space="preserve">κάτι πολύ σημαντικό </w:t>
      </w:r>
      <w:r w:rsidRPr="004516CF">
        <w:t>ότι η</w:t>
      </w:r>
      <w:r w:rsidR="009F7E1A">
        <w:t xml:space="preserve"> κατασκευή των ζευγαρωτών συναλλαγών τίτλων είναι σημαντική επειδή σημαίνει ότι η συναλλαγή είναι πιο συμμετρική από ότι θα ήταν ένα συνηθισμένο δάνειο με εγγύηση. Σκεφτείτε μια υποθήκη σπιτιού για σύγκριση. Το σπίτι από μόνο του είναι τίτλος για το χρηματικό δάνειο, αλλά ο δανειστής χρήματος δεν έχει δικαίωμα να παραδώσει το σπίτι σε κανέναν άλλο, ούτε καν να το πουλήσει όταν ο δανειζόμενος αθετήσει την υπόσχεση του χωρίς να υπάρξει μια μακροχρόνια διαδικασία κατάσχεσης. Για τα </w:t>
      </w:r>
      <w:proofErr w:type="spellStart"/>
      <w:r w:rsidR="009F7E1A">
        <w:t>ρέπος</w:t>
      </w:r>
      <w:proofErr w:type="spellEnd"/>
      <w:r w:rsidR="009F7E1A">
        <w:t>, εν αντιθέσει, ο δανειστής του χρήματος έχει συχνά το δικαίωμα να πουλήσει τους τίτλους ή κάτι που μοιάζει αρκετά, όπως το δικα</w:t>
      </w:r>
      <w:r>
        <w:t xml:space="preserve">ίωμα της </w:t>
      </w:r>
      <w:proofErr w:type="spellStart"/>
      <w:r>
        <w:t>επανυποθήκευσης</w:t>
      </w:r>
      <w:proofErr w:type="spellEnd"/>
      <w:r w:rsidR="009F7E1A">
        <w:t xml:space="preserve">. </w:t>
      </w:r>
    </w:p>
    <w:p w:rsidR="005B0768" w:rsidRDefault="009F7E1A" w:rsidP="005B0768">
      <w:pPr>
        <w:spacing w:line="360" w:lineRule="auto"/>
        <w:ind w:firstLine="720"/>
        <w:jc w:val="both"/>
      </w:pPr>
      <w:r>
        <w:t xml:space="preserve"> Αλλά η συναλλαγή δεν είναι τελείως συμμετρική επειδή η τιμή στην οποία ο τίτλος μεταφέρεται είναι χαμηλότερη από την τιμή του στην αγορά. Αυτό σημαίνει ότι ο δανειστής χρήματος αποκτά έλεγχο επάνω σε περισσότερους τίτλους από ότι μια καθαρή αγορά θα </w:t>
      </w:r>
      <w:r w:rsidRPr="00680A7D">
        <w:t xml:space="preserve">επέτρεπε. Η </w:t>
      </w:r>
      <w:proofErr w:type="spellStart"/>
      <w:r w:rsidRPr="00680A7D">
        <w:rPr>
          <w:lang w:val="en-US"/>
        </w:rPr>
        <w:t>Stigum</w:t>
      </w:r>
      <w:proofErr w:type="spellEnd"/>
      <w:r w:rsidRPr="00680A7D">
        <w:t xml:space="preserve"> </w:t>
      </w:r>
      <w:r w:rsidR="00460D2E">
        <w:t xml:space="preserve">(1983) </w:t>
      </w:r>
      <w:r w:rsidRPr="00680A7D">
        <w:t xml:space="preserve">αναφέρεται σε αυτή τη διαφορά ως περιθώριο. </w:t>
      </w:r>
      <w:r w:rsidR="00680A7D" w:rsidRPr="00680A7D">
        <w:t>Δ</w:t>
      </w:r>
      <w:r w:rsidRPr="00680A7D">
        <w:t>εν είναι ξεκάθαρο σαν θέμα αρχής το ποιος θα έπρεπε να πληρώνε</w:t>
      </w:r>
      <w:r w:rsidR="004516CF" w:rsidRPr="00680A7D">
        <w:t>ι το περιθώριο, ο δανειζόμενος ή</w:t>
      </w:r>
      <w:r w:rsidRPr="00680A7D">
        <w:t xml:space="preserve"> ο δανειστής. </w:t>
      </w:r>
      <w:r w:rsidR="00680A7D" w:rsidRPr="00680A7D">
        <w:t xml:space="preserve">Όμως όπως υποστηρίζει κατά παράδοση σε μια συναλλαγή </w:t>
      </w:r>
      <w:proofErr w:type="spellStart"/>
      <w:r w:rsidR="00680A7D" w:rsidRPr="00680A7D">
        <w:t>ρέπο</w:t>
      </w:r>
      <w:proofErr w:type="spellEnd"/>
      <w:r w:rsidR="00680A7D" w:rsidRPr="00680A7D">
        <w:t>, ο δανειστής χρήματος, επειδή δανείζει το πιο ρευστό περιουσιακό στοιχείο ενεργητικού, λαμβάνει περιθώριο.  Με άλλα λόγια, η ασυμμετρία είναι ένα σύμπτωμα της ιεράρχησης χρήματος –πίστης.</w:t>
      </w:r>
    </w:p>
    <w:p w:rsidR="00B87D86" w:rsidRPr="005B0768" w:rsidRDefault="005B0768" w:rsidP="005B0768">
      <w:pPr>
        <w:spacing w:line="360" w:lineRule="auto"/>
        <w:ind w:firstLine="720"/>
        <w:jc w:val="both"/>
        <w:rPr>
          <w:b/>
          <w:u w:val="single"/>
        </w:rPr>
      </w:pPr>
      <w:r>
        <w:t>Τα</w:t>
      </w:r>
      <w:r w:rsidR="00B87D86" w:rsidRPr="005B0768">
        <w:t xml:space="preserve"> </w:t>
      </w:r>
      <w:proofErr w:type="spellStart"/>
      <w:r w:rsidR="00B87D86" w:rsidRPr="005B0768">
        <w:t>ρέπο</w:t>
      </w:r>
      <w:r>
        <w:t>ς</w:t>
      </w:r>
      <w:proofErr w:type="spellEnd"/>
      <w:r w:rsidR="00B87D86" w:rsidRPr="005B0768">
        <w:t xml:space="preserve"> </w:t>
      </w:r>
      <w:r>
        <w:t>αποτελούν</w:t>
      </w:r>
      <w:r w:rsidRPr="005B0768">
        <w:t xml:space="preserve"> βασική </w:t>
      </w:r>
      <w:r w:rsidR="00B87D86" w:rsidRPr="005B0768">
        <w:t>πηγή χ</w:t>
      </w:r>
      <w:r w:rsidR="009F7E1A" w:rsidRPr="005B0768">
        <w:t xml:space="preserve">ρηματοδότησης για τους </w:t>
      </w:r>
      <w:r w:rsidR="00680A7D" w:rsidRPr="005B0768">
        <w:t xml:space="preserve">διαπραγματευτές </w:t>
      </w:r>
      <w:r w:rsidR="00B87D86" w:rsidRPr="005B0768">
        <w:t>τ</w:t>
      </w:r>
      <w:r w:rsidR="009F7E1A" w:rsidRPr="005B0768">
        <w:t>ίτλων</w:t>
      </w:r>
      <w:r w:rsidRPr="005B0768">
        <w:t xml:space="preserve">. </w:t>
      </w:r>
      <w:r w:rsidR="00680A7D">
        <w:t>Όπως φαίνεται στον ακόλουθο πίνακα οι διαπραγματευτές</w:t>
      </w:r>
      <w:r w:rsidR="009F7E1A">
        <w:t xml:space="preserve"> τίτλων δανείζονται περισσότερο από ότι δανείζουν στην αγορά κατά τη διάρκεια της νύχτας (</w:t>
      </w:r>
      <w:proofErr w:type="spellStart"/>
      <w:r w:rsidR="009F7E1A">
        <w:t>ρέπος</w:t>
      </w:r>
      <w:proofErr w:type="spellEnd"/>
      <w:r w:rsidR="009F7E1A">
        <w:t xml:space="preserve"> &gt; διαθέσιμα), αλλά δανείζουν περισσότερο από ότι δανείζονται στην αγορά προθεσμίας (</w:t>
      </w:r>
      <w:r w:rsidR="009F7E1A">
        <w:rPr>
          <w:lang w:val="en-US"/>
        </w:rPr>
        <w:t>term</w:t>
      </w:r>
      <w:r w:rsidR="009F7E1A" w:rsidRPr="004E3742">
        <w:t xml:space="preserve"> </w:t>
      </w:r>
      <w:r w:rsidR="009F7E1A">
        <w:rPr>
          <w:lang w:val="en-US"/>
        </w:rPr>
        <w:t>market</w:t>
      </w:r>
      <w:r w:rsidR="009F7E1A" w:rsidRPr="004E3742">
        <w:t>)</w:t>
      </w:r>
      <w:r w:rsidR="009F7E1A">
        <w:t xml:space="preserve"> (</w:t>
      </w:r>
      <w:proofErr w:type="spellStart"/>
      <w:r w:rsidR="009F7E1A">
        <w:t>ρέπος</w:t>
      </w:r>
      <w:proofErr w:type="spellEnd"/>
      <w:r w:rsidR="009F7E1A">
        <w:t xml:space="preserve"> &lt; διαθέσιμα). Όπως οι τράπεζες, οι </w:t>
      </w:r>
      <w:r w:rsidR="00680A7D">
        <w:rPr>
          <w:lang w:val="en-US"/>
        </w:rPr>
        <w:t>dealers</w:t>
      </w:r>
      <w:r w:rsidR="00680A7D" w:rsidRPr="00680A7D">
        <w:t xml:space="preserve"> </w:t>
      </w:r>
      <w:r w:rsidR="009F7E1A">
        <w:t xml:space="preserve">φαίνονται να ασχολούνται με το να δανείζονται βραχυπρόθεσμα για να δανείσουν μακροπρόθεσμα, αλλά σε αντίθεση με τις τράπεζες οι </w:t>
      </w:r>
      <w:r w:rsidR="00680A7D">
        <w:rPr>
          <w:lang w:val="en-US"/>
        </w:rPr>
        <w:t>dealers</w:t>
      </w:r>
      <w:r w:rsidR="00680A7D" w:rsidRPr="00680A7D">
        <w:t xml:space="preserve"> </w:t>
      </w:r>
      <w:r w:rsidR="009F7E1A">
        <w:t>είναι εξειδικευμένοι σ</w:t>
      </w:r>
      <w:r w:rsidR="00680A7D">
        <w:t xml:space="preserve">ε </w:t>
      </w:r>
      <w:r w:rsidR="00DC5247">
        <w:t xml:space="preserve">τίτλους της χρηματαγοράς πολύ μικρής διάρκειας. </w:t>
      </w:r>
    </w:p>
    <w:p w:rsidR="00460D2E" w:rsidRDefault="00460D2E" w:rsidP="009F7E1A">
      <w:pPr>
        <w:jc w:val="both"/>
        <w:rPr>
          <w:b/>
        </w:rPr>
      </w:pPr>
    </w:p>
    <w:p w:rsidR="009F7E1A" w:rsidRDefault="00B87D86" w:rsidP="009F7E1A">
      <w:pPr>
        <w:jc w:val="both"/>
      </w:pPr>
      <w:r w:rsidRPr="00DC7EB8">
        <w:rPr>
          <w:b/>
        </w:rPr>
        <w:t xml:space="preserve">Πίνακας </w:t>
      </w:r>
      <w:r w:rsidR="00DC7EB8" w:rsidRPr="00DC7EB8">
        <w:rPr>
          <w:b/>
        </w:rPr>
        <w:t>4.1</w:t>
      </w:r>
      <w:r w:rsidR="000C510F">
        <w:rPr>
          <w:b/>
        </w:rPr>
        <w:t>6</w:t>
      </w:r>
      <w:r w:rsidR="00DC7EB8">
        <w:t xml:space="preserve"> </w:t>
      </w:r>
      <w:r>
        <w:t>Διαπραγματευτές</w:t>
      </w:r>
      <w:r w:rsidR="009F7E1A">
        <w:t xml:space="preserve"> Τίτλων, </w:t>
      </w:r>
      <w:proofErr w:type="spellStart"/>
      <w:r w:rsidR="009F7E1A">
        <w:t>Σεπτ</w:t>
      </w:r>
      <w:proofErr w:type="spellEnd"/>
      <w:r w:rsidR="009F7E1A">
        <w:t>. 2012 (δις</w:t>
      </w:r>
      <w:r w:rsidRPr="00B87D86">
        <w:t xml:space="preserve"> $</w:t>
      </w:r>
      <w:r w:rsidR="009F7E1A">
        <w:t>)</w:t>
      </w:r>
    </w:p>
    <w:tbl>
      <w:tblPr>
        <w:tblStyle w:val="af3"/>
        <w:tblW w:w="9401" w:type="dxa"/>
        <w:tblInd w:w="-743" w:type="dxa"/>
        <w:tblLook w:val="04A0" w:firstRow="1" w:lastRow="0" w:firstColumn="1" w:lastColumn="0" w:noHBand="0" w:noVBand="1"/>
      </w:tblPr>
      <w:tblGrid>
        <w:gridCol w:w="4811"/>
        <w:gridCol w:w="4590"/>
      </w:tblGrid>
      <w:tr w:rsidR="009F7E1A" w:rsidRPr="00B87D86" w:rsidTr="00B87D86">
        <w:tc>
          <w:tcPr>
            <w:tcW w:w="4811" w:type="dxa"/>
            <w:shd w:val="clear" w:color="auto" w:fill="BFBFBF" w:themeFill="background1" w:themeFillShade="BF"/>
          </w:tcPr>
          <w:p w:rsidR="009F7E1A" w:rsidRPr="00B87D86" w:rsidRDefault="009F7E1A" w:rsidP="00B87D86">
            <w:pPr>
              <w:jc w:val="center"/>
              <w:rPr>
                <w:rFonts w:ascii="Times New Roman" w:hAnsi="Times New Roman"/>
                <w:b/>
                <w:sz w:val="20"/>
                <w:szCs w:val="20"/>
              </w:rPr>
            </w:pPr>
            <w:r w:rsidRPr="00B87D86">
              <w:rPr>
                <w:rFonts w:ascii="Times New Roman" w:hAnsi="Times New Roman"/>
                <w:b/>
                <w:sz w:val="20"/>
                <w:szCs w:val="20"/>
              </w:rPr>
              <w:t>Στοιχεία Ενεργητικού</w:t>
            </w:r>
          </w:p>
        </w:tc>
        <w:tc>
          <w:tcPr>
            <w:tcW w:w="4590" w:type="dxa"/>
            <w:shd w:val="clear" w:color="auto" w:fill="BFBFBF" w:themeFill="background1" w:themeFillShade="BF"/>
          </w:tcPr>
          <w:p w:rsidR="009F7E1A" w:rsidRPr="00B87D86" w:rsidRDefault="009F7E1A" w:rsidP="00B87D86">
            <w:pPr>
              <w:jc w:val="center"/>
              <w:rPr>
                <w:rFonts w:ascii="Times New Roman" w:hAnsi="Times New Roman"/>
                <w:b/>
                <w:sz w:val="20"/>
                <w:szCs w:val="20"/>
              </w:rPr>
            </w:pPr>
            <w:r w:rsidRPr="00B87D86">
              <w:rPr>
                <w:rFonts w:ascii="Times New Roman" w:hAnsi="Times New Roman"/>
                <w:b/>
                <w:sz w:val="20"/>
                <w:szCs w:val="20"/>
              </w:rPr>
              <w:t>Παθητικό</w:t>
            </w:r>
          </w:p>
        </w:tc>
      </w:tr>
      <w:tr w:rsidR="009F7E1A" w:rsidRPr="00B87D86" w:rsidTr="00B87D86">
        <w:tc>
          <w:tcPr>
            <w:tcW w:w="4811" w:type="dxa"/>
          </w:tcPr>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 xml:space="preserve">Δάνεια σε </w:t>
            </w:r>
            <w:proofErr w:type="spellStart"/>
            <w:r w:rsidRPr="00B87D86">
              <w:rPr>
                <w:rFonts w:ascii="Times New Roman" w:hAnsi="Times New Roman"/>
                <w:sz w:val="20"/>
                <w:szCs w:val="20"/>
              </w:rPr>
              <w:t>ρέπος</w:t>
            </w:r>
            <w:proofErr w:type="spellEnd"/>
            <w:r w:rsidRPr="00B87D86">
              <w:rPr>
                <w:rFonts w:ascii="Times New Roman" w:hAnsi="Times New Roman"/>
                <w:sz w:val="20"/>
                <w:szCs w:val="20"/>
              </w:rPr>
              <w:t>, κατά τη διάρκεια της νύχτας     879</w:t>
            </w:r>
          </w:p>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 xml:space="preserve">Δάνεια σε </w:t>
            </w:r>
            <w:proofErr w:type="spellStart"/>
            <w:r w:rsidRPr="00B87D86">
              <w:rPr>
                <w:rFonts w:ascii="Times New Roman" w:hAnsi="Times New Roman"/>
                <w:sz w:val="20"/>
                <w:szCs w:val="20"/>
              </w:rPr>
              <w:t>ρέπος</w:t>
            </w:r>
            <w:proofErr w:type="spellEnd"/>
            <w:r w:rsidRPr="00B87D86">
              <w:rPr>
                <w:rFonts w:ascii="Times New Roman" w:hAnsi="Times New Roman"/>
                <w:sz w:val="20"/>
                <w:szCs w:val="20"/>
              </w:rPr>
              <w:t>, περιόδου                                       1317</w:t>
            </w:r>
          </w:p>
          <w:p w:rsidR="009F7E1A" w:rsidRPr="00B87D86" w:rsidRDefault="009F7E1A" w:rsidP="009F7E1A">
            <w:pPr>
              <w:jc w:val="both"/>
              <w:rPr>
                <w:rFonts w:ascii="Times New Roman" w:hAnsi="Times New Roman"/>
                <w:sz w:val="20"/>
                <w:szCs w:val="20"/>
              </w:rPr>
            </w:pPr>
          </w:p>
        </w:tc>
        <w:tc>
          <w:tcPr>
            <w:tcW w:w="4590" w:type="dxa"/>
          </w:tcPr>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 xml:space="preserve">1842  Δάνεια σε </w:t>
            </w:r>
            <w:proofErr w:type="spellStart"/>
            <w:r w:rsidRPr="00B87D86">
              <w:rPr>
                <w:rFonts w:ascii="Times New Roman" w:hAnsi="Times New Roman"/>
                <w:sz w:val="20"/>
                <w:szCs w:val="20"/>
              </w:rPr>
              <w:t>ρέπος</w:t>
            </w:r>
            <w:proofErr w:type="spellEnd"/>
            <w:r w:rsidRPr="00B87D86">
              <w:rPr>
                <w:rFonts w:ascii="Times New Roman" w:hAnsi="Times New Roman"/>
                <w:sz w:val="20"/>
                <w:szCs w:val="20"/>
              </w:rPr>
              <w:t xml:space="preserve">, κατά τη διάρκεια της νύχτας </w:t>
            </w:r>
          </w:p>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 xml:space="preserve"> 932   Δάνεια σε </w:t>
            </w:r>
            <w:proofErr w:type="spellStart"/>
            <w:r w:rsidRPr="00B87D86">
              <w:rPr>
                <w:rFonts w:ascii="Times New Roman" w:hAnsi="Times New Roman"/>
                <w:sz w:val="20"/>
                <w:szCs w:val="20"/>
              </w:rPr>
              <w:t>ρέπος</w:t>
            </w:r>
            <w:proofErr w:type="spellEnd"/>
            <w:r w:rsidRPr="00B87D86">
              <w:rPr>
                <w:rFonts w:ascii="Times New Roman" w:hAnsi="Times New Roman"/>
                <w:sz w:val="20"/>
                <w:szCs w:val="20"/>
              </w:rPr>
              <w:t xml:space="preserve">, περιόδου  </w:t>
            </w:r>
          </w:p>
        </w:tc>
      </w:tr>
      <w:tr w:rsidR="009F7E1A" w:rsidRPr="00B87D86" w:rsidTr="00B87D86">
        <w:tc>
          <w:tcPr>
            <w:tcW w:w="4811" w:type="dxa"/>
          </w:tcPr>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Καθαρά Στοιχεία Ενεργητικού Χρηματοδοτούμενα</w:t>
            </w:r>
          </w:p>
        </w:tc>
        <w:tc>
          <w:tcPr>
            <w:tcW w:w="4590" w:type="dxa"/>
          </w:tcPr>
          <w:p w:rsidR="009F7E1A" w:rsidRPr="00B87D86" w:rsidRDefault="009F7E1A" w:rsidP="009F7E1A">
            <w:pPr>
              <w:jc w:val="both"/>
              <w:rPr>
                <w:rFonts w:ascii="Times New Roman" w:hAnsi="Times New Roman"/>
                <w:sz w:val="20"/>
                <w:szCs w:val="20"/>
              </w:rPr>
            </w:pPr>
            <w:r w:rsidRPr="00B87D86">
              <w:rPr>
                <w:rFonts w:ascii="Times New Roman" w:hAnsi="Times New Roman"/>
                <w:sz w:val="20"/>
                <w:szCs w:val="20"/>
              </w:rPr>
              <w:t>Καθαρή Αξία (Κεφάλαιο)</w:t>
            </w:r>
          </w:p>
        </w:tc>
      </w:tr>
    </w:tbl>
    <w:p w:rsidR="009F7E1A" w:rsidRPr="003F037E" w:rsidRDefault="00460D2E" w:rsidP="009F7E1A">
      <w:pPr>
        <w:jc w:val="both"/>
        <w:rPr>
          <w:sz w:val="20"/>
          <w:szCs w:val="20"/>
          <w:lang w:val="en-US"/>
        </w:rPr>
      </w:pPr>
      <w:r w:rsidRPr="003F037E">
        <w:rPr>
          <w:b/>
          <w:sz w:val="20"/>
          <w:szCs w:val="20"/>
        </w:rPr>
        <w:t>Πηγή</w:t>
      </w:r>
      <w:r w:rsidRPr="003F037E">
        <w:rPr>
          <w:b/>
          <w:sz w:val="20"/>
          <w:szCs w:val="20"/>
          <w:lang w:val="en-US"/>
        </w:rPr>
        <w:t>:</w:t>
      </w:r>
      <w:r w:rsidRPr="003F037E">
        <w:rPr>
          <w:sz w:val="20"/>
          <w:szCs w:val="20"/>
          <w:lang w:val="en-US"/>
        </w:rPr>
        <w:t xml:space="preserve"> Fed of St. Louis</w:t>
      </w:r>
    </w:p>
    <w:p w:rsidR="009F7E1A" w:rsidRDefault="00EC4E03" w:rsidP="00460D2E">
      <w:pPr>
        <w:spacing w:before="120" w:line="360" w:lineRule="auto"/>
        <w:ind w:firstLine="720"/>
        <w:jc w:val="both"/>
      </w:pPr>
      <w:r>
        <w:lastRenderedPageBreak/>
        <w:t xml:space="preserve">Σημειώστε ότι οι αριθμοί δεν ισορροπούν ακριβώς επειδή τα αντίστροφα </w:t>
      </w:r>
      <w:proofErr w:type="spellStart"/>
      <w:r>
        <w:t>ρεπος</w:t>
      </w:r>
      <w:proofErr w:type="spellEnd"/>
      <w:r>
        <w:t xml:space="preserve"> είναι ένα πολύ επιθυμητό στοιχείο ενεργητικού για τους </w:t>
      </w:r>
      <w:r>
        <w:rPr>
          <w:lang w:val="en-US"/>
        </w:rPr>
        <w:t>dealers</w:t>
      </w:r>
      <w:r>
        <w:t xml:space="preserve">, και κάνουν όσα περισσότερα από αυτά μπορούν, για τον απλό λόγο ότι μπορούν να μετατρέψουν σε </w:t>
      </w:r>
      <w:proofErr w:type="spellStart"/>
      <w:r>
        <w:t>ρέπος</w:t>
      </w:r>
      <w:proofErr w:type="spellEnd"/>
      <w:r>
        <w:t xml:space="preserve"> οτιδήποτε αντιστρέφουν, και να κερδίσουν κάτι από το περιθώριο (</w:t>
      </w:r>
      <w:r>
        <w:rPr>
          <w:lang w:val="en-US"/>
        </w:rPr>
        <w:t>spread</w:t>
      </w:r>
      <w:r w:rsidRPr="00CE0867">
        <w:t xml:space="preserve">). </w:t>
      </w:r>
      <w:r>
        <w:t xml:space="preserve">Αυτή είναι περιληπτικά η εργασία του </w:t>
      </w:r>
      <w:r w:rsidR="00460D2E">
        <w:t>«ταιριάσματος ή σύζευξης βιβλίων»</w:t>
      </w:r>
      <w:r>
        <w:t xml:space="preserve"> </w:t>
      </w:r>
      <w:r w:rsidRPr="00DC5247">
        <w:t>(</w:t>
      </w:r>
      <w:r>
        <w:rPr>
          <w:lang w:val="en-US"/>
        </w:rPr>
        <w:t>match</w:t>
      </w:r>
      <w:r w:rsidRPr="00DC5247">
        <w:t xml:space="preserve"> </w:t>
      </w:r>
      <w:r>
        <w:rPr>
          <w:lang w:val="en-US"/>
        </w:rPr>
        <w:t>book</w:t>
      </w:r>
      <w:r w:rsidRPr="00DC5247">
        <w:t>)</w:t>
      </w:r>
      <w:r>
        <w:t>.</w:t>
      </w:r>
      <w:r w:rsidRPr="00B87D86">
        <w:t xml:space="preserve"> </w:t>
      </w:r>
      <w:r>
        <w:t>Εμφανώς οι διαπραγματευτές τίτλων δανείζονται για μικρό διάστημα και δανείζουν για μεγάλο, παρέχοντας ρευστότητα στην αγορά, σε μεγάλο βαθμό κατά τον ίδιο τρόπο με τις τράπεζες.</w:t>
      </w:r>
    </w:p>
    <w:p w:rsidR="00C70CC6" w:rsidRDefault="005B0768" w:rsidP="00C70CC6">
      <w:pPr>
        <w:spacing w:line="360" w:lineRule="auto"/>
        <w:ind w:firstLine="720"/>
        <w:jc w:val="both"/>
      </w:pPr>
      <w:r>
        <w:t xml:space="preserve">Όμως σε </w:t>
      </w:r>
      <w:r w:rsidR="00444BC7">
        <w:t>κ</w:t>
      </w:r>
      <w:r w:rsidR="009F7E1A">
        <w:t xml:space="preserve">αθημερινή βάση, </w:t>
      </w:r>
      <w:r w:rsidR="00444BC7">
        <w:t xml:space="preserve">και </w:t>
      </w:r>
      <w:r w:rsidR="009F7E1A">
        <w:t>η κεντρική τράπεζα εμπλέκεται στην εξασφάλιση της</w:t>
      </w:r>
      <w:r w:rsidR="009F7E1A" w:rsidRPr="00460D2E">
        <w:t xml:space="preserve"> ελαστικότητας</w:t>
      </w:r>
      <w:r w:rsidR="009F7E1A">
        <w:t xml:space="preserve"> διαθεσίμων ούσα έτοιμη να απορροφήσει την υπερβάλλουσα και να ικανοποιήσει την προσωρινή ζήτηση. </w:t>
      </w:r>
      <w:r w:rsidR="00444BC7">
        <w:t xml:space="preserve">Μεταξύ των βασικών παραγόντων που συντελούν σε παρεμβάσεις της </w:t>
      </w:r>
      <w:r w:rsidR="009F7E1A">
        <w:t>κεντρική</w:t>
      </w:r>
      <w:r w:rsidR="00444BC7">
        <w:t>ς</w:t>
      </w:r>
      <w:r w:rsidR="009F7E1A">
        <w:t xml:space="preserve"> τράπεζα</w:t>
      </w:r>
      <w:r w:rsidR="00444BC7">
        <w:t>ς</w:t>
      </w:r>
      <w:r w:rsidR="009F7E1A">
        <w:t xml:space="preserve"> </w:t>
      </w:r>
      <w:r w:rsidR="00444BC7">
        <w:t>οι</w:t>
      </w:r>
      <w:r w:rsidR="009F7E1A">
        <w:t xml:space="preserve"> αλλαγές στο ισοζύγιο των κρατικών ομολόγων</w:t>
      </w:r>
      <w:r w:rsidR="00444BC7">
        <w:t xml:space="preserve"> και οι </w:t>
      </w:r>
      <w:r w:rsidR="009F7E1A">
        <w:t xml:space="preserve"> </w:t>
      </w:r>
      <w:r w:rsidR="00444BC7">
        <w:t xml:space="preserve">αλλαγές στα αποθέματα μετρητών του κοινού. Σχετικά με το πρώτο </w:t>
      </w:r>
      <w:r w:rsidR="009F7E1A">
        <w:t xml:space="preserve">μια αύξηση </w:t>
      </w:r>
      <w:r w:rsidR="00444BC7">
        <w:t xml:space="preserve">τίτλων των κρατικών ομολόγων </w:t>
      </w:r>
      <w:r w:rsidR="009F7E1A">
        <w:t>στους ισολογισμούς</w:t>
      </w:r>
      <w:r w:rsidR="00444BC7">
        <w:t xml:space="preserve"> των τραπεζών</w:t>
      </w:r>
      <w:r w:rsidR="009F7E1A">
        <w:t xml:space="preserve"> στεγνώνει τα δια</w:t>
      </w:r>
      <w:r w:rsidR="00444BC7">
        <w:t>θέσιμα από το τραπεζικό σύστημα</w:t>
      </w:r>
      <w:r w:rsidR="009F7E1A">
        <w:t xml:space="preserve">, </w:t>
      </w:r>
      <w:r w:rsidR="00444BC7">
        <w:t xml:space="preserve">και κάνει αναγκαία την παρέμβαση της κεντρικής τράπεζας. Κάτι ανάλογο μπορεί να συμβεί με το κοινό για παράδειγμα μια </w:t>
      </w:r>
      <w:r w:rsidR="009F7E1A">
        <w:t xml:space="preserve">αυξημένη </w:t>
      </w:r>
      <w:proofErr w:type="spellStart"/>
      <w:r w:rsidR="009F7E1A">
        <w:t>διακράτηση</w:t>
      </w:r>
      <w:proofErr w:type="spellEnd"/>
      <w:r w:rsidR="009F7E1A">
        <w:t xml:space="preserve"> μετρητών σημαίνει απ</w:t>
      </w:r>
      <w:r w:rsidR="00444BC7">
        <w:t>οστράγγιση ως προς τα διαθέσιμα</w:t>
      </w:r>
      <w:r w:rsidR="009F7E1A">
        <w:t xml:space="preserve">. Η κεντρική τράπεζα παρεμβαίνει για να ρυθμίζει σχετικά </w:t>
      </w:r>
      <w:r w:rsidR="00DF41FB">
        <w:t>την ρευστότητα</w:t>
      </w:r>
      <w:r w:rsidR="009F7E1A">
        <w:t xml:space="preserve">. Κάνει </w:t>
      </w:r>
      <w:proofErr w:type="spellStart"/>
      <w:r w:rsidR="009F7E1A">
        <w:t>ρέπο</w:t>
      </w:r>
      <w:proofErr w:type="spellEnd"/>
      <w:r w:rsidR="009F7E1A">
        <w:t xml:space="preserve"> αγοράζει</w:t>
      </w:r>
      <w:r w:rsidR="00C70CC6">
        <w:t xml:space="preserve"> δηλαδή </w:t>
      </w:r>
      <w:r w:rsidR="009F7E1A">
        <w:t xml:space="preserve"> κρατικά ομόλογα γι</w:t>
      </w:r>
      <w:r w:rsidR="00C70CC6">
        <w:t xml:space="preserve">α </w:t>
      </w:r>
      <w:proofErr w:type="spellStart"/>
      <w:r w:rsidR="00C70CC6">
        <w:t>επαναπώληση</w:t>
      </w:r>
      <w:proofErr w:type="spellEnd"/>
      <w:r w:rsidR="00C70CC6">
        <w:t>, και δανείζει χρήματα</w:t>
      </w:r>
      <w:r w:rsidR="009F7E1A">
        <w:t xml:space="preserve"> όπως κάθε άλλος όταν θέλει προσωρινά να αυξήσει τα διαθέσιμα. Αλλά όταν θέλει να μειώσει τα διαθέσιμα, </w:t>
      </w:r>
      <w:r w:rsidR="00C70CC6">
        <w:t xml:space="preserve">κάνει την ακριβώς αντίθετη ενέργεια.  </w:t>
      </w:r>
    </w:p>
    <w:p w:rsidR="009F7E1A" w:rsidRPr="00460D2E" w:rsidRDefault="00C70CC6" w:rsidP="00C70CC6">
      <w:pPr>
        <w:spacing w:line="360" w:lineRule="auto"/>
        <w:ind w:firstLine="720"/>
        <w:jc w:val="both"/>
      </w:pPr>
      <w:r>
        <w:t>Ο ακόλουθος πίνακας</w:t>
      </w:r>
      <w:r w:rsidR="009F7E1A">
        <w:t xml:space="preserve"> δείχνει ένα παράδειγμα των λειτουργιών της κεντρικής τράπεζας σε </w:t>
      </w:r>
      <w:proofErr w:type="spellStart"/>
      <w:r w:rsidR="009F7E1A">
        <w:t>ρέπος</w:t>
      </w:r>
      <w:proofErr w:type="spellEnd"/>
      <w:r w:rsidR="009F7E1A">
        <w:t xml:space="preserve"> κατά τη διάρκεια της νύχτας. Η κεντρική τράπεζα λέει στους πρωταρχικούς </w:t>
      </w:r>
      <w:r w:rsidR="00460D2E">
        <w:t>διαπραγματευτές</w:t>
      </w:r>
      <w:r w:rsidR="009F7E1A">
        <w:t xml:space="preserve"> ότι θέλει να κάνει </w:t>
      </w:r>
      <w:proofErr w:type="spellStart"/>
      <w:r w:rsidR="009F7E1A">
        <w:t>ρέπος</w:t>
      </w:r>
      <w:proofErr w:type="spellEnd"/>
      <w:r w:rsidR="009F7E1A">
        <w:t xml:space="preserve">, και τους ζητά να υποβάλλουν υποθήκη και προσφορά για το χρήμα. Αποδέχεται τις καλύτερες προσφορές και πραγματοποιεί τα </w:t>
      </w:r>
      <w:proofErr w:type="spellStart"/>
      <w:r w:rsidR="009F7E1A">
        <w:t>ρέπος</w:t>
      </w:r>
      <w:proofErr w:type="spellEnd"/>
      <w:r w:rsidR="009F7E1A">
        <w:t xml:space="preserve">. Το αποτέλεσμα είναι να αυξήσει τα διαθέσιμα </w:t>
      </w:r>
      <w:r w:rsidR="00460D2E">
        <w:t xml:space="preserve">όπως φαίνεται στον ακόλουθο πίνακα. </w:t>
      </w:r>
    </w:p>
    <w:p w:rsidR="009F7E1A" w:rsidRDefault="00C70CC6" w:rsidP="00C70CC6">
      <w:pPr>
        <w:jc w:val="center"/>
      </w:pPr>
      <w:r w:rsidRPr="00C70CC6">
        <w:rPr>
          <w:b/>
        </w:rPr>
        <w:t>Πίνακας</w:t>
      </w:r>
      <w:r w:rsidR="00DC7EB8">
        <w:rPr>
          <w:b/>
        </w:rPr>
        <w:t xml:space="preserve"> 4.1</w:t>
      </w:r>
      <w:r w:rsidR="000C510F">
        <w:rPr>
          <w:b/>
        </w:rPr>
        <w:t>7</w:t>
      </w:r>
      <w:r>
        <w:t xml:space="preserve">. </w:t>
      </w:r>
      <w:r w:rsidR="00036B60">
        <w:t xml:space="preserve">Επεκτείνοντας την ρευστότητα με </w:t>
      </w:r>
      <w:proofErr w:type="spellStart"/>
      <w:r w:rsidR="00036B60">
        <w:t>ρ</w:t>
      </w:r>
      <w:r>
        <w:t>έπος</w:t>
      </w:r>
      <w:proofErr w:type="spellEnd"/>
      <w:r>
        <w:t xml:space="preserve"> από την Κεντρική Τράπεζα</w:t>
      </w:r>
    </w:p>
    <w:tbl>
      <w:tblPr>
        <w:tblStyle w:val="af3"/>
        <w:tblW w:w="8520" w:type="dxa"/>
        <w:tblLook w:val="04A0" w:firstRow="1" w:lastRow="0" w:firstColumn="1" w:lastColumn="0" w:noHBand="0" w:noVBand="1"/>
      </w:tblPr>
      <w:tblGrid>
        <w:gridCol w:w="1433"/>
        <w:gridCol w:w="1449"/>
        <w:gridCol w:w="1449"/>
        <w:gridCol w:w="1351"/>
        <w:gridCol w:w="1433"/>
        <w:gridCol w:w="1405"/>
      </w:tblGrid>
      <w:tr w:rsidR="00C70CC6" w:rsidRPr="003F037E" w:rsidTr="00C70CC6">
        <w:tc>
          <w:tcPr>
            <w:tcW w:w="2882" w:type="dxa"/>
            <w:gridSpan w:val="2"/>
            <w:shd w:val="clear" w:color="auto" w:fill="BFBFBF" w:themeFill="background1" w:themeFillShade="BF"/>
          </w:tcPr>
          <w:p w:rsidR="00C70CC6" w:rsidRPr="003F037E" w:rsidRDefault="009C1028" w:rsidP="00C70CC6">
            <w:pPr>
              <w:jc w:val="center"/>
              <w:rPr>
                <w:rFonts w:ascii="Times New Roman" w:hAnsi="Times New Roman"/>
                <w:b/>
                <w:sz w:val="22"/>
                <w:szCs w:val="22"/>
              </w:rPr>
            </w:pPr>
            <w:r w:rsidRPr="003F037E">
              <w:rPr>
                <w:rFonts w:ascii="Times New Roman" w:hAnsi="Times New Roman"/>
                <w:b/>
                <w:sz w:val="22"/>
                <w:szCs w:val="22"/>
              </w:rPr>
              <w:t xml:space="preserve">Εμπορική </w:t>
            </w:r>
            <w:r w:rsidR="00C70CC6" w:rsidRPr="003F037E">
              <w:rPr>
                <w:rFonts w:ascii="Times New Roman" w:hAnsi="Times New Roman"/>
                <w:b/>
                <w:sz w:val="22"/>
                <w:szCs w:val="22"/>
              </w:rPr>
              <w:t>Τράπεζα</w:t>
            </w:r>
          </w:p>
        </w:tc>
        <w:tc>
          <w:tcPr>
            <w:tcW w:w="2800" w:type="dxa"/>
            <w:gridSpan w:val="2"/>
            <w:shd w:val="clear" w:color="auto" w:fill="BFBFBF" w:themeFill="background1" w:themeFillShade="BF"/>
          </w:tcPr>
          <w:p w:rsidR="00C70CC6" w:rsidRPr="003F037E" w:rsidRDefault="00C70CC6" w:rsidP="00C70CC6">
            <w:pPr>
              <w:jc w:val="center"/>
              <w:rPr>
                <w:rFonts w:ascii="Times New Roman" w:hAnsi="Times New Roman"/>
                <w:b/>
                <w:sz w:val="22"/>
                <w:szCs w:val="22"/>
              </w:rPr>
            </w:pPr>
            <w:r w:rsidRPr="003F037E">
              <w:rPr>
                <w:rFonts w:ascii="Times New Roman" w:hAnsi="Times New Roman"/>
                <w:b/>
                <w:sz w:val="22"/>
                <w:szCs w:val="22"/>
                <w:lang w:val="en-US"/>
              </w:rPr>
              <w:t>Dealer</w:t>
            </w:r>
          </w:p>
        </w:tc>
        <w:tc>
          <w:tcPr>
            <w:tcW w:w="2838" w:type="dxa"/>
            <w:gridSpan w:val="2"/>
            <w:shd w:val="clear" w:color="auto" w:fill="BFBFBF" w:themeFill="background1" w:themeFillShade="BF"/>
          </w:tcPr>
          <w:p w:rsidR="00C70CC6" w:rsidRPr="003F037E" w:rsidRDefault="00C70CC6" w:rsidP="00C70CC6">
            <w:pPr>
              <w:jc w:val="center"/>
              <w:rPr>
                <w:rFonts w:ascii="Times New Roman" w:hAnsi="Times New Roman"/>
                <w:b/>
                <w:sz w:val="22"/>
                <w:szCs w:val="22"/>
              </w:rPr>
            </w:pPr>
            <w:r w:rsidRPr="003F037E">
              <w:rPr>
                <w:rFonts w:ascii="Times New Roman" w:hAnsi="Times New Roman"/>
                <w:b/>
                <w:sz w:val="22"/>
                <w:szCs w:val="22"/>
              </w:rPr>
              <w:t>Κεντρική Τράπεζα</w:t>
            </w:r>
          </w:p>
        </w:tc>
      </w:tr>
      <w:tr w:rsidR="009F7E1A" w:rsidRPr="003F037E" w:rsidTr="00C70CC6">
        <w:tc>
          <w:tcPr>
            <w:tcW w:w="143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Στοιχεία Ενεργητικού</w:t>
            </w:r>
          </w:p>
        </w:tc>
        <w:tc>
          <w:tcPr>
            <w:tcW w:w="1449"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Παθητικό</w:t>
            </w:r>
          </w:p>
        </w:tc>
        <w:tc>
          <w:tcPr>
            <w:tcW w:w="1449"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Στοιχεία Ενεργητικού</w:t>
            </w:r>
          </w:p>
        </w:tc>
        <w:tc>
          <w:tcPr>
            <w:tcW w:w="1351"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Παθητικό</w:t>
            </w:r>
          </w:p>
        </w:tc>
        <w:tc>
          <w:tcPr>
            <w:tcW w:w="143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Στοιχεία Ενεργητικού</w:t>
            </w:r>
          </w:p>
        </w:tc>
        <w:tc>
          <w:tcPr>
            <w:tcW w:w="1405"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Παθητικό</w:t>
            </w:r>
          </w:p>
        </w:tc>
      </w:tr>
      <w:tr w:rsidR="009F7E1A" w:rsidRPr="003F037E" w:rsidTr="00C70CC6">
        <w:tc>
          <w:tcPr>
            <w:tcW w:w="143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+διαθέσιμα</w:t>
            </w:r>
          </w:p>
        </w:tc>
        <w:tc>
          <w:tcPr>
            <w:tcW w:w="1449"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+καταθέσεις </w:t>
            </w:r>
          </w:p>
        </w:tc>
        <w:tc>
          <w:tcPr>
            <w:tcW w:w="1449"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+καταθέσεις </w:t>
            </w:r>
          </w:p>
        </w:tc>
        <w:tc>
          <w:tcPr>
            <w:tcW w:w="1351"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 </w:t>
            </w:r>
            <w:proofErr w:type="spellStart"/>
            <w:r w:rsidRPr="003F037E">
              <w:rPr>
                <w:rFonts w:ascii="Times New Roman" w:hAnsi="Times New Roman"/>
                <w:sz w:val="22"/>
                <w:szCs w:val="22"/>
              </w:rPr>
              <w:t>ρέπος</w:t>
            </w:r>
            <w:proofErr w:type="spellEnd"/>
          </w:p>
        </w:tc>
        <w:tc>
          <w:tcPr>
            <w:tcW w:w="143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 </w:t>
            </w:r>
            <w:proofErr w:type="spellStart"/>
            <w:r w:rsidRPr="003F037E">
              <w:rPr>
                <w:rFonts w:ascii="Times New Roman" w:hAnsi="Times New Roman"/>
                <w:sz w:val="22"/>
                <w:szCs w:val="22"/>
              </w:rPr>
              <w:t>ρέπος</w:t>
            </w:r>
            <w:proofErr w:type="spellEnd"/>
          </w:p>
          <w:p w:rsidR="009F7E1A" w:rsidRPr="003F037E" w:rsidRDefault="009F7E1A" w:rsidP="009F7E1A">
            <w:pPr>
              <w:jc w:val="both"/>
              <w:rPr>
                <w:rFonts w:ascii="Times New Roman" w:hAnsi="Times New Roman"/>
                <w:sz w:val="22"/>
                <w:szCs w:val="22"/>
              </w:rPr>
            </w:pPr>
          </w:p>
        </w:tc>
        <w:tc>
          <w:tcPr>
            <w:tcW w:w="1405"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+διαθέσιμα</w:t>
            </w:r>
          </w:p>
        </w:tc>
      </w:tr>
    </w:tbl>
    <w:p w:rsidR="009F7E1A" w:rsidRDefault="009F7E1A" w:rsidP="009F7E1A">
      <w:pPr>
        <w:jc w:val="both"/>
      </w:pPr>
    </w:p>
    <w:p w:rsidR="00036B60" w:rsidRDefault="009C1028" w:rsidP="00036B60">
      <w:pPr>
        <w:spacing w:line="360" w:lineRule="auto"/>
        <w:ind w:firstLine="720"/>
        <w:jc w:val="both"/>
      </w:pPr>
      <w:r>
        <w:lastRenderedPageBreak/>
        <w:t xml:space="preserve">Στην συνέχεια ο </w:t>
      </w:r>
      <w:r>
        <w:rPr>
          <w:lang w:val="en-US"/>
        </w:rPr>
        <w:t>dealer</w:t>
      </w:r>
      <w:r w:rsidRPr="00460D2E">
        <w:t xml:space="preserve"> </w:t>
      </w:r>
      <w:r>
        <w:t xml:space="preserve">αυτά τα ρευστά τα τοποθετεί ως κατάθεση για να κερδίσει μια απόδοση στην τράπεζα. Έτσι η ρευστότητα διαχέεται από την κεντρική τράπεζα στην εμπορική τράπεζα μέσω του </w:t>
      </w:r>
      <w:r>
        <w:rPr>
          <w:lang w:val="en-US"/>
        </w:rPr>
        <w:t>dealer</w:t>
      </w:r>
      <w:r w:rsidRPr="00460D2E">
        <w:t>.</w:t>
      </w:r>
      <w:r w:rsidR="009F7E1A">
        <w:t>Επομένως επεκτείνοντας τον δικό της ισολογισμό, η κεντρική τράπεζα</w:t>
      </w:r>
      <w:r w:rsidR="00C70CC6">
        <w:t xml:space="preserve"> επεκτείνει τον ισολογισμό των διαπραγματευτών</w:t>
      </w:r>
      <w:r w:rsidR="009F7E1A">
        <w:t xml:space="preserve"> και των τραπεζών επίσης. Βασικά </w:t>
      </w:r>
      <w:r>
        <w:t>σ</w:t>
      </w:r>
      <w:r w:rsidR="009F7E1A">
        <w:t>την</w:t>
      </w:r>
      <w:r>
        <w:t xml:space="preserve"> διάρκεια της</w:t>
      </w:r>
      <w:r w:rsidR="009F7E1A">
        <w:t xml:space="preserve"> κρίση</w:t>
      </w:r>
      <w:r>
        <w:t>ς</w:t>
      </w:r>
      <w:r w:rsidR="009F7E1A">
        <w:t xml:space="preserve"> η κεντρική τράπεζα</w:t>
      </w:r>
      <w:r w:rsidR="00036B60">
        <w:t xml:space="preserve"> των ΗΠΑ</w:t>
      </w:r>
      <w:r w:rsidR="009F7E1A">
        <w:t xml:space="preserve"> συμμετείχε στην αγορά κάθε ημέρα, και το μέγεθος των καθημερινών συναλλαγών της σε </w:t>
      </w:r>
      <w:proofErr w:type="spellStart"/>
      <w:r w:rsidR="009F7E1A">
        <w:t>ρέπος</w:t>
      </w:r>
      <w:proofErr w:type="spellEnd"/>
      <w:r w:rsidR="009F7E1A">
        <w:t xml:space="preserve"> ήταν μεγάλο συγκριτικά με τα συνολικά τραπεζικά διαθέσιμα.</w:t>
      </w:r>
      <w:r w:rsidR="00C70CC6">
        <w:t xml:space="preserve"> Όμως ό</w:t>
      </w:r>
      <w:r w:rsidR="009F7E1A">
        <w:t>λα αυτά άλλαξαν με την</w:t>
      </w:r>
      <w:r>
        <w:t xml:space="preserve"> πάροδο της</w:t>
      </w:r>
      <w:r w:rsidR="009F7E1A">
        <w:t xml:space="preserve"> κρίση</w:t>
      </w:r>
      <w:r>
        <w:t>ς</w:t>
      </w:r>
      <w:r w:rsidR="009F7E1A">
        <w:t xml:space="preserve">. Στις μέρες μας η κεντρική τράπεζα </w:t>
      </w:r>
      <w:r w:rsidR="00036B60">
        <w:t xml:space="preserve">των ΗΠΑ </w:t>
      </w:r>
      <w:r w:rsidR="009F7E1A">
        <w:t xml:space="preserve">παρεμβάλλεται σε αυτή την κατεύθυνση μόνο σπάνια, τους τελευταίους λίγους μήνες κυρίως για να ελέγξει την ικανότητα της να αντιστρέφει </w:t>
      </w:r>
      <w:proofErr w:type="spellStart"/>
      <w:r w:rsidR="009F7E1A">
        <w:t>ρέπος</w:t>
      </w:r>
      <w:proofErr w:type="spellEnd"/>
      <w:r w:rsidR="009F7E1A">
        <w:t xml:space="preserve"> με τους </w:t>
      </w:r>
      <w:r w:rsidR="00C70CC6">
        <w:t>διαπραγματευτές</w:t>
      </w:r>
      <w:r w:rsidR="009F7E1A">
        <w:t xml:space="preserve">, ως έναν τρόπο να συρρικνώσει τον </w:t>
      </w:r>
      <w:r w:rsidR="00036B60">
        <w:t xml:space="preserve">ισολογισμό της σταδιακά. Στο ακόλουθο πίνακα </w:t>
      </w:r>
      <w:r w:rsidR="009F7E1A">
        <w:t xml:space="preserve">είναι </w:t>
      </w:r>
      <w:r w:rsidR="00036B60">
        <w:t>ο ισολογισμός που περιγράφει  αυτή την συρρίκνωση.</w:t>
      </w:r>
    </w:p>
    <w:p w:rsidR="009F7E1A" w:rsidRDefault="00036B60" w:rsidP="009C1028">
      <w:pPr>
        <w:jc w:val="both"/>
      </w:pPr>
      <w:r w:rsidRPr="00C70CC6">
        <w:rPr>
          <w:b/>
        </w:rPr>
        <w:t>Πίνακας</w:t>
      </w:r>
      <w:r w:rsidR="00613B48">
        <w:rPr>
          <w:b/>
        </w:rPr>
        <w:t xml:space="preserve"> 4.18</w:t>
      </w:r>
      <w:r>
        <w:t xml:space="preserve">. Συρρικνώνοντας την ρευστότητα με </w:t>
      </w:r>
      <w:proofErr w:type="spellStart"/>
      <w:r>
        <w:t>ρέπος</w:t>
      </w:r>
      <w:proofErr w:type="spellEnd"/>
      <w:r>
        <w:t xml:space="preserve"> από την Κεντρική Τράπεζα</w:t>
      </w:r>
      <w:r w:rsidR="009F7E1A">
        <w:t xml:space="preserve">                                    </w:t>
      </w:r>
    </w:p>
    <w:tbl>
      <w:tblPr>
        <w:tblStyle w:val="af3"/>
        <w:tblW w:w="8520" w:type="dxa"/>
        <w:tblLook w:val="04A0" w:firstRow="1" w:lastRow="0" w:firstColumn="1" w:lastColumn="0" w:noHBand="0" w:noVBand="1"/>
      </w:tblPr>
      <w:tblGrid>
        <w:gridCol w:w="1433"/>
        <w:gridCol w:w="1373"/>
        <w:gridCol w:w="1500"/>
        <w:gridCol w:w="1281"/>
        <w:gridCol w:w="1433"/>
        <w:gridCol w:w="1500"/>
      </w:tblGrid>
      <w:tr w:rsidR="00C70CC6" w:rsidRPr="003F037E" w:rsidTr="00C70CC6">
        <w:tc>
          <w:tcPr>
            <w:tcW w:w="2806" w:type="dxa"/>
            <w:gridSpan w:val="2"/>
            <w:shd w:val="clear" w:color="auto" w:fill="BFBFBF" w:themeFill="background1" w:themeFillShade="BF"/>
          </w:tcPr>
          <w:p w:rsidR="00C70CC6" w:rsidRPr="003F037E" w:rsidRDefault="00C70CC6" w:rsidP="009C1028">
            <w:pPr>
              <w:jc w:val="center"/>
              <w:rPr>
                <w:rFonts w:ascii="Times New Roman" w:hAnsi="Times New Roman"/>
                <w:b/>
                <w:sz w:val="22"/>
                <w:szCs w:val="22"/>
              </w:rPr>
            </w:pPr>
            <w:r w:rsidRPr="003F037E">
              <w:rPr>
                <w:rFonts w:ascii="Times New Roman" w:hAnsi="Times New Roman"/>
                <w:b/>
                <w:sz w:val="22"/>
                <w:szCs w:val="22"/>
              </w:rPr>
              <w:t>Τράπεζα</w:t>
            </w:r>
          </w:p>
        </w:tc>
        <w:tc>
          <w:tcPr>
            <w:tcW w:w="2781" w:type="dxa"/>
            <w:gridSpan w:val="2"/>
            <w:shd w:val="clear" w:color="auto" w:fill="BFBFBF" w:themeFill="background1" w:themeFillShade="BF"/>
          </w:tcPr>
          <w:p w:rsidR="00C70CC6" w:rsidRPr="003F037E" w:rsidRDefault="00C70CC6" w:rsidP="009C1028">
            <w:pPr>
              <w:jc w:val="center"/>
              <w:rPr>
                <w:rFonts w:ascii="Times New Roman" w:hAnsi="Times New Roman"/>
                <w:b/>
                <w:sz w:val="22"/>
                <w:szCs w:val="22"/>
              </w:rPr>
            </w:pPr>
            <w:r w:rsidRPr="003F037E">
              <w:rPr>
                <w:rFonts w:ascii="Times New Roman" w:hAnsi="Times New Roman"/>
                <w:b/>
                <w:sz w:val="22"/>
                <w:szCs w:val="22"/>
                <w:lang w:val="en-US"/>
              </w:rPr>
              <w:t>Dealer</w:t>
            </w:r>
          </w:p>
        </w:tc>
        <w:tc>
          <w:tcPr>
            <w:tcW w:w="2933" w:type="dxa"/>
            <w:gridSpan w:val="2"/>
            <w:shd w:val="clear" w:color="auto" w:fill="BFBFBF" w:themeFill="background1" w:themeFillShade="BF"/>
          </w:tcPr>
          <w:p w:rsidR="00C70CC6" w:rsidRPr="003F037E" w:rsidRDefault="00C70CC6" w:rsidP="009C1028">
            <w:pPr>
              <w:jc w:val="center"/>
              <w:rPr>
                <w:rFonts w:ascii="Times New Roman" w:hAnsi="Times New Roman"/>
                <w:b/>
                <w:sz w:val="22"/>
                <w:szCs w:val="22"/>
              </w:rPr>
            </w:pPr>
            <w:r w:rsidRPr="003F037E">
              <w:rPr>
                <w:rFonts w:ascii="Times New Roman" w:hAnsi="Times New Roman"/>
                <w:b/>
                <w:sz w:val="22"/>
                <w:szCs w:val="22"/>
              </w:rPr>
              <w:t>Κεντρική Τράπεζα</w:t>
            </w:r>
          </w:p>
        </w:tc>
      </w:tr>
      <w:tr w:rsidR="009F7E1A" w:rsidRPr="003F037E" w:rsidTr="00C70CC6">
        <w:tc>
          <w:tcPr>
            <w:tcW w:w="1433"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Στοιχεία Ενεργητικού</w:t>
            </w:r>
          </w:p>
        </w:tc>
        <w:tc>
          <w:tcPr>
            <w:tcW w:w="1373"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Παθητικό</w:t>
            </w:r>
          </w:p>
        </w:tc>
        <w:tc>
          <w:tcPr>
            <w:tcW w:w="1500"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Στοιχεία Ενεργητικού</w:t>
            </w:r>
          </w:p>
        </w:tc>
        <w:tc>
          <w:tcPr>
            <w:tcW w:w="1281"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Παθητικό</w:t>
            </w:r>
          </w:p>
        </w:tc>
        <w:tc>
          <w:tcPr>
            <w:tcW w:w="1433"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Στοιχεία Ενεργητικού</w:t>
            </w:r>
          </w:p>
        </w:tc>
        <w:tc>
          <w:tcPr>
            <w:tcW w:w="1500" w:type="dxa"/>
          </w:tcPr>
          <w:p w:rsidR="009F7E1A" w:rsidRPr="003F037E" w:rsidRDefault="009F7E1A" w:rsidP="009C1028">
            <w:pPr>
              <w:jc w:val="center"/>
              <w:rPr>
                <w:rFonts w:ascii="Times New Roman" w:hAnsi="Times New Roman"/>
                <w:sz w:val="22"/>
                <w:szCs w:val="22"/>
              </w:rPr>
            </w:pPr>
            <w:r w:rsidRPr="003F037E">
              <w:rPr>
                <w:rFonts w:ascii="Times New Roman" w:hAnsi="Times New Roman"/>
                <w:sz w:val="22"/>
                <w:szCs w:val="22"/>
              </w:rPr>
              <w:t>Παθητικό</w:t>
            </w:r>
          </w:p>
        </w:tc>
      </w:tr>
      <w:tr w:rsidR="009F7E1A" w:rsidRPr="003F037E" w:rsidTr="00C70CC6">
        <w:tc>
          <w:tcPr>
            <w:tcW w:w="143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-διαθέσιμα</w:t>
            </w:r>
          </w:p>
        </w:tc>
        <w:tc>
          <w:tcPr>
            <w:tcW w:w="1373"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-καταθέσεις </w:t>
            </w:r>
          </w:p>
        </w:tc>
        <w:tc>
          <w:tcPr>
            <w:tcW w:w="1500"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+αντίστροφα </w:t>
            </w:r>
            <w:proofErr w:type="spellStart"/>
            <w:r w:rsidRPr="003F037E">
              <w:rPr>
                <w:rFonts w:ascii="Times New Roman" w:hAnsi="Times New Roman"/>
                <w:sz w:val="22"/>
                <w:szCs w:val="22"/>
              </w:rPr>
              <w:t>ρέπος</w:t>
            </w:r>
            <w:proofErr w:type="spellEnd"/>
          </w:p>
          <w:p w:rsidR="009F7E1A" w:rsidRPr="003F037E" w:rsidRDefault="009F7E1A" w:rsidP="009F7E1A">
            <w:pPr>
              <w:jc w:val="both"/>
              <w:rPr>
                <w:rFonts w:ascii="Times New Roman" w:hAnsi="Times New Roman"/>
                <w:sz w:val="22"/>
                <w:szCs w:val="22"/>
              </w:rPr>
            </w:pPr>
          </w:p>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-καταθέσεις </w:t>
            </w:r>
          </w:p>
        </w:tc>
        <w:tc>
          <w:tcPr>
            <w:tcW w:w="1281" w:type="dxa"/>
          </w:tcPr>
          <w:p w:rsidR="009F7E1A" w:rsidRPr="003F037E" w:rsidRDefault="009F7E1A" w:rsidP="009F7E1A">
            <w:pPr>
              <w:jc w:val="both"/>
              <w:rPr>
                <w:rFonts w:ascii="Times New Roman" w:hAnsi="Times New Roman"/>
                <w:sz w:val="22"/>
                <w:szCs w:val="22"/>
              </w:rPr>
            </w:pPr>
          </w:p>
        </w:tc>
        <w:tc>
          <w:tcPr>
            <w:tcW w:w="1433" w:type="dxa"/>
          </w:tcPr>
          <w:p w:rsidR="009F7E1A" w:rsidRPr="003F037E" w:rsidRDefault="009F7E1A" w:rsidP="009F7E1A">
            <w:pPr>
              <w:jc w:val="both"/>
              <w:rPr>
                <w:rFonts w:ascii="Times New Roman" w:hAnsi="Times New Roman"/>
                <w:sz w:val="22"/>
                <w:szCs w:val="22"/>
              </w:rPr>
            </w:pPr>
          </w:p>
        </w:tc>
        <w:tc>
          <w:tcPr>
            <w:tcW w:w="1500" w:type="dxa"/>
          </w:tcPr>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 xml:space="preserve">+αντίστροφα </w:t>
            </w:r>
            <w:proofErr w:type="spellStart"/>
            <w:r w:rsidRPr="003F037E">
              <w:rPr>
                <w:rFonts w:ascii="Times New Roman" w:hAnsi="Times New Roman"/>
                <w:sz w:val="22"/>
                <w:szCs w:val="22"/>
              </w:rPr>
              <w:t>ρέπος</w:t>
            </w:r>
            <w:proofErr w:type="spellEnd"/>
          </w:p>
          <w:p w:rsidR="009F7E1A" w:rsidRPr="003F037E" w:rsidRDefault="009F7E1A" w:rsidP="009F7E1A">
            <w:pPr>
              <w:jc w:val="both"/>
              <w:rPr>
                <w:rFonts w:ascii="Times New Roman" w:hAnsi="Times New Roman"/>
                <w:sz w:val="22"/>
                <w:szCs w:val="22"/>
              </w:rPr>
            </w:pPr>
          </w:p>
          <w:p w:rsidR="009F7E1A" w:rsidRPr="003F037E" w:rsidRDefault="009F7E1A" w:rsidP="009F7E1A">
            <w:pPr>
              <w:jc w:val="both"/>
              <w:rPr>
                <w:rFonts w:ascii="Times New Roman" w:hAnsi="Times New Roman"/>
                <w:sz w:val="22"/>
                <w:szCs w:val="22"/>
              </w:rPr>
            </w:pPr>
            <w:r w:rsidRPr="003F037E">
              <w:rPr>
                <w:rFonts w:ascii="Times New Roman" w:hAnsi="Times New Roman"/>
                <w:sz w:val="22"/>
                <w:szCs w:val="22"/>
              </w:rPr>
              <w:t>-διαθέσιμα</w:t>
            </w:r>
          </w:p>
        </w:tc>
      </w:tr>
    </w:tbl>
    <w:p w:rsidR="009F7E1A" w:rsidRDefault="009F7E1A" w:rsidP="009F7E1A">
      <w:pPr>
        <w:jc w:val="both"/>
      </w:pPr>
      <w:r>
        <w:t xml:space="preserve"> </w:t>
      </w:r>
    </w:p>
    <w:p w:rsidR="009F7E1A" w:rsidRDefault="009F7E1A" w:rsidP="00036B60">
      <w:pPr>
        <w:spacing w:line="360" w:lineRule="auto"/>
        <w:ind w:firstLine="720"/>
        <w:jc w:val="both"/>
      </w:pPr>
      <w:r>
        <w:t xml:space="preserve">Μπορείτε να δείτε ότι </w:t>
      </w:r>
      <w:r w:rsidR="00036B60">
        <w:t xml:space="preserve">αυτή η αντίστροφη ενέργεια </w:t>
      </w:r>
      <w:r>
        <w:t xml:space="preserve">χρησιμεύει για να μετατρέψει τα στοιχεία παθητικού </w:t>
      </w:r>
      <w:r w:rsidR="00036B60">
        <w:t xml:space="preserve">της </w:t>
      </w:r>
      <w:r w:rsidR="003F037E">
        <w:t>κεντρικής τ</w:t>
      </w:r>
      <w:r w:rsidR="00036B60">
        <w:t>ράπεζας</w:t>
      </w:r>
      <w:r w:rsidR="003F037E">
        <w:t xml:space="preserve"> από διαθέσιμα (</w:t>
      </w:r>
      <w:r>
        <w:t>τα οποία εί</w:t>
      </w:r>
      <w:r w:rsidR="003F037E">
        <w:t>ναι χρήμα υψηλής δραστηριότητας)</w:t>
      </w:r>
      <w:r>
        <w:t xml:space="preserve"> σε </w:t>
      </w:r>
      <w:proofErr w:type="spellStart"/>
      <w:r>
        <w:t>ρέπος</w:t>
      </w:r>
      <w:proofErr w:type="spellEnd"/>
      <w:r>
        <w:t xml:space="preserve"> (που είναι πιο χαμηλής δραστηριότητας, </w:t>
      </w:r>
      <w:r w:rsidR="00036B60">
        <w:t xml:space="preserve">ειδικά αν είναι </w:t>
      </w:r>
      <w:proofErr w:type="spellStart"/>
      <w:r w:rsidR="00036B60">
        <w:t>ρέπο</w:t>
      </w:r>
      <w:proofErr w:type="spellEnd"/>
      <w:r w:rsidR="00036B60">
        <w:t xml:space="preserve"> προθεσμίας - </w:t>
      </w:r>
      <w:r>
        <w:rPr>
          <w:lang w:val="en-US"/>
        </w:rPr>
        <w:t>term</w:t>
      </w:r>
      <w:r w:rsidRPr="004E3742">
        <w:t xml:space="preserve"> </w:t>
      </w:r>
      <w:r>
        <w:rPr>
          <w:lang w:val="en-US"/>
        </w:rPr>
        <w:t>repo</w:t>
      </w:r>
      <w:r w:rsidRPr="004E3742">
        <w:t>)</w:t>
      </w:r>
      <w:r>
        <w:t>, και να αλλάξουν τον αντισυμβαλλόμενο της κεντρι</w:t>
      </w:r>
      <w:r w:rsidR="00036B60">
        <w:t>κής τράπεζας από τις τράπεζες τους διαπραγματευτές.</w:t>
      </w:r>
      <w:r>
        <w:t xml:space="preserve"> </w:t>
      </w:r>
    </w:p>
    <w:p w:rsidR="009F7E1A" w:rsidRDefault="009F7E1A" w:rsidP="009F7E1A">
      <w:pPr>
        <w:jc w:val="both"/>
      </w:pPr>
    </w:p>
    <w:p w:rsidR="009F7E1A" w:rsidRPr="003F037E" w:rsidRDefault="009F7E1A" w:rsidP="00036B60">
      <w:pPr>
        <w:spacing w:line="360" w:lineRule="auto"/>
        <w:jc w:val="both"/>
        <w:rPr>
          <w:b/>
          <w:i/>
          <w:u w:val="single"/>
        </w:rPr>
      </w:pPr>
      <w:r w:rsidRPr="003F037E">
        <w:rPr>
          <w:b/>
          <w:i/>
          <w:u w:val="single"/>
        </w:rPr>
        <w:t>Τιμολόγηση</w:t>
      </w:r>
      <w:r w:rsidR="00036B60" w:rsidRPr="003F037E">
        <w:rPr>
          <w:b/>
          <w:i/>
          <w:u w:val="single"/>
        </w:rPr>
        <w:t xml:space="preserve"> των </w:t>
      </w:r>
      <w:proofErr w:type="spellStart"/>
      <w:r w:rsidR="00036B60" w:rsidRPr="003F037E">
        <w:rPr>
          <w:b/>
          <w:i/>
          <w:u w:val="single"/>
        </w:rPr>
        <w:t>Ρέπος</w:t>
      </w:r>
      <w:proofErr w:type="spellEnd"/>
    </w:p>
    <w:p w:rsidR="00036B60" w:rsidRDefault="009F7E1A" w:rsidP="00036B60">
      <w:pPr>
        <w:spacing w:line="360" w:lineRule="auto"/>
        <w:ind w:firstLine="720"/>
        <w:jc w:val="both"/>
      </w:pPr>
      <w:r>
        <w:rPr>
          <w:b/>
        </w:rPr>
        <w:t xml:space="preserve">  </w:t>
      </w:r>
      <w:r>
        <w:t xml:space="preserve">Η </w:t>
      </w:r>
      <w:proofErr w:type="spellStart"/>
      <w:r>
        <w:rPr>
          <w:lang w:val="en-US"/>
        </w:rPr>
        <w:t>Stigum</w:t>
      </w:r>
      <w:proofErr w:type="spellEnd"/>
      <w:r w:rsidR="00036B60">
        <w:t xml:space="preserve"> (</w:t>
      </w:r>
      <w:r w:rsidR="009C1028">
        <w:t>1983</w:t>
      </w:r>
      <w:r w:rsidR="00036B60">
        <w:t>)</w:t>
      </w:r>
      <w:r w:rsidRPr="00FE1DB4">
        <w:t xml:space="preserve"> </w:t>
      </w:r>
      <w:r>
        <w:t xml:space="preserve">λέει ότι γενικά το επιτόκιο των </w:t>
      </w:r>
      <w:proofErr w:type="spellStart"/>
      <w:r>
        <w:t>ρέπος</w:t>
      </w:r>
      <w:proofErr w:type="spellEnd"/>
      <w:r>
        <w:t xml:space="preserve"> κατά την διάρκεια της νύχτας είναι λίγο χαμηλότερο από το επιτόκιο των </w:t>
      </w:r>
      <w:r w:rsidR="00036B60">
        <w:t>δ</w:t>
      </w:r>
      <w:r>
        <w:t>ιαθέσιμων της κεντρικής τράπεζας κατά τη διάρκεια της νύχτας, κα λίγο υψηλότερο από το επιτόκιο των τριμηνιαίων κρατικών ομολόγων (</w:t>
      </w:r>
      <w:r>
        <w:rPr>
          <w:lang w:val="en-US"/>
        </w:rPr>
        <w:t>Treasury</w:t>
      </w:r>
      <w:r w:rsidRPr="00FE1DB4">
        <w:t xml:space="preserve"> </w:t>
      </w:r>
      <w:r>
        <w:rPr>
          <w:lang w:val="en-US"/>
        </w:rPr>
        <w:t>bill</w:t>
      </w:r>
      <w:r w:rsidRPr="00FE1DB4">
        <w:t xml:space="preserve">). </w:t>
      </w:r>
      <w:r w:rsidR="009C1028">
        <w:t>Το ερώτημα λοιπόν που τίθεται είναι γ</w:t>
      </w:r>
      <w:r>
        <w:t xml:space="preserve">ιατί θα έπρεπε αυτό να ισχύει; </w:t>
      </w:r>
      <w:r w:rsidR="00036B60">
        <w:t>Υποστηρίζει ότι επειδή</w:t>
      </w:r>
      <w:r>
        <w:t xml:space="preserve"> τα </w:t>
      </w:r>
      <w:proofErr w:type="spellStart"/>
      <w:r>
        <w:t>ρέπος</w:t>
      </w:r>
      <w:proofErr w:type="spellEnd"/>
      <w:r>
        <w:t xml:space="preserve"> είναι</w:t>
      </w:r>
      <w:r w:rsidRPr="009C1028">
        <w:t xml:space="preserve"> διασφαλισμένη</w:t>
      </w:r>
      <w:r w:rsidR="00036B60">
        <w:t xml:space="preserve"> πίστη ενώ τα δ</w:t>
      </w:r>
      <w:r>
        <w:t xml:space="preserve">ιαθέσιμα της κεντρικής τράπεζας δεν είναι διασφαλισμένα, και </w:t>
      </w:r>
      <w:r>
        <w:lastRenderedPageBreak/>
        <w:t xml:space="preserve">καταλήγει ότι η διαφορά κατά 5-10 </w:t>
      </w:r>
      <w:r w:rsidR="009F1983">
        <w:t>μονάδες</w:t>
      </w:r>
      <w:r>
        <w:t xml:space="preserve"> βάσεως είναι αποζημίωση για το μεγαλύτερο ρίσκο που εμπεριέχεται στα </w:t>
      </w:r>
      <w:r w:rsidR="009F1983">
        <w:t>δ</w:t>
      </w:r>
      <w:r>
        <w:t xml:space="preserve">ιαθέσιμα της κεντρικής τράπεζας. </w:t>
      </w:r>
    </w:p>
    <w:p w:rsidR="00144546" w:rsidRDefault="00144546" w:rsidP="00144546">
      <w:pPr>
        <w:spacing w:line="360" w:lineRule="auto"/>
        <w:ind w:firstLine="720"/>
        <w:jc w:val="both"/>
      </w:pPr>
      <w:r>
        <w:t>Ας</w:t>
      </w:r>
      <w:r w:rsidR="009F7E1A">
        <w:t xml:space="preserve"> θεωρήσουμε το </w:t>
      </w:r>
      <w:r>
        <w:t xml:space="preserve">επιτόκιο </w:t>
      </w:r>
      <w:r w:rsidR="009F7E1A">
        <w:t>στόχο</w:t>
      </w:r>
      <w:r w:rsidR="009F7E1A" w:rsidRPr="00A8613C">
        <w:t xml:space="preserve"> </w:t>
      </w:r>
      <w:r>
        <w:t>στην αγορά των δ</w:t>
      </w:r>
      <w:r w:rsidR="009F7E1A">
        <w:t xml:space="preserve">ιαθεσίμων της κεντρικής τράπεζας ως ένα είδος επιτοκίου προεξόφλησης με τη μορφή ποινής το οποίο πρέπει να πληρώνουν οι </w:t>
      </w:r>
      <w:r>
        <w:t>διαπραγματευτές</w:t>
      </w:r>
      <w:r w:rsidR="009F7E1A">
        <w:t xml:space="preserve"> εάν δεν καταφέρνουν να ικανοποιήσουν τον περιορισμό επιβίωσης τους  δανειζόμενοι στο επιτόκιο των </w:t>
      </w:r>
      <w:proofErr w:type="spellStart"/>
      <w:r w:rsidR="009F7E1A">
        <w:t>ρέπος</w:t>
      </w:r>
      <w:proofErr w:type="spellEnd"/>
      <w:r w:rsidR="009F7E1A">
        <w:t xml:space="preserve">.  Οι </w:t>
      </w:r>
      <w:r w:rsidR="009C1028">
        <w:rPr>
          <w:lang w:val="en-US"/>
        </w:rPr>
        <w:t>dealers</w:t>
      </w:r>
      <w:r w:rsidR="009C1028" w:rsidRPr="009C1028">
        <w:t xml:space="preserve"> </w:t>
      </w:r>
      <w:r w:rsidR="009F7E1A">
        <w:t xml:space="preserve">επεκτείνουν τους ισολογισμούς τους όσο το δυνατόν περισσότερο </w:t>
      </w:r>
      <w:r>
        <w:t>με πολύ λίγα κεφάλαια</w:t>
      </w:r>
      <w:r w:rsidR="009F7E1A">
        <w:t xml:space="preserve"> ενώ </w:t>
      </w:r>
      <w:r>
        <w:t xml:space="preserve">δεν </w:t>
      </w:r>
      <w:r w:rsidR="009F7E1A">
        <w:t xml:space="preserve">κρατούν χρηματικά διαθέσιμα, εξαρτώμενοι αντί αυτού στην αγορά των </w:t>
      </w:r>
      <w:proofErr w:type="spellStart"/>
      <w:r w:rsidR="009F7E1A">
        <w:t>ρέπος</w:t>
      </w:r>
      <w:proofErr w:type="spellEnd"/>
      <w:r w:rsidR="009F7E1A">
        <w:t xml:space="preserve"> για να συγκεντρώσουν χρήματα τα οποία χρειάζονται</w:t>
      </w:r>
      <w:r>
        <w:t xml:space="preserve">. Εάν αντιμετωπίσουν πρόβλημα, </w:t>
      </w:r>
      <w:r w:rsidR="009F7E1A">
        <w:t xml:space="preserve">που σημαίνει εάν βρεθούν με </w:t>
      </w:r>
      <w:r w:rsidR="009F7E1A" w:rsidRPr="009C1028">
        <w:t>ανεπαρκείς εγγυήσεις</w:t>
      </w:r>
      <w:r w:rsidR="009F7E1A">
        <w:t xml:space="preserve"> για να δανεισθούν επιπρόσθετα </w:t>
      </w:r>
      <w:proofErr w:type="spellStart"/>
      <w:r w:rsidR="009F7E1A">
        <w:t>ρέπος</w:t>
      </w:r>
      <w:proofErr w:type="spellEnd"/>
      <w:r w:rsidR="009F7E1A">
        <w:t xml:space="preserve"> βασίζονται στις εκκαθαριστικές τράπεζες τους για ένα δάνειο </w:t>
      </w:r>
      <w:r>
        <w:t>διαπραγματευτή</w:t>
      </w:r>
      <w:r w:rsidR="009F7E1A">
        <w:t>, το οποίο τιμολογείται επάνω στα</w:t>
      </w:r>
      <w:r w:rsidR="009F7E1A" w:rsidRPr="00D265DC">
        <w:t xml:space="preserve"> </w:t>
      </w:r>
      <w:r>
        <w:t>δ</w:t>
      </w:r>
      <w:r w:rsidR="009F7E1A">
        <w:t>ιαθέσιμα της κεντρικής τράπεζας καθώς η τράπεζα εξαρτάται από την αγορά</w:t>
      </w:r>
      <w:r w:rsidR="009F7E1A" w:rsidRPr="00D265DC">
        <w:t xml:space="preserve"> </w:t>
      </w:r>
      <w:r>
        <w:t>δ</w:t>
      </w:r>
      <w:r w:rsidR="009F7E1A">
        <w:t xml:space="preserve">ιαθεσίμων της κεντρικής τράπεζας για να χρηματοδοτήσει το δάνειο. Αλλά αυτό αναφέρεται μόνο σε περιστασιακά λάθη του </w:t>
      </w:r>
      <w:r>
        <w:t>τελευταία</w:t>
      </w:r>
      <w:r w:rsidR="009C1028">
        <w:t>ς</w:t>
      </w:r>
      <w:r>
        <w:t xml:space="preserve"> στιγμής</w:t>
      </w:r>
      <w:r w:rsidR="009F7E1A">
        <w:t xml:space="preserve">. </w:t>
      </w:r>
      <w:r>
        <w:t>Συνήθως</w:t>
      </w:r>
      <w:r w:rsidR="009F7E1A">
        <w:t xml:space="preserve">, οι </w:t>
      </w:r>
      <w:r>
        <w:t xml:space="preserve">διαπραγματευτές </w:t>
      </w:r>
      <w:r w:rsidR="009F7E1A">
        <w:t xml:space="preserve">μπορούν να βασιστούν στην ίδια την κεντρική τράπεζα για ένα δάνειο σε </w:t>
      </w:r>
      <w:proofErr w:type="spellStart"/>
      <w:r w:rsidR="009F7E1A">
        <w:t>ρέπος</w:t>
      </w:r>
      <w:proofErr w:type="spellEnd"/>
      <w:r>
        <w:t xml:space="preserve"> τιμολογημένο στο επιτόκιο των δ</w:t>
      </w:r>
      <w:r w:rsidR="009F7E1A">
        <w:t>ιαθεσίμων της κεντρικής τράπεζας, καθώς αυτό είναι το επιτόκιο που η κεντρική τράπεζα προσπαθεί να καθιερώσει με την καθημερινή της παρέμβαση.</w:t>
      </w:r>
    </w:p>
    <w:p w:rsidR="00144546" w:rsidRDefault="009F7E1A" w:rsidP="00144546">
      <w:pPr>
        <w:spacing w:line="360" w:lineRule="auto"/>
        <w:ind w:firstLine="720"/>
        <w:jc w:val="both"/>
      </w:pPr>
      <w:r>
        <w:t xml:space="preserve">Στην πρωινή δημοπρασία, οι </w:t>
      </w:r>
      <w:r w:rsidR="00144546">
        <w:t>διαπραγματευτές</w:t>
      </w:r>
      <w:r>
        <w:t xml:space="preserve"> καταθέτουν προσφορές για χρήμα. Οι προσφορές που είναι κάτω από το επιτόκιο</w:t>
      </w:r>
      <w:r w:rsidRPr="00C1262C">
        <w:t xml:space="preserve"> </w:t>
      </w:r>
      <w:r>
        <w:t xml:space="preserve">των </w:t>
      </w:r>
      <w:r w:rsidR="00144546">
        <w:t>δ</w:t>
      </w:r>
      <w:r>
        <w:t>ιαθεσίμων της κεντρικής τράπεζας δε θα είναι ελκυστικές για την κεντρική τράπεζα. Αυτή θέλει να προσφέρει τα απαιτούμενα διαθέσιμα, αλλά επίσης να συντηρήσει την πειθαρχία στην αγορά διατηρώντας τα διαθέσιμα σπάνια. Το κατορθώνει αυτό δεχόμενη προσφορές που είναι σε ίδιο επίπεδο ή πιο πάνω από το επιτόκιο</w:t>
      </w:r>
      <w:r w:rsidRPr="00C1262C">
        <w:t xml:space="preserve"> </w:t>
      </w:r>
      <w:r>
        <w:t xml:space="preserve">των </w:t>
      </w:r>
      <w:r w:rsidR="00144546">
        <w:t>δ</w:t>
      </w:r>
      <w:r>
        <w:t xml:space="preserve">ιαθεσίμων της κεντρικής τράπεζας. Από την πλευρά τους, οι </w:t>
      </w:r>
      <w:r w:rsidR="00144546">
        <w:t xml:space="preserve">διαπραγματευτές </w:t>
      </w:r>
      <w:r>
        <w:t xml:space="preserve">είναι πρόθυμοι να υποβάλλουν προσφορά υψηλότερη από το επιτόκιο στην αγορά των </w:t>
      </w:r>
      <w:proofErr w:type="spellStart"/>
      <w:r>
        <w:t>ρέπος</w:t>
      </w:r>
      <w:proofErr w:type="spellEnd"/>
      <w:r>
        <w:t xml:space="preserve">, ακόμη και αν πιστεύουν ότι θα χρηματοδοτούν το μεγαλύτερο μέρος των αναγκών τους  στο επιτόκιο της αγοράς </w:t>
      </w:r>
      <w:proofErr w:type="spellStart"/>
      <w:r>
        <w:t>ρέπος</w:t>
      </w:r>
      <w:proofErr w:type="spellEnd"/>
      <w:r>
        <w:t xml:space="preserve">, εφόσον αντιμετωπίζουν οποιαδήποτε πιθανότητα του να πρέπει να ζητήσουν ένα δάνειο </w:t>
      </w:r>
      <w:r w:rsidR="00144546">
        <w:t>διαπραγματευτή</w:t>
      </w:r>
      <w:r>
        <w:t xml:space="preserve"> από την τράπεζα τους, το οποίο συνήθως χρεώνει επιτόκιο των </w:t>
      </w:r>
      <w:r w:rsidR="00144546">
        <w:t>δ</w:t>
      </w:r>
      <w:r>
        <w:t>ιαθεσίμων της κεντρικής τράπεζας</w:t>
      </w:r>
      <w:r w:rsidRPr="00C1262C">
        <w:t xml:space="preserve"> </w:t>
      </w:r>
      <w:r>
        <w:t xml:space="preserve">+ 50 μονάδες βάσης </w:t>
      </w:r>
      <w:r w:rsidRPr="00C1262C">
        <w:t>(</w:t>
      </w:r>
      <w:r>
        <w:rPr>
          <w:lang w:val="en-US"/>
        </w:rPr>
        <w:t>FF</w:t>
      </w:r>
      <w:r w:rsidR="00144546">
        <w:t xml:space="preserve"> </w:t>
      </w:r>
      <w:r w:rsidR="00144546">
        <w:rPr>
          <w:lang w:val="en-US"/>
        </w:rPr>
        <w:t>rate</w:t>
      </w:r>
      <w:r w:rsidR="00144546" w:rsidRPr="00144546">
        <w:t xml:space="preserve"> </w:t>
      </w:r>
      <w:r w:rsidRPr="00C1262C">
        <w:t>+</w:t>
      </w:r>
      <w:r w:rsidR="00144546" w:rsidRPr="00144546">
        <w:t xml:space="preserve"> </w:t>
      </w:r>
      <w:r w:rsidRPr="00C1262C">
        <w:t>50</w:t>
      </w:r>
      <w:r w:rsidR="00144546" w:rsidRPr="00144546">
        <w:t xml:space="preserve"> </w:t>
      </w:r>
      <w:r>
        <w:rPr>
          <w:lang w:val="en-US"/>
        </w:rPr>
        <w:t>b</w:t>
      </w:r>
      <w:r w:rsidR="00144546">
        <w:rPr>
          <w:lang w:val="en-US"/>
        </w:rPr>
        <w:t>asis</w:t>
      </w:r>
      <w:r w:rsidR="00144546" w:rsidRPr="00144546">
        <w:t xml:space="preserve"> </w:t>
      </w:r>
      <w:r>
        <w:rPr>
          <w:lang w:val="en-US"/>
        </w:rPr>
        <w:t>p</w:t>
      </w:r>
      <w:r w:rsidR="00144546">
        <w:rPr>
          <w:lang w:val="en-US"/>
        </w:rPr>
        <w:t>oints</w:t>
      </w:r>
      <w:r w:rsidR="00144546" w:rsidRPr="00144546">
        <w:t xml:space="preserve"> </w:t>
      </w:r>
      <w:r w:rsidR="00144546">
        <w:t>ή 0.50%</w:t>
      </w:r>
      <w:r w:rsidRPr="00C1262C">
        <w:t>)</w:t>
      </w:r>
      <w:r>
        <w:t xml:space="preserve">. Εφόσον μπορούν να πάρουν το χρήμα από </w:t>
      </w:r>
      <w:r>
        <w:lastRenderedPageBreak/>
        <w:t xml:space="preserve">την κεντρική τράπεζα με λιγότερο κόστος από ότι θα μπορούσαν να το πάρουν στην εκκαθαριστική τράπεζα τους, είναι ευτυχισμένοι. Το τελικό αποτέλεσμα είναι το πρότυπο που βλέπουμε, ότι το επιτόκιο των </w:t>
      </w:r>
      <w:r w:rsidR="00144546">
        <w:t>δ</w:t>
      </w:r>
      <w:r>
        <w:t xml:space="preserve">ιαθεσίμων της κεντρικής τράπεζας τείνει να είναι υψηλότερα από το επιτόκιο των </w:t>
      </w:r>
      <w:proofErr w:type="spellStart"/>
      <w:r>
        <w:t>ρέπος</w:t>
      </w:r>
      <w:proofErr w:type="spellEnd"/>
      <w:r>
        <w:t xml:space="preserve">.  </w:t>
      </w:r>
    </w:p>
    <w:p w:rsidR="009F1983" w:rsidRDefault="00C62F9D" w:rsidP="009F1983">
      <w:pPr>
        <w:spacing w:line="360" w:lineRule="auto"/>
        <w:ind w:firstLine="720"/>
        <w:jc w:val="both"/>
      </w:pPr>
      <w:r>
        <w:t>Ο</w:t>
      </w:r>
      <w:r w:rsidR="009F7E1A">
        <w:t xml:space="preserve"> θεσμικός μηχανισμός της καθημερινής δημοπρασίας (</w:t>
      </w:r>
      <w:r w:rsidR="009F7E1A">
        <w:rPr>
          <w:lang w:val="en-US"/>
        </w:rPr>
        <w:t>auction</w:t>
      </w:r>
      <w:r w:rsidR="009F7E1A" w:rsidRPr="00817148">
        <w:t xml:space="preserve">) </w:t>
      </w:r>
      <w:r w:rsidR="009F7E1A">
        <w:t>εξυπηρετεί στην καθιέρωση ενός περιθωρίου απόδοσης (</w:t>
      </w:r>
      <w:r w:rsidR="009F7E1A">
        <w:rPr>
          <w:lang w:val="en-US"/>
        </w:rPr>
        <w:t>premium</w:t>
      </w:r>
      <w:r w:rsidR="009F7E1A" w:rsidRPr="00817148">
        <w:t xml:space="preserve">) </w:t>
      </w:r>
      <w:r w:rsidR="009F7E1A">
        <w:t>στο καλύτερο χρήμα του συστήματος, και αυτό το περιθώριο από</w:t>
      </w:r>
      <w:r w:rsidR="00144546">
        <w:t>δοσης παρέχει ένα κίνητρο στις οικονομικές μονάδες από άκρη εις άκρη</w:t>
      </w:r>
      <w:r w:rsidR="009F7E1A">
        <w:t xml:space="preserve"> του συστήματος να προσπαθήσουν να εκπληρώσουν τις υποχρεώσεις τους κατά την εκκαθάριση παρά να τις </w:t>
      </w:r>
      <w:r w:rsidR="00144546">
        <w:t>μετακυλήσουν</w:t>
      </w:r>
      <w:r w:rsidR="009F7E1A">
        <w:t xml:space="preserve"> στην επόμενη μέρα. Αυτό το περιθώριο απόδοσης κάνει την εμφάνιση του στο μηδαμινό περιθώριο απόδοσης των</w:t>
      </w:r>
      <w:r w:rsidR="009F7E1A" w:rsidRPr="00817148">
        <w:t xml:space="preserve"> </w:t>
      </w:r>
      <w:r w:rsidR="00144546">
        <w:t>δ</w:t>
      </w:r>
      <w:r w:rsidR="009F7E1A">
        <w:t xml:space="preserve">ιαθεσίμων της κεντρικής τράπεζας ως προς τα  </w:t>
      </w:r>
      <w:proofErr w:type="spellStart"/>
      <w:r w:rsidR="009F7E1A">
        <w:t>ρέπο</w:t>
      </w:r>
      <w:r w:rsidR="009F1983">
        <w:t>ς</w:t>
      </w:r>
      <w:proofErr w:type="spellEnd"/>
      <w:r w:rsidR="009F7E1A">
        <w:t xml:space="preserve">, και επίσης εμφανίζεται στο συνηθισμένο περιθώριο απόδοσης του χρήματος κατά τη διάρκεια της νύχτας ως προς το πιο μακροχρόνιο χρήμα, όπως τα τριμηνιαία ομόλογα. </w:t>
      </w:r>
    </w:p>
    <w:p w:rsidR="009F7E1A" w:rsidRDefault="009F1983" w:rsidP="009F1983">
      <w:pPr>
        <w:spacing w:line="360" w:lineRule="auto"/>
        <w:ind w:firstLine="720"/>
        <w:jc w:val="both"/>
      </w:pPr>
      <w:r>
        <w:t>Όλος αυτός ο μηχανισμός τιμολόγησης</w:t>
      </w:r>
      <w:r w:rsidR="009F7E1A">
        <w:t xml:space="preserve"> των επιτοκίων στην αγορά χρήματος δεν είναι τίποτε παραπάνω από τη φυσική ιεράρχηση του χρήματος και της πίστης. </w:t>
      </w:r>
      <w:r>
        <w:t>Μ</w:t>
      </w:r>
      <w:r w:rsidR="009F7E1A">
        <w:t>ία κατάσταση στην οποία</w:t>
      </w:r>
      <w:r>
        <w:t xml:space="preserve"> το επιτόκιο των</w:t>
      </w:r>
      <w:r w:rsidR="009F7E1A">
        <w:t xml:space="preserve"> </w:t>
      </w:r>
      <w:proofErr w:type="spellStart"/>
      <w:r w:rsidR="009F7E1A">
        <w:t>ρέπο</w:t>
      </w:r>
      <w:r>
        <w:t>ς</w:t>
      </w:r>
      <w:proofErr w:type="spellEnd"/>
      <w:r>
        <w:t xml:space="preserve"> είναι χαμηλότερα από αυτό των διαθεσίμων της</w:t>
      </w:r>
      <w:r w:rsidR="009F7E1A">
        <w:t xml:space="preserve"> κεντρικής τράπεζας θα μπορούσε να γίνει αντιληπτή ως μια ιδιαίτερη ισορροπία μεταξύ ελαστικότητας και πειθαρχίας, με την κεντρική τράπεζα να κρατά το καλύτερο χρήμα (</w:t>
      </w:r>
      <w:r>
        <w:t>δ</w:t>
      </w:r>
      <w:r w:rsidR="009F7E1A">
        <w:t xml:space="preserve">ιαθέσιμα της κεντρικής τράπεζας) με ένα περιθώριο απόδοσης προκειμένου να καθιερώσει κάποια πειθαρχία. </w:t>
      </w:r>
      <w:r>
        <w:t>Όμως α</w:t>
      </w:r>
      <w:r w:rsidR="009F7E1A">
        <w:t xml:space="preserve">ναλογικά, φαίνεται ότι θα μπορούσαμε να σκεφτούμε την αντίθετη κατάσταση ως </w:t>
      </w:r>
      <w:r>
        <w:t xml:space="preserve">το επιτόκιο των </w:t>
      </w:r>
      <w:proofErr w:type="spellStart"/>
      <w:r w:rsidR="009F7E1A">
        <w:t>ρέπο</w:t>
      </w:r>
      <w:r>
        <w:t>ς</w:t>
      </w:r>
      <w:proofErr w:type="spellEnd"/>
      <w:r w:rsidR="009F7E1A">
        <w:t xml:space="preserve"> </w:t>
      </w:r>
      <w:r>
        <w:t>να είναι υψηλότερα από αυτό των διαθεσίμων της</w:t>
      </w:r>
      <w:r w:rsidR="009F7E1A">
        <w:t xml:space="preserve"> κεντρικής τράπεζας</w:t>
      </w:r>
      <w:r>
        <w:t xml:space="preserve"> σ</w:t>
      </w:r>
      <w:r w:rsidR="009F7E1A">
        <w:t>την αντίθετη ισορροπία, με την κεντρική τράπεζα να κρατά το καλύτερο χρήμα σε προεξόφληση (</w:t>
      </w:r>
      <w:r w:rsidR="009F7E1A">
        <w:rPr>
          <w:lang w:val="en-US"/>
        </w:rPr>
        <w:t>discount</w:t>
      </w:r>
      <w:r w:rsidR="009F7E1A" w:rsidRPr="008867C8">
        <w:t xml:space="preserve">) </w:t>
      </w:r>
      <w:r w:rsidR="009F7E1A">
        <w:t xml:space="preserve">ώστε να καθιερώσει κάποια ελαστικότητα. Στην πραγματικότητα το επιτόκιο της αγοράς είναι το επιτόκιο των </w:t>
      </w:r>
      <w:proofErr w:type="spellStart"/>
      <w:r w:rsidR="009F7E1A">
        <w:t>ρέπος</w:t>
      </w:r>
      <w:proofErr w:type="spellEnd"/>
      <w:r w:rsidR="009F7E1A">
        <w:t xml:space="preserve">, και το επίσημο επιτόκιο είναι το επιτόκιο των </w:t>
      </w:r>
      <w:r>
        <w:t>δ</w:t>
      </w:r>
      <w:r w:rsidR="009F7E1A">
        <w:t>ιαθεσίμων της κεντρικής τράπεζας.</w:t>
      </w:r>
      <w:r>
        <w:t xml:space="preserve"> Τελικά όμως μπορούμε να πούμε ότι η</w:t>
      </w:r>
      <w:r w:rsidR="009F7E1A">
        <w:t xml:space="preserve"> κεντρική τράπεζα προσπαθεί να </w:t>
      </w:r>
      <w:r>
        <w:t xml:space="preserve">δημιουργεί </w:t>
      </w:r>
      <w:r w:rsidR="009F7E1A">
        <w:t xml:space="preserve">κίνητρα για τις τράπεζες να δανείζονται στο επιτόκιο των </w:t>
      </w:r>
      <w:r>
        <w:t>δ</w:t>
      </w:r>
      <w:r w:rsidR="009F7E1A">
        <w:t xml:space="preserve">ιαθεσίμων της κεντρικής τράπεζας και να δανείζουν στο επιτόκιο των </w:t>
      </w:r>
      <w:proofErr w:type="spellStart"/>
      <w:r w:rsidR="009F7E1A">
        <w:t>ρέπος</w:t>
      </w:r>
      <w:proofErr w:type="spellEnd"/>
      <w:r w:rsidR="009F7E1A">
        <w:t xml:space="preserve">, επομένως υποστηρίζει τις αγορές βραχυχρόνιας πίστης γενικότερα. </w:t>
      </w:r>
    </w:p>
    <w:p w:rsidR="009F7E1A" w:rsidRDefault="009F7E1A" w:rsidP="009F7E1A">
      <w:pPr>
        <w:jc w:val="both"/>
      </w:pPr>
    </w:p>
    <w:p w:rsidR="009F7E1A" w:rsidRDefault="009F7E1A" w:rsidP="009F7E1A">
      <w:pPr>
        <w:pStyle w:val="2"/>
        <w:spacing w:before="0" w:after="0" w:line="360" w:lineRule="auto"/>
        <w:jc w:val="both"/>
        <w:rPr>
          <w:rFonts w:ascii="Times New Roman" w:hAnsi="Times New Roman" w:cs="Times New Roman"/>
          <w:i w:val="0"/>
        </w:rPr>
      </w:pPr>
      <w:bookmarkStart w:id="10" w:name="_Toc393111067"/>
      <w:r>
        <w:rPr>
          <w:rFonts w:ascii="Times New Roman" w:hAnsi="Times New Roman" w:cs="Times New Roman"/>
          <w:i w:val="0"/>
        </w:rPr>
        <w:lastRenderedPageBreak/>
        <w:t>4</w:t>
      </w:r>
      <w:r w:rsidRPr="00390868">
        <w:rPr>
          <w:rFonts w:ascii="Times New Roman" w:hAnsi="Times New Roman" w:cs="Times New Roman"/>
          <w:i w:val="0"/>
        </w:rPr>
        <w:t>.</w:t>
      </w:r>
      <w:r w:rsidRPr="005B6B87">
        <w:rPr>
          <w:rFonts w:ascii="Times New Roman" w:hAnsi="Times New Roman" w:cs="Times New Roman"/>
          <w:i w:val="0"/>
        </w:rPr>
        <w:t>7</w:t>
      </w:r>
      <w:r w:rsidRPr="00390868">
        <w:rPr>
          <w:rFonts w:ascii="Times New Roman" w:hAnsi="Times New Roman" w:cs="Times New Roman"/>
          <w:i w:val="0"/>
        </w:rPr>
        <w:t xml:space="preserve"> </w:t>
      </w:r>
      <w:r>
        <w:rPr>
          <w:rFonts w:ascii="Times New Roman" w:hAnsi="Times New Roman" w:cs="Times New Roman"/>
          <w:i w:val="0"/>
        </w:rPr>
        <w:t>Η αγορά ευρωνομισμάτων</w:t>
      </w:r>
      <w:bookmarkEnd w:id="10"/>
    </w:p>
    <w:p w:rsidR="00A85CE9" w:rsidRDefault="00A85CE9" w:rsidP="00A85CE9">
      <w:pPr>
        <w:spacing w:line="360" w:lineRule="auto"/>
        <w:ind w:firstLine="720"/>
        <w:jc w:val="both"/>
        <w:rPr>
          <w:lang w:eastAsia="en-US"/>
        </w:rPr>
      </w:pPr>
      <w:r>
        <w:rPr>
          <w:lang w:eastAsia="en-US"/>
        </w:rPr>
        <w:t xml:space="preserve">Η αγορά </w:t>
      </w:r>
      <w:r>
        <w:t>ευρωνομισμάτων</w:t>
      </w:r>
      <w:r>
        <w:rPr>
          <w:lang w:eastAsia="en-US"/>
        </w:rPr>
        <w:t xml:space="preserve"> ε</w:t>
      </w:r>
      <w:r w:rsidRPr="00A85CE9">
        <w:rPr>
          <w:lang w:eastAsia="en-US"/>
        </w:rPr>
        <w:t xml:space="preserve">ίναι μια διεθνής τραπεζική αγορά καταθέσεων και δανείων εκφρασμένων σε κάποιο εθνικό νόμισμα, </w:t>
      </w:r>
      <w:r>
        <w:rPr>
          <w:lang w:eastAsia="en-US"/>
        </w:rPr>
        <w:t>που</w:t>
      </w:r>
      <w:r w:rsidRPr="00A85CE9">
        <w:rPr>
          <w:lang w:eastAsia="en-US"/>
        </w:rPr>
        <w:t xml:space="preserve"> είναι κατατεθειμένα σε τράπεζα έξω από την χώρα προέλευσης του συγκεκριμένου νομίσματος.</w:t>
      </w:r>
      <w:r>
        <w:rPr>
          <w:lang w:eastAsia="en-US"/>
        </w:rPr>
        <w:t xml:space="preserve"> </w:t>
      </w:r>
      <w:r w:rsidRPr="00A85CE9">
        <w:rPr>
          <w:lang w:eastAsia="en-US"/>
        </w:rPr>
        <w:t>Οι τράπεζες που δραστηριοποιούνται στην ευρωαγορά ονομάζονται</w:t>
      </w:r>
      <w:r w:rsidRPr="00D8701A">
        <w:rPr>
          <w:lang w:eastAsia="en-US"/>
        </w:rPr>
        <w:t xml:space="preserve"> </w:t>
      </w:r>
      <w:proofErr w:type="spellStart"/>
      <w:r w:rsidRPr="00D8701A">
        <w:rPr>
          <w:lang w:eastAsia="en-US"/>
        </w:rPr>
        <w:t>ευρωτράπεζες</w:t>
      </w:r>
      <w:proofErr w:type="spellEnd"/>
      <w:r w:rsidRPr="00A85CE9">
        <w:rPr>
          <w:lang w:eastAsia="en-US"/>
        </w:rPr>
        <w:t xml:space="preserve"> και είναι εγκατεστημένες έξω από την χώρα έκδοσης του νομίσματος στο οποίο είναι εκφρασμένα τα κεφάλαια που διακινούνται μέσα από την ευρωαγορά. </w:t>
      </w:r>
      <w:r>
        <w:rPr>
          <w:lang w:eastAsia="en-US"/>
        </w:rPr>
        <w:t>Για παράδειγμα μια ελβετική τράπεζα δέχεται καταθέσεις σε δολάρια και δίνει δάνεια σε ευρώ. Έτσι μπορούμε να μιλάμε γι</w:t>
      </w:r>
      <w:r w:rsidR="00C62F9D">
        <w:rPr>
          <w:lang w:eastAsia="en-US"/>
        </w:rPr>
        <w:t>α</w:t>
      </w:r>
      <w:r>
        <w:rPr>
          <w:lang w:eastAsia="en-US"/>
        </w:rPr>
        <w:t xml:space="preserve"> την αγορά ευρωδολαρίων, </w:t>
      </w:r>
      <w:proofErr w:type="spellStart"/>
      <w:r>
        <w:rPr>
          <w:lang w:eastAsia="en-US"/>
        </w:rPr>
        <w:t>ευρωλιρών</w:t>
      </w:r>
      <w:proofErr w:type="spellEnd"/>
      <w:r>
        <w:rPr>
          <w:lang w:eastAsia="en-US"/>
        </w:rPr>
        <w:t xml:space="preserve"> και άλλα, δηλαδή την αγορά δολαρίων εκτός Αμερικής και βρετανικών λιρών εκτός Βρετανίας.</w:t>
      </w:r>
    </w:p>
    <w:p w:rsidR="00C62F9D" w:rsidRDefault="00A85CE9" w:rsidP="00C62F9D">
      <w:pPr>
        <w:tabs>
          <w:tab w:val="num" w:pos="720"/>
          <w:tab w:val="num" w:pos="1080"/>
        </w:tabs>
        <w:spacing w:line="360" w:lineRule="auto"/>
        <w:ind w:firstLine="720"/>
        <w:jc w:val="both"/>
      </w:pPr>
      <w:r w:rsidRPr="00894C87">
        <w:rPr>
          <w:lang w:eastAsia="en-US"/>
        </w:rPr>
        <w:t>Εστιάζοντας στην αγορά ευρωδολαρίων θα δούμε τους βασικούς π</w:t>
      </w:r>
      <w:r w:rsidRPr="00A85CE9">
        <w:rPr>
          <w:lang w:eastAsia="en-US"/>
        </w:rPr>
        <w:t>αράγοντες ανάπτυξης</w:t>
      </w:r>
      <w:r w:rsidRPr="00894C87">
        <w:rPr>
          <w:lang w:eastAsia="en-US"/>
        </w:rPr>
        <w:t xml:space="preserve"> αυτής</w:t>
      </w:r>
      <w:r w:rsidRPr="00A85CE9">
        <w:rPr>
          <w:lang w:eastAsia="en-US"/>
        </w:rPr>
        <w:t xml:space="preserve"> της αγοράς </w:t>
      </w:r>
      <w:r w:rsidRPr="00894C87">
        <w:rPr>
          <w:lang w:eastAsia="en-US"/>
        </w:rPr>
        <w:t>αλλά και τον τρόπο λειτουργίας της. Στα τέλη της δεκαετίας του 1950 υ</w:t>
      </w:r>
      <w:r w:rsidRPr="00A85CE9">
        <w:rPr>
          <w:lang w:eastAsia="en-US"/>
        </w:rPr>
        <w:t xml:space="preserve">πήρξαν οι αναγκαίες συνθήκες για την ομαλή λειτουργία </w:t>
      </w:r>
      <w:proofErr w:type="spellStart"/>
      <w:r w:rsidRPr="00A85CE9">
        <w:rPr>
          <w:lang w:eastAsia="en-US"/>
        </w:rPr>
        <w:t>εξωχώριων</w:t>
      </w:r>
      <w:proofErr w:type="spellEnd"/>
      <w:r w:rsidRPr="00A85CE9">
        <w:rPr>
          <w:lang w:eastAsia="en-US"/>
        </w:rPr>
        <w:t xml:space="preserve"> τραπεζικών κέντρων (</w:t>
      </w:r>
      <w:proofErr w:type="spellStart"/>
      <w:r w:rsidRPr="00A85CE9">
        <w:rPr>
          <w:lang w:eastAsia="en-US"/>
        </w:rPr>
        <w:t>offshore</w:t>
      </w:r>
      <w:proofErr w:type="spellEnd"/>
      <w:r w:rsidRPr="00A85CE9">
        <w:rPr>
          <w:lang w:eastAsia="en-US"/>
        </w:rPr>
        <w:t xml:space="preserve"> </w:t>
      </w:r>
      <w:proofErr w:type="spellStart"/>
      <w:r w:rsidRPr="00A85CE9">
        <w:rPr>
          <w:lang w:eastAsia="en-US"/>
        </w:rPr>
        <w:t>markets</w:t>
      </w:r>
      <w:proofErr w:type="spellEnd"/>
      <w:r w:rsidRPr="00A85CE9">
        <w:rPr>
          <w:lang w:eastAsia="en-US"/>
        </w:rPr>
        <w:t xml:space="preserve">) </w:t>
      </w:r>
      <w:r w:rsidR="00894C87">
        <w:rPr>
          <w:lang w:eastAsia="en-US"/>
        </w:rPr>
        <w:t xml:space="preserve">μέσα από την </w:t>
      </w:r>
      <w:r w:rsidRPr="00A85CE9">
        <w:rPr>
          <w:lang w:eastAsia="en-US"/>
        </w:rPr>
        <w:t>άρση</w:t>
      </w:r>
      <w:r w:rsidR="00894C87">
        <w:rPr>
          <w:lang w:eastAsia="en-US"/>
        </w:rPr>
        <w:t xml:space="preserve"> των</w:t>
      </w:r>
      <w:r w:rsidRPr="00A85CE9">
        <w:rPr>
          <w:lang w:eastAsia="en-US"/>
        </w:rPr>
        <w:t xml:space="preserve"> π</w:t>
      </w:r>
      <w:r w:rsidR="00894C87">
        <w:rPr>
          <w:lang w:eastAsia="en-US"/>
        </w:rPr>
        <w:t xml:space="preserve">εριορισμών μεταφοράς κεφαλαίων και  της επιβολής </w:t>
      </w:r>
      <w:r w:rsidRPr="00A85CE9">
        <w:rPr>
          <w:lang w:eastAsia="en-US"/>
        </w:rPr>
        <w:t>συναλλαγματικών ελέγχων</w:t>
      </w:r>
      <w:r w:rsidR="00894C87">
        <w:rPr>
          <w:lang w:eastAsia="en-US"/>
        </w:rPr>
        <w:t>. Επίσης αυξήθηκε σημαντικά η</w:t>
      </w:r>
      <w:r w:rsidRPr="00A85CE9">
        <w:rPr>
          <w:lang w:eastAsia="en-US"/>
        </w:rPr>
        <w:t xml:space="preserve"> ζήτηση καταθέσεων και δανείων σε ξένο νόμισμα</w:t>
      </w:r>
      <w:r w:rsidR="00894C87">
        <w:rPr>
          <w:lang w:eastAsia="en-US"/>
        </w:rPr>
        <w:t>.</w:t>
      </w:r>
      <w:r w:rsidRPr="00A85CE9">
        <w:rPr>
          <w:lang w:eastAsia="en-US"/>
        </w:rPr>
        <w:t xml:space="preserve"> Η διεύρυνση του $ ως μέσο πληρωμής </w:t>
      </w:r>
      <w:r w:rsidR="00894C87">
        <w:rPr>
          <w:lang w:eastAsia="en-US"/>
        </w:rPr>
        <w:t>ήταν πλέον γεγονός. Όμως δύο σημαντικά γεγονότα συνέβαλλαν στην καθιέρωση της αγοράς ευρωδολαρίων. Το πρώτο αφορά στην κ</w:t>
      </w:r>
      <w:r w:rsidRPr="00A85CE9">
        <w:rPr>
          <w:lang w:eastAsia="en-US"/>
        </w:rPr>
        <w:t>ρίσ</w:t>
      </w:r>
      <w:r w:rsidR="00894C87">
        <w:rPr>
          <w:lang w:eastAsia="en-US"/>
        </w:rPr>
        <w:t>η στις σχέσεις ΗΠΑ- Σοβ. Ένωσης, με αποτέλεσμα τα α</w:t>
      </w:r>
      <w:r w:rsidRPr="00A85CE9">
        <w:rPr>
          <w:lang w:eastAsia="en-US"/>
        </w:rPr>
        <w:t>ποθέματα $ της πρώην Σοβ. Ένωσης για εμπορικές συναλλαγές που</w:t>
      </w:r>
      <w:r w:rsidR="00894C87">
        <w:rPr>
          <w:lang w:eastAsia="en-US"/>
        </w:rPr>
        <w:t xml:space="preserve"> ήταν σε τράπεζες της Αμερικής να μετακινηθούν</w:t>
      </w:r>
      <w:r w:rsidRPr="00A85CE9">
        <w:rPr>
          <w:lang w:eastAsia="en-US"/>
        </w:rPr>
        <w:t xml:space="preserve"> σε καταθέσεις $ στη Δυτ</w:t>
      </w:r>
      <w:r w:rsidR="00894C87">
        <w:rPr>
          <w:lang w:eastAsia="en-US"/>
        </w:rPr>
        <w:t>ική</w:t>
      </w:r>
      <w:r w:rsidRPr="00A85CE9">
        <w:rPr>
          <w:lang w:eastAsia="en-US"/>
        </w:rPr>
        <w:t xml:space="preserve"> Ευρώπη</w:t>
      </w:r>
      <w:r w:rsidR="00894C87">
        <w:rPr>
          <w:lang w:eastAsia="en-US"/>
        </w:rPr>
        <w:t>. Το δεύτερο έχει να κάνει με την α</w:t>
      </w:r>
      <w:r w:rsidRPr="00A85CE9">
        <w:rPr>
          <w:lang w:eastAsia="en-US"/>
        </w:rPr>
        <w:t xml:space="preserve">υστηρή νομισματική πολιτική των ΗΠΑ </w:t>
      </w:r>
      <w:r w:rsidR="00894C87">
        <w:rPr>
          <w:lang w:eastAsia="en-US"/>
        </w:rPr>
        <w:t xml:space="preserve"> που </w:t>
      </w:r>
      <w:r w:rsidRPr="00A85CE9">
        <w:rPr>
          <w:lang w:eastAsia="en-US"/>
        </w:rPr>
        <w:t>οδήγ</w:t>
      </w:r>
      <w:r w:rsidR="00894C87">
        <w:rPr>
          <w:lang w:eastAsia="en-US"/>
        </w:rPr>
        <w:t>ησε τις Αμερικάνικες τράπεζες</w:t>
      </w:r>
      <w:r w:rsidRPr="00A85CE9">
        <w:rPr>
          <w:lang w:eastAsia="en-US"/>
        </w:rPr>
        <w:t xml:space="preserve"> στο εξωτερικό</w:t>
      </w:r>
      <w:r w:rsidR="00894C87">
        <w:rPr>
          <w:lang w:eastAsia="en-US"/>
        </w:rPr>
        <w:t xml:space="preserve"> προκειμένου να ικανοποιήσουν την ζήτηση δανείων αποφεύγοντας περιορισμούς του αμερικανικού νομισματικού συστήματος</w:t>
      </w:r>
      <w:r w:rsidRPr="00A85CE9">
        <w:rPr>
          <w:lang w:eastAsia="en-US"/>
        </w:rPr>
        <w:t>.</w:t>
      </w:r>
      <w:r w:rsidR="00894C87">
        <w:rPr>
          <w:lang w:eastAsia="en-US"/>
        </w:rPr>
        <w:t xml:space="preserve"> Περιορισμοί </w:t>
      </w:r>
      <w:r w:rsidR="00894C87" w:rsidRPr="00894C87">
        <w:rPr>
          <w:lang w:eastAsia="en-US"/>
        </w:rPr>
        <w:t>όπως η</w:t>
      </w:r>
      <w:r w:rsidRPr="00A85CE9">
        <w:rPr>
          <w:lang w:eastAsia="en-US"/>
        </w:rPr>
        <w:t xml:space="preserve"> </w:t>
      </w:r>
      <w:r w:rsidR="00894C87" w:rsidRPr="00894C87">
        <w:rPr>
          <w:lang w:eastAsia="en-US"/>
        </w:rPr>
        <w:t>ρ</w:t>
      </w:r>
      <w:r w:rsidRPr="00A85CE9">
        <w:rPr>
          <w:lang w:eastAsia="en-US"/>
        </w:rPr>
        <w:t xml:space="preserve">ύθμιση </w:t>
      </w:r>
      <w:r w:rsidRPr="00A85CE9">
        <w:rPr>
          <w:lang w:val="en-US" w:eastAsia="en-US"/>
        </w:rPr>
        <w:t>Q</w:t>
      </w:r>
      <w:r w:rsidR="00894C87" w:rsidRPr="00894C87">
        <w:rPr>
          <w:lang w:eastAsia="en-US"/>
        </w:rPr>
        <w:t xml:space="preserve">  που έθετε </w:t>
      </w:r>
      <w:r w:rsidRPr="00A85CE9">
        <w:rPr>
          <w:lang w:eastAsia="en-US"/>
        </w:rPr>
        <w:t xml:space="preserve">ανώτατο όριο καταθέσεων προθεσμίας </w:t>
      </w:r>
      <w:r w:rsidR="00894C87" w:rsidRPr="00894C87">
        <w:rPr>
          <w:lang w:eastAsia="en-US"/>
        </w:rPr>
        <w:t xml:space="preserve">για </w:t>
      </w:r>
      <w:r w:rsidRPr="00A85CE9">
        <w:rPr>
          <w:lang w:eastAsia="en-US"/>
        </w:rPr>
        <w:t>την αποφυγή χρεοκοπίας τραπεζών</w:t>
      </w:r>
      <w:r w:rsidR="00894C87" w:rsidRPr="00894C87">
        <w:rPr>
          <w:lang w:eastAsia="en-US"/>
        </w:rPr>
        <w:t>, περιορίζοντας όμως τα διαθέσιμα προς δανεισμό κεφάλαια. Επίσης το ν</w:t>
      </w:r>
      <w:r w:rsidRPr="00A85CE9">
        <w:rPr>
          <w:lang w:eastAsia="en-US"/>
        </w:rPr>
        <w:t>ομισματοπιστωτικό πρόγραμμα των ΗΠΑ το 1965</w:t>
      </w:r>
      <w:r w:rsidR="00894C87" w:rsidRPr="00894C87">
        <w:rPr>
          <w:lang w:eastAsia="en-US"/>
        </w:rPr>
        <w:t xml:space="preserve"> έθετε περιορισμούς </w:t>
      </w:r>
      <w:r w:rsidRPr="00A85CE9">
        <w:rPr>
          <w:lang w:eastAsia="en-US"/>
        </w:rPr>
        <w:t>στη πιστωτική επέκταση τω</w:t>
      </w:r>
      <w:r w:rsidR="00894C87" w:rsidRPr="00894C87">
        <w:rPr>
          <w:lang w:eastAsia="en-US"/>
        </w:rPr>
        <w:t>ν τραπεζών και προέτρεπε τις αμερικάνικές ε</w:t>
      </w:r>
      <w:r w:rsidRPr="00A85CE9">
        <w:rPr>
          <w:lang w:eastAsia="en-US"/>
        </w:rPr>
        <w:t>πιχειρήσεις να μην χρηματοδοτούν τη διεθνή τους εξάπλωση.</w:t>
      </w:r>
      <w:r w:rsidR="00627DC1">
        <w:rPr>
          <w:lang w:eastAsia="en-US"/>
        </w:rPr>
        <w:t xml:space="preserve"> </w:t>
      </w:r>
      <w:r w:rsidR="00627DC1">
        <w:t xml:space="preserve">Η αγορά </w:t>
      </w:r>
      <w:r w:rsidR="00627DC1">
        <w:rPr>
          <w:rFonts w:cstheme="minorHAnsi"/>
        </w:rPr>
        <w:t xml:space="preserve">Ευρωδολαρίων αναπτύχθηκε για να παρέχει μια απαραίτητη υπηρεσία έξω από τον έλεγχο των αρχών των </w:t>
      </w:r>
      <w:r w:rsidR="00627DC1">
        <w:t>Η.Π.Α. Τα περισσότερα από αυτά τα εμπόδια έχουν τώρα αρθεί, αλλά η αγορά παραμένει  ως μια ξεχωριστή οντότητα. Το</w:t>
      </w:r>
      <w:r w:rsidR="00627DC1">
        <w:rPr>
          <w:rFonts w:cstheme="minorHAnsi"/>
        </w:rPr>
        <w:t xml:space="preserve"> δολάριο είναι ένα </w:t>
      </w:r>
      <w:r w:rsidR="00627DC1">
        <w:rPr>
          <w:rFonts w:cstheme="minorHAnsi"/>
        </w:rPr>
        <w:lastRenderedPageBreak/>
        <w:t>σημαντικό διεθνές νόμισμα, επομένως οι άνθρωποι έξω από τις</w:t>
      </w:r>
      <w:r w:rsidR="00627DC1" w:rsidRPr="004D79BB">
        <w:t xml:space="preserve"> </w:t>
      </w:r>
      <w:r w:rsidR="00627DC1">
        <w:t xml:space="preserve">Η.Π.Α. βρίσκουν τους εαυτούς τους σε ανάγκη να κάνουν και να λάβουν πληρωμές σε δολάρια. Καθώς το σύστημα πληρωμών είναι ένα πιστωτικό σύστημα, υπάρχει ανάγκη για μια διατραπεζική </w:t>
      </w:r>
      <w:r w:rsidR="00C62F9D">
        <w:t>αγορά</w:t>
      </w:r>
      <w:r w:rsidR="00627DC1">
        <w:t xml:space="preserve"> που ενώνει τις ελλειμματικές και τις πλεονασματικές οικονομικές μονάδες, ανάλογη με την αγορά διαθεσίμων της κεντρικής τράπεζας των Η.Π.Α.</w:t>
      </w:r>
    </w:p>
    <w:p w:rsidR="00C61928" w:rsidRDefault="00C61928" w:rsidP="00C62F9D">
      <w:pPr>
        <w:tabs>
          <w:tab w:val="num" w:pos="720"/>
          <w:tab w:val="num" w:pos="1080"/>
        </w:tabs>
        <w:spacing w:line="360" w:lineRule="auto"/>
        <w:ind w:firstLine="720"/>
        <w:jc w:val="both"/>
      </w:pPr>
      <w:r>
        <w:rPr>
          <w:lang w:eastAsia="en-US"/>
        </w:rPr>
        <w:t>Από τα</w:t>
      </w:r>
      <w:r w:rsidR="00894C87">
        <w:rPr>
          <w:lang w:eastAsia="en-US"/>
        </w:rPr>
        <w:t xml:space="preserve"> πρώτα χρόνια εξάπλωσης της αγοράς ευρωδολαρίων υπήρχαν διαφορές στις αποδόσεις ιδίων τίτλων μεταξύ εγχώριας αγοράς και ευρωαγοράς που αποδίδονταν σε υψηλότερο</w:t>
      </w:r>
      <w:r>
        <w:rPr>
          <w:lang w:eastAsia="en-US"/>
        </w:rPr>
        <w:t xml:space="preserve"> κίνδυνο.</w:t>
      </w:r>
      <w:r w:rsidR="00A85CE9" w:rsidRPr="00A85CE9">
        <w:rPr>
          <w:lang w:eastAsia="en-US"/>
        </w:rPr>
        <w:t xml:space="preserve"> </w:t>
      </w:r>
      <w:r>
        <w:rPr>
          <w:lang w:eastAsia="en-US"/>
        </w:rPr>
        <w:t>Τρεις παράγοντες κινδύνου μπορούν να εντοπιστούν</w:t>
      </w:r>
      <w:r w:rsidR="006F562F">
        <w:rPr>
          <w:lang w:eastAsia="en-US"/>
        </w:rPr>
        <w:t>. Σ</w:t>
      </w:r>
      <w:r w:rsidR="00A85CE9" w:rsidRPr="00A85CE9">
        <w:rPr>
          <w:lang w:eastAsia="en-US"/>
        </w:rPr>
        <w:t>ε πε</w:t>
      </w:r>
      <w:r>
        <w:rPr>
          <w:lang w:eastAsia="en-US"/>
        </w:rPr>
        <w:t xml:space="preserve">ρίπτωση τραπεζικών κρίσεων η κεντρική τράπεζα </w:t>
      </w:r>
      <w:r w:rsidR="00A85CE9" w:rsidRPr="00A85CE9">
        <w:rPr>
          <w:lang w:eastAsia="en-US"/>
        </w:rPr>
        <w:t xml:space="preserve">της χώρας υποδοχής δεν εξασφαλίζει τις καταθέσεις ευρωνομισμάτων </w:t>
      </w:r>
      <w:r>
        <w:rPr>
          <w:lang w:eastAsia="en-US"/>
        </w:rPr>
        <w:t xml:space="preserve">και δεν είναι ξεκάθαρο αν η κεντρική τράπεζα </w:t>
      </w:r>
      <w:r w:rsidR="00A85CE9" w:rsidRPr="00A85CE9">
        <w:rPr>
          <w:lang w:eastAsia="en-US"/>
        </w:rPr>
        <w:t>της χώρας προέλευσης προστατεύσει τις θυγατρικές τράπεζες στο εξωτερικό</w:t>
      </w:r>
      <w:r>
        <w:rPr>
          <w:lang w:eastAsia="en-US"/>
        </w:rPr>
        <w:t xml:space="preserve">. Τέλος </w:t>
      </w:r>
      <w:r w:rsidR="006F562F">
        <w:rPr>
          <w:lang w:eastAsia="en-US"/>
        </w:rPr>
        <w:t xml:space="preserve">οι </w:t>
      </w:r>
      <w:r>
        <w:rPr>
          <w:lang w:eastAsia="en-US"/>
        </w:rPr>
        <w:t>κ</w:t>
      </w:r>
      <w:r w:rsidR="00A85CE9" w:rsidRPr="00A85CE9">
        <w:rPr>
          <w:lang w:eastAsia="en-US"/>
        </w:rPr>
        <w:t>ίνδυνοι επιβολής περιορισμών ανά πάσα στιγμή από κυβερνήσεις τη</w:t>
      </w:r>
      <w:r>
        <w:rPr>
          <w:lang w:eastAsia="en-US"/>
        </w:rPr>
        <w:t>ς χώρας υποδοχής και προέλευσης είναι υπαρκτοί.</w:t>
      </w:r>
      <w:r w:rsidR="00A85CE9" w:rsidRPr="00A85CE9">
        <w:rPr>
          <w:lang w:eastAsia="en-US"/>
        </w:rPr>
        <w:t xml:space="preserve"> </w:t>
      </w:r>
    </w:p>
    <w:p w:rsidR="009F7E1A" w:rsidRDefault="00C61928" w:rsidP="00C61928">
      <w:pPr>
        <w:tabs>
          <w:tab w:val="num" w:pos="720"/>
          <w:tab w:val="num" w:pos="1080"/>
        </w:tabs>
        <w:spacing w:line="360" w:lineRule="auto"/>
        <w:ind w:firstLine="720"/>
        <w:jc w:val="both"/>
        <w:rPr>
          <w:rFonts w:cstheme="minorHAnsi"/>
        </w:rPr>
      </w:pPr>
      <w:r>
        <w:rPr>
          <w:lang w:eastAsia="en-US"/>
        </w:rPr>
        <w:t>Ένα άλλο σημαντικό στοιχείο είναι ότι τ</w:t>
      </w:r>
      <w:r w:rsidR="006F562F">
        <w:t>α ε</w:t>
      </w:r>
      <w:r w:rsidR="009F7E1A">
        <w:t>υρωδολάρια είναι ισοζύγια σε δολάρια που κρατ</w:t>
      </w:r>
      <w:r>
        <w:t>ι</w:t>
      </w:r>
      <w:r w:rsidR="009F7E1A">
        <w:t xml:space="preserve">ούνται από τράπεζες ή υποκαταστήματα τραπεζών έξω από </w:t>
      </w:r>
      <w:r w:rsidR="006F562F">
        <w:t>τις ΗΠΑ</w:t>
      </w:r>
      <w:r w:rsidR="009F7E1A">
        <w:t xml:space="preserve">, για τα οποία οι τράπεζες δεν κρατούν διαθέσιμα στην κεντρική τράπεζα και συνεπώς δεν έχουν άμεση πρόσβαση στη διευθέτηση τους μέσω του </w:t>
      </w:r>
      <w:proofErr w:type="spellStart"/>
      <w:r w:rsidR="009F7E1A">
        <w:rPr>
          <w:lang w:val="en-US"/>
        </w:rPr>
        <w:t>Fedwire</w:t>
      </w:r>
      <w:proofErr w:type="spellEnd"/>
      <w:r w:rsidR="009F7E1A">
        <w:rPr>
          <w:rFonts w:cstheme="minorHAnsi"/>
        </w:rPr>
        <w:t xml:space="preserve">. Αντί </w:t>
      </w:r>
      <w:r w:rsidR="00536522">
        <w:rPr>
          <w:rFonts w:cstheme="minorHAnsi"/>
        </w:rPr>
        <w:t>αυτού, τα ισοζύγια των ε</w:t>
      </w:r>
      <w:r w:rsidR="009F7E1A">
        <w:rPr>
          <w:rFonts w:cstheme="minorHAnsi"/>
        </w:rPr>
        <w:t xml:space="preserve">υρωδολαρίων ρυθμίζονται στο ιδιωτικό δίκτυο των </w:t>
      </w:r>
      <w:r w:rsidR="009F7E1A">
        <w:rPr>
          <w:rFonts w:cstheme="minorHAnsi"/>
          <w:lang w:val="en-US"/>
        </w:rPr>
        <w:t>CHIPS</w:t>
      </w:r>
      <w:r w:rsidR="009F7E1A" w:rsidRPr="004D7C69">
        <w:rPr>
          <w:rFonts w:cstheme="minorHAnsi"/>
        </w:rPr>
        <w:t>.</w:t>
      </w:r>
      <w:r w:rsidR="009F7E1A">
        <w:rPr>
          <w:rFonts w:cstheme="minorHAnsi"/>
        </w:rPr>
        <w:t xml:space="preserve"> Τ</w:t>
      </w:r>
      <w:r w:rsidR="00536522">
        <w:rPr>
          <w:rFonts w:cstheme="minorHAnsi"/>
        </w:rPr>
        <w:t>ο κέντρο της παγκόσμιας αγοράς ε</w:t>
      </w:r>
      <w:r w:rsidR="009F7E1A">
        <w:rPr>
          <w:rFonts w:cstheme="minorHAnsi"/>
        </w:rPr>
        <w:t xml:space="preserve">υρωδολαρίων είναι το Λονδίνο, όχι η Νέα Υόρκη. </w:t>
      </w:r>
    </w:p>
    <w:p w:rsidR="009F7E1A" w:rsidRDefault="00536522" w:rsidP="00C61928">
      <w:pPr>
        <w:tabs>
          <w:tab w:val="num" w:pos="720"/>
          <w:tab w:val="num" w:pos="1080"/>
        </w:tabs>
        <w:spacing w:line="360" w:lineRule="auto"/>
        <w:ind w:firstLine="720"/>
        <w:jc w:val="both"/>
        <w:rPr>
          <w:rFonts w:cstheme="minorHAnsi"/>
        </w:rPr>
      </w:pPr>
      <w:r>
        <w:rPr>
          <w:rFonts w:cstheme="minorHAnsi"/>
        </w:rPr>
        <w:t>Τ</w:t>
      </w:r>
      <w:r w:rsidR="00C61928">
        <w:rPr>
          <w:rFonts w:cstheme="minorHAnsi"/>
        </w:rPr>
        <w:t xml:space="preserve">ο ακόλουθο παράδειγμα δείχνει πως </w:t>
      </w:r>
      <w:r w:rsidR="009F7E1A">
        <w:rPr>
          <w:rFonts w:cstheme="minorHAnsi"/>
        </w:rPr>
        <w:t>τα</w:t>
      </w:r>
      <w:r w:rsidR="009F7E1A" w:rsidRPr="004D7C69">
        <w:t xml:space="preserve"> </w:t>
      </w:r>
      <w:r w:rsidR="00C61928">
        <w:t>ε</w:t>
      </w:r>
      <w:r w:rsidR="009F7E1A">
        <w:t xml:space="preserve">υρωδολάρια </w:t>
      </w:r>
      <w:r w:rsidR="00C61928">
        <w:t>αυξάνονται</w:t>
      </w:r>
      <w:r w:rsidR="009F7E1A">
        <w:t xml:space="preserve"> όταν </w:t>
      </w:r>
      <w:r w:rsidR="00C61928">
        <w:t xml:space="preserve">η </w:t>
      </w:r>
      <w:r w:rsidR="009F7E1A">
        <w:t xml:space="preserve">αμερικάνικη εταιρεία </w:t>
      </w:r>
      <w:r>
        <w:rPr>
          <w:lang w:val="en-US"/>
        </w:rPr>
        <w:t>Ford</w:t>
      </w:r>
      <w:r w:rsidR="009F7E1A" w:rsidRPr="004D7C69">
        <w:t xml:space="preserve"> </w:t>
      </w:r>
      <w:r w:rsidR="009F7E1A">
        <w:t xml:space="preserve">μεταφέρει μια κατάθεση από την </w:t>
      </w:r>
      <w:r w:rsidR="009F7E1A">
        <w:rPr>
          <w:lang w:val="en-US"/>
        </w:rPr>
        <w:t>Chase</w:t>
      </w:r>
      <w:r w:rsidR="009F7E1A" w:rsidRPr="004D7C69">
        <w:t xml:space="preserve"> </w:t>
      </w:r>
      <w:r w:rsidR="009F7E1A">
        <w:rPr>
          <w:lang w:val="en-US"/>
        </w:rPr>
        <w:t>NY</w:t>
      </w:r>
      <w:r w:rsidR="009F7E1A">
        <w:t xml:space="preserve"> στην </w:t>
      </w:r>
      <w:r w:rsidR="009F7E1A">
        <w:rPr>
          <w:lang w:val="en-US"/>
        </w:rPr>
        <w:t>Citibank</w:t>
      </w:r>
      <w:r w:rsidR="009F7E1A" w:rsidRPr="004D7C69">
        <w:t xml:space="preserve"> </w:t>
      </w:r>
      <w:r w:rsidR="009F7E1A">
        <w:rPr>
          <w:rFonts w:cstheme="minorHAnsi"/>
          <w:lang w:val="en-US"/>
        </w:rPr>
        <w:t>London</w:t>
      </w:r>
      <w:r w:rsidR="00C61928">
        <w:rPr>
          <w:rFonts w:cstheme="minorHAnsi"/>
        </w:rPr>
        <w:t>.</w:t>
      </w:r>
    </w:p>
    <w:p w:rsidR="00C61928" w:rsidRDefault="00C61928" w:rsidP="00C61928">
      <w:pPr>
        <w:tabs>
          <w:tab w:val="num" w:pos="720"/>
          <w:tab w:val="num" w:pos="1080"/>
        </w:tabs>
        <w:spacing w:line="360" w:lineRule="auto"/>
        <w:ind w:firstLine="720"/>
        <w:jc w:val="both"/>
        <w:rPr>
          <w:rFonts w:cstheme="minorHAnsi"/>
        </w:rPr>
      </w:pPr>
    </w:p>
    <w:p w:rsidR="00C61928" w:rsidRDefault="00C61928" w:rsidP="00134D65">
      <w:pPr>
        <w:tabs>
          <w:tab w:val="num" w:pos="720"/>
          <w:tab w:val="num" w:pos="1080"/>
        </w:tabs>
        <w:jc w:val="both"/>
        <w:rPr>
          <w:rFonts w:cstheme="minorHAnsi"/>
        </w:rPr>
      </w:pPr>
      <w:r w:rsidRPr="00DC7EB8">
        <w:rPr>
          <w:rFonts w:cstheme="minorHAnsi"/>
          <w:b/>
        </w:rPr>
        <w:t xml:space="preserve">Πίνακας </w:t>
      </w:r>
      <w:r w:rsidR="00DC7EB8" w:rsidRPr="00DC7EB8">
        <w:rPr>
          <w:rFonts w:cstheme="minorHAnsi"/>
          <w:b/>
        </w:rPr>
        <w:t>4.</w:t>
      </w:r>
      <w:r w:rsidR="00613B48">
        <w:rPr>
          <w:rFonts w:cstheme="minorHAnsi"/>
          <w:b/>
        </w:rPr>
        <w:t>19</w:t>
      </w:r>
      <w:r w:rsidR="00DC7EB8">
        <w:rPr>
          <w:rFonts w:cstheme="minorHAnsi"/>
        </w:rPr>
        <w:t xml:space="preserve"> </w:t>
      </w:r>
      <w:r>
        <w:rPr>
          <w:rFonts w:cstheme="minorHAnsi"/>
        </w:rPr>
        <w:t xml:space="preserve"> </w:t>
      </w:r>
      <w:r w:rsidR="00627DC1">
        <w:rPr>
          <w:rFonts w:cstheme="minorHAnsi"/>
        </w:rPr>
        <w:t>1</w:t>
      </w:r>
      <w:r w:rsidR="00627DC1" w:rsidRPr="00627DC1">
        <w:rPr>
          <w:rFonts w:cstheme="minorHAnsi"/>
          <w:vertAlign w:val="superscript"/>
        </w:rPr>
        <w:t>ο</w:t>
      </w:r>
      <w:r w:rsidR="00627DC1">
        <w:rPr>
          <w:rFonts w:cstheme="minorHAnsi"/>
        </w:rPr>
        <w:t xml:space="preserve"> π</w:t>
      </w:r>
      <w:r>
        <w:rPr>
          <w:rFonts w:cstheme="minorHAnsi"/>
        </w:rPr>
        <w:t>αράδειγμα δημιουργίας Ευρωδολαρίων</w:t>
      </w:r>
    </w:p>
    <w:tbl>
      <w:tblPr>
        <w:tblStyle w:val="af3"/>
        <w:tblW w:w="0" w:type="auto"/>
        <w:tblLook w:val="04A0" w:firstRow="1" w:lastRow="0" w:firstColumn="1" w:lastColumn="0" w:noHBand="0" w:noVBand="1"/>
      </w:tblPr>
      <w:tblGrid>
        <w:gridCol w:w="1052"/>
        <w:gridCol w:w="891"/>
        <w:gridCol w:w="1243"/>
        <w:gridCol w:w="997"/>
        <w:gridCol w:w="1243"/>
        <w:gridCol w:w="1052"/>
        <w:gridCol w:w="1052"/>
        <w:gridCol w:w="998"/>
      </w:tblGrid>
      <w:tr w:rsidR="00C61928" w:rsidRPr="00627DC1" w:rsidTr="00C61928">
        <w:tc>
          <w:tcPr>
            <w:tcW w:w="1943" w:type="dxa"/>
            <w:gridSpan w:val="2"/>
            <w:shd w:val="clear" w:color="auto" w:fill="BFBFBF" w:themeFill="background1" w:themeFillShade="BF"/>
          </w:tcPr>
          <w:p w:rsidR="00C61928" w:rsidRPr="00627DC1" w:rsidRDefault="00536522" w:rsidP="009F7E1A">
            <w:pPr>
              <w:jc w:val="center"/>
              <w:rPr>
                <w:rFonts w:ascii="Times New Roman" w:hAnsi="Times New Roman"/>
                <w:b/>
                <w:sz w:val="20"/>
                <w:szCs w:val="20"/>
              </w:rPr>
            </w:pPr>
            <w:r>
              <w:rPr>
                <w:rFonts w:ascii="Times New Roman" w:hAnsi="Times New Roman"/>
                <w:b/>
                <w:sz w:val="20"/>
                <w:szCs w:val="20"/>
                <w:lang w:val="en-US"/>
              </w:rPr>
              <w:t>Ford</w:t>
            </w:r>
          </w:p>
        </w:tc>
        <w:tc>
          <w:tcPr>
            <w:tcW w:w="2240" w:type="dxa"/>
            <w:gridSpan w:val="2"/>
            <w:shd w:val="clear" w:color="auto" w:fill="BFBFBF" w:themeFill="background1" w:themeFillShade="BF"/>
          </w:tcPr>
          <w:p w:rsidR="00C61928" w:rsidRPr="00627DC1" w:rsidRDefault="00C61928" w:rsidP="009F7E1A">
            <w:pPr>
              <w:jc w:val="center"/>
              <w:rPr>
                <w:rFonts w:ascii="Times New Roman" w:hAnsi="Times New Roman"/>
                <w:b/>
                <w:sz w:val="20"/>
                <w:szCs w:val="20"/>
              </w:rPr>
            </w:pPr>
            <w:r w:rsidRPr="00627DC1">
              <w:rPr>
                <w:rFonts w:ascii="Times New Roman" w:hAnsi="Times New Roman"/>
                <w:b/>
                <w:sz w:val="20"/>
                <w:szCs w:val="20"/>
                <w:lang w:val="en-US"/>
              </w:rPr>
              <w:t>Chase</w:t>
            </w:r>
            <w:r w:rsidRPr="00DC7EB8">
              <w:rPr>
                <w:rFonts w:ascii="Times New Roman" w:hAnsi="Times New Roman"/>
                <w:b/>
                <w:sz w:val="20"/>
                <w:szCs w:val="20"/>
              </w:rPr>
              <w:t xml:space="preserve"> </w:t>
            </w:r>
            <w:r w:rsidRPr="00627DC1">
              <w:rPr>
                <w:rFonts w:ascii="Times New Roman" w:hAnsi="Times New Roman"/>
                <w:b/>
                <w:sz w:val="20"/>
                <w:szCs w:val="20"/>
                <w:lang w:val="en-US"/>
              </w:rPr>
              <w:t>NY</w:t>
            </w:r>
            <w:r w:rsidRPr="00DC7EB8">
              <w:rPr>
                <w:rFonts w:ascii="Times New Roman" w:hAnsi="Times New Roman"/>
                <w:b/>
                <w:sz w:val="20"/>
                <w:szCs w:val="20"/>
              </w:rPr>
              <w:t xml:space="preserve">                      </w:t>
            </w:r>
          </w:p>
        </w:tc>
        <w:tc>
          <w:tcPr>
            <w:tcW w:w="2295" w:type="dxa"/>
            <w:gridSpan w:val="2"/>
            <w:shd w:val="clear" w:color="auto" w:fill="BFBFBF" w:themeFill="background1" w:themeFillShade="BF"/>
          </w:tcPr>
          <w:p w:rsidR="00C61928" w:rsidRPr="00627DC1" w:rsidRDefault="00C61928" w:rsidP="00C61928">
            <w:pPr>
              <w:rPr>
                <w:rFonts w:ascii="Times New Roman" w:hAnsi="Times New Roman"/>
                <w:b/>
                <w:sz w:val="20"/>
                <w:szCs w:val="20"/>
              </w:rPr>
            </w:pPr>
            <w:r w:rsidRPr="00DC7EB8">
              <w:rPr>
                <w:rFonts w:ascii="Times New Roman" w:hAnsi="Times New Roman"/>
                <w:b/>
                <w:sz w:val="20"/>
                <w:szCs w:val="20"/>
              </w:rPr>
              <w:t xml:space="preserve">          </w:t>
            </w:r>
            <w:r w:rsidRPr="00627DC1">
              <w:rPr>
                <w:rFonts w:ascii="Times New Roman" w:hAnsi="Times New Roman"/>
                <w:b/>
                <w:sz w:val="20"/>
                <w:szCs w:val="20"/>
                <w:lang w:val="en-US"/>
              </w:rPr>
              <w:t>Citibank</w:t>
            </w:r>
            <w:r w:rsidRPr="00DC7EB8">
              <w:rPr>
                <w:rFonts w:ascii="Times New Roman" w:hAnsi="Times New Roman"/>
                <w:b/>
                <w:sz w:val="20"/>
                <w:szCs w:val="20"/>
              </w:rPr>
              <w:t xml:space="preserve"> </w:t>
            </w:r>
            <w:r w:rsidRPr="00627DC1">
              <w:rPr>
                <w:rFonts w:ascii="Times New Roman" w:hAnsi="Times New Roman"/>
                <w:b/>
                <w:sz w:val="20"/>
                <w:szCs w:val="20"/>
                <w:lang w:val="en-US"/>
              </w:rPr>
              <w:t>NY</w:t>
            </w:r>
            <w:r w:rsidRPr="00DC7EB8">
              <w:rPr>
                <w:rFonts w:ascii="Times New Roman" w:hAnsi="Times New Roman"/>
                <w:b/>
                <w:sz w:val="20"/>
                <w:szCs w:val="20"/>
              </w:rPr>
              <w:t xml:space="preserve">                </w:t>
            </w:r>
          </w:p>
        </w:tc>
        <w:tc>
          <w:tcPr>
            <w:tcW w:w="2050" w:type="dxa"/>
            <w:gridSpan w:val="2"/>
            <w:shd w:val="clear" w:color="auto" w:fill="BFBFBF" w:themeFill="background1" w:themeFillShade="BF"/>
          </w:tcPr>
          <w:p w:rsidR="00C61928" w:rsidRPr="00627DC1" w:rsidRDefault="00C61928" w:rsidP="009F7E1A">
            <w:pPr>
              <w:jc w:val="center"/>
              <w:rPr>
                <w:rFonts w:ascii="Times New Roman" w:hAnsi="Times New Roman"/>
                <w:b/>
                <w:sz w:val="20"/>
                <w:szCs w:val="20"/>
              </w:rPr>
            </w:pPr>
            <w:r w:rsidRPr="00627DC1">
              <w:rPr>
                <w:rFonts w:ascii="Times New Roman" w:hAnsi="Times New Roman"/>
                <w:b/>
                <w:sz w:val="20"/>
                <w:szCs w:val="20"/>
                <w:lang w:val="en-US"/>
              </w:rPr>
              <w:t>Citibank</w:t>
            </w:r>
            <w:r w:rsidRPr="00DC7EB8">
              <w:rPr>
                <w:rFonts w:ascii="Times New Roman" w:hAnsi="Times New Roman"/>
                <w:b/>
                <w:sz w:val="20"/>
                <w:szCs w:val="20"/>
              </w:rPr>
              <w:t xml:space="preserve"> </w:t>
            </w:r>
            <w:r w:rsidRPr="00627DC1">
              <w:rPr>
                <w:rFonts w:ascii="Times New Roman" w:hAnsi="Times New Roman"/>
                <w:b/>
                <w:sz w:val="20"/>
                <w:szCs w:val="20"/>
                <w:lang w:val="en-US"/>
              </w:rPr>
              <w:t>London</w:t>
            </w:r>
          </w:p>
        </w:tc>
      </w:tr>
      <w:tr w:rsidR="009F7E1A" w:rsidRPr="00627DC1" w:rsidTr="00C61928">
        <w:tc>
          <w:tcPr>
            <w:tcW w:w="1052"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Ε</w:t>
            </w:r>
          </w:p>
        </w:tc>
        <w:tc>
          <w:tcPr>
            <w:tcW w:w="891"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Π</w:t>
            </w:r>
          </w:p>
        </w:tc>
        <w:tc>
          <w:tcPr>
            <w:tcW w:w="1243"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Ε</w:t>
            </w:r>
          </w:p>
        </w:tc>
        <w:tc>
          <w:tcPr>
            <w:tcW w:w="997"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Π</w:t>
            </w:r>
          </w:p>
        </w:tc>
        <w:tc>
          <w:tcPr>
            <w:tcW w:w="1243"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Ε</w:t>
            </w:r>
          </w:p>
        </w:tc>
        <w:tc>
          <w:tcPr>
            <w:tcW w:w="1052"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Π</w:t>
            </w:r>
          </w:p>
        </w:tc>
        <w:tc>
          <w:tcPr>
            <w:tcW w:w="1052"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Ε</w:t>
            </w:r>
          </w:p>
        </w:tc>
        <w:tc>
          <w:tcPr>
            <w:tcW w:w="998" w:type="dxa"/>
          </w:tcPr>
          <w:p w:rsidR="009F7E1A" w:rsidRPr="00627DC1" w:rsidRDefault="009F7E1A" w:rsidP="009F7E1A">
            <w:pPr>
              <w:jc w:val="center"/>
              <w:rPr>
                <w:rFonts w:ascii="Times New Roman" w:hAnsi="Times New Roman"/>
                <w:sz w:val="20"/>
                <w:szCs w:val="20"/>
              </w:rPr>
            </w:pPr>
            <w:r w:rsidRPr="00627DC1">
              <w:rPr>
                <w:rFonts w:ascii="Times New Roman" w:hAnsi="Times New Roman"/>
                <w:sz w:val="20"/>
                <w:szCs w:val="20"/>
              </w:rPr>
              <w:t>Π</w:t>
            </w:r>
          </w:p>
        </w:tc>
      </w:tr>
      <w:tr w:rsidR="009F7E1A" w:rsidRPr="00627DC1" w:rsidTr="00C61928">
        <w:tc>
          <w:tcPr>
            <w:tcW w:w="1052"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w:t>
            </w:r>
            <w:r w:rsidRPr="00DC7EB8">
              <w:rPr>
                <w:rFonts w:ascii="Times New Roman" w:hAnsi="Times New Roman"/>
                <w:sz w:val="20"/>
                <w:szCs w:val="20"/>
              </w:rPr>
              <w:t xml:space="preserve"> </w:t>
            </w:r>
            <w:r w:rsidRPr="00627DC1">
              <w:rPr>
                <w:rFonts w:ascii="Times New Roman" w:hAnsi="Times New Roman"/>
                <w:sz w:val="20"/>
                <w:szCs w:val="20"/>
                <w:lang w:val="en-US"/>
              </w:rPr>
              <w:t>Chase</w:t>
            </w:r>
          </w:p>
          <w:p w:rsidR="009F7E1A" w:rsidRPr="00627DC1" w:rsidRDefault="009F7E1A" w:rsidP="009F7E1A">
            <w:pPr>
              <w:jc w:val="both"/>
              <w:rPr>
                <w:rFonts w:ascii="Times New Roman" w:hAnsi="Times New Roman"/>
                <w:sz w:val="20"/>
                <w:szCs w:val="20"/>
              </w:rPr>
            </w:pPr>
          </w:p>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w:t>
            </w:r>
            <w:r w:rsidRPr="00DC7EB8">
              <w:rPr>
                <w:rFonts w:ascii="Times New Roman" w:hAnsi="Times New Roman"/>
                <w:sz w:val="20"/>
                <w:szCs w:val="20"/>
              </w:rPr>
              <w:t xml:space="preserve"> </w:t>
            </w:r>
            <w:r w:rsidRPr="00627DC1">
              <w:rPr>
                <w:rFonts w:ascii="Times New Roman" w:hAnsi="Times New Roman"/>
                <w:sz w:val="20"/>
                <w:szCs w:val="20"/>
                <w:lang w:val="en-US"/>
              </w:rPr>
              <w:t>Citibank London</w:t>
            </w:r>
          </w:p>
        </w:tc>
        <w:tc>
          <w:tcPr>
            <w:tcW w:w="891" w:type="dxa"/>
          </w:tcPr>
          <w:p w:rsidR="009F7E1A" w:rsidRPr="00627DC1" w:rsidRDefault="009F7E1A" w:rsidP="009F7E1A">
            <w:pPr>
              <w:jc w:val="both"/>
              <w:rPr>
                <w:rFonts w:ascii="Times New Roman" w:hAnsi="Times New Roman"/>
                <w:sz w:val="20"/>
                <w:szCs w:val="20"/>
                <w:lang w:val="en-US"/>
              </w:rPr>
            </w:pPr>
          </w:p>
        </w:tc>
        <w:tc>
          <w:tcPr>
            <w:tcW w:w="1243"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 διαθέσιμα</w:t>
            </w:r>
          </w:p>
        </w:tc>
        <w:tc>
          <w:tcPr>
            <w:tcW w:w="997" w:type="dxa"/>
          </w:tcPr>
          <w:p w:rsidR="00536522" w:rsidRDefault="009F7E1A" w:rsidP="00536522">
            <w:pPr>
              <w:jc w:val="both"/>
              <w:rPr>
                <w:rFonts w:ascii="Times New Roman" w:hAnsi="Times New Roman"/>
                <w:sz w:val="20"/>
                <w:szCs w:val="20"/>
                <w:lang w:val="en-US"/>
              </w:rPr>
            </w:pPr>
            <w:r w:rsidRPr="00627DC1">
              <w:rPr>
                <w:rFonts w:ascii="Times New Roman" w:hAnsi="Times New Roman"/>
                <w:sz w:val="20"/>
                <w:szCs w:val="20"/>
              </w:rPr>
              <w:t>-10</w:t>
            </w:r>
            <w:r w:rsidRPr="00627DC1">
              <w:rPr>
                <w:rFonts w:ascii="Times New Roman" w:hAnsi="Times New Roman"/>
                <w:sz w:val="20"/>
                <w:szCs w:val="20"/>
                <w:lang w:val="en-US"/>
              </w:rPr>
              <w:t xml:space="preserve"> </w:t>
            </w:r>
          </w:p>
          <w:p w:rsidR="009F7E1A" w:rsidRPr="00627DC1" w:rsidRDefault="00536522" w:rsidP="00536522">
            <w:pPr>
              <w:jc w:val="both"/>
              <w:rPr>
                <w:rFonts w:ascii="Times New Roman" w:hAnsi="Times New Roman"/>
                <w:sz w:val="20"/>
                <w:szCs w:val="20"/>
              </w:rPr>
            </w:pPr>
            <w:r>
              <w:rPr>
                <w:rFonts w:ascii="Times New Roman" w:hAnsi="Times New Roman"/>
                <w:sz w:val="20"/>
                <w:szCs w:val="20"/>
                <w:lang w:val="en-US"/>
              </w:rPr>
              <w:t>Ford</w:t>
            </w:r>
          </w:p>
        </w:tc>
        <w:tc>
          <w:tcPr>
            <w:tcW w:w="1243" w:type="dxa"/>
          </w:tcPr>
          <w:p w:rsidR="009F7E1A" w:rsidRPr="00627DC1" w:rsidRDefault="009F7E1A" w:rsidP="009F7E1A">
            <w:pPr>
              <w:jc w:val="both"/>
              <w:rPr>
                <w:rFonts w:ascii="Times New Roman" w:hAnsi="Times New Roman"/>
                <w:sz w:val="20"/>
                <w:szCs w:val="20"/>
                <w:lang w:val="en-US"/>
              </w:rPr>
            </w:pPr>
            <w:r w:rsidRPr="00627DC1">
              <w:rPr>
                <w:rFonts w:ascii="Times New Roman" w:hAnsi="Times New Roman"/>
                <w:sz w:val="20"/>
                <w:szCs w:val="20"/>
              </w:rPr>
              <w:t>+10 διαθέσιμα</w:t>
            </w:r>
          </w:p>
        </w:tc>
        <w:tc>
          <w:tcPr>
            <w:tcW w:w="1052" w:type="dxa"/>
          </w:tcPr>
          <w:p w:rsidR="009F7E1A" w:rsidRPr="00627DC1" w:rsidRDefault="009F7E1A" w:rsidP="009F7E1A">
            <w:pPr>
              <w:jc w:val="both"/>
              <w:rPr>
                <w:rFonts w:ascii="Times New Roman" w:hAnsi="Times New Roman"/>
                <w:sz w:val="20"/>
                <w:szCs w:val="20"/>
                <w:lang w:val="en-US"/>
              </w:rPr>
            </w:pPr>
            <w:r w:rsidRPr="00627DC1">
              <w:rPr>
                <w:rFonts w:ascii="Times New Roman" w:hAnsi="Times New Roman"/>
                <w:sz w:val="20"/>
                <w:szCs w:val="20"/>
              </w:rPr>
              <w:t>+10</w:t>
            </w:r>
            <w:r w:rsidRPr="00627DC1">
              <w:rPr>
                <w:rFonts w:ascii="Times New Roman" w:hAnsi="Times New Roman"/>
                <w:sz w:val="20"/>
                <w:szCs w:val="20"/>
                <w:lang w:val="en-US"/>
              </w:rPr>
              <w:t xml:space="preserve"> Citibank London</w:t>
            </w:r>
          </w:p>
        </w:tc>
        <w:tc>
          <w:tcPr>
            <w:tcW w:w="1052"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w:t>
            </w:r>
            <w:r w:rsidRPr="00627DC1">
              <w:rPr>
                <w:rFonts w:ascii="Times New Roman" w:hAnsi="Times New Roman"/>
                <w:sz w:val="20"/>
                <w:szCs w:val="20"/>
                <w:lang w:val="en-US"/>
              </w:rPr>
              <w:t xml:space="preserve"> Citibank NY</w:t>
            </w:r>
          </w:p>
        </w:tc>
        <w:tc>
          <w:tcPr>
            <w:tcW w:w="998" w:type="dxa"/>
          </w:tcPr>
          <w:p w:rsidR="00536522" w:rsidRDefault="009F7E1A" w:rsidP="00536522">
            <w:pPr>
              <w:jc w:val="both"/>
              <w:rPr>
                <w:rFonts w:ascii="Times New Roman" w:hAnsi="Times New Roman"/>
                <w:sz w:val="20"/>
                <w:szCs w:val="20"/>
                <w:lang w:val="en-US"/>
              </w:rPr>
            </w:pPr>
            <w:r w:rsidRPr="00627DC1">
              <w:rPr>
                <w:rFonts w:ascii="Times New Roman" w:hAnsi="Times New Roman"/>
                <w:sz w:val="20"/>
                <w:szCs w:val="20"/>
              </w:rPr>
              <w:t>+10</w:t>
            </w:r>
            <w:r w:rsidRPr="00627DC1">
              <w:rPr>
                <w:rFonts w:ascii="Times New Roman" w:hAnsi="Times New Roman"/>
                <w:sz w:val="20"/>
                <w:szCs w:val="20"/>
                <w:lang w:val="en-US"/>
              </w:rPr>
              <w:t xml:space="preserve"> </w:t>
            </w:r>
          </w:p>
          <w:p w:rsidR="009F7E1A" w:rsidRPr="00627DC1" w:rsidRDefault="00536522" w:rsidP="00536522">
            <w:pPr>
              <w:jc w:val="both"/>
              <w:rPr>
                <w:rFonts w:ascii="Times New Roman" w:hAnsi="Times New Roman"/>
                <w:sz w:val="20"/>
                <w:szCs w:val="20"/>
                <w:lang w:val="en-US"/>
              </w:rPr>
            </w:pPr>
            <w:r>
              <w:rPr>
                <w:rFonts w:ascii="Times New Roman" w:hAnsi="Times New Roman"/>
                <w:sz w:val="20"/>
                <w:szCs w:val="20"/>
                <w:lang w:val="en-US"/>
              </w:rPr>
              <w:t>Ford</w:t>
            </w:r>
          </w:p>
        </w:tc>
      </w:tr>
    </w:tbl>
    <w:p w:rsidR="009F7E1A" w:rsidRDefault="009F7E1A" w:rsidP="009F7E1A">
      <w:pPr>
        <w:jc w:val="both"/>
      </w:pPr>
      <w:r w:rsidRPr="004D7C69">
        <w:rPr>
          <w:lang w:val="en-US"/>
        </w:rPr>
        <w:t xml:space="preserve"> </w:t>
      </w:r>
    </w:p>
    <w:p w:rsidR="00536522" w:rsidRPr="00536522" w:rsidRDefault="009F7E1A" w:rsidP="00627DC1">
      <w:pPr>
        <w:tabs>
          <w:tab w:val="num" w:pos="720"/>
          <w:tab w:val="num" w:pos="1080"/>
        </w:tabs>
        <w:spacing w:line="360" w:lineRule="auto"/>
        <w:ind w:firstLine="720"/>
        <w:jc w:val="both"/>
        <w:rPr>
          <w:rFonts w:cstheme="minorHAnsi"/>
        </w:rPr>
      </w:pPr>
      <w:r w:rsidRPr="00627DC1">
        <w:rPr>
          <w:rFonts w:cstheme="minorHAnsi"/>
        </w:rPr>
        <w:t>Επειδή</w:t>
      </w:r>
      <w:r>
        <w:t xml:space="preserve"> η </w:t>
      </w:r>
      <w:r>
        <w:rPr>
          <w:lang w:val="en-US"/>
        </w:rPr>
        <w:t>Citibank</w:t>
      </w:r>
      <w:r w:rsidRPr="00ED2D42">
        <w:t xml:space="preserve"> </w:t>
      </w:r>
      <w:r>
        <w:rPr>
          <w:rFonts w:cstheme="minorHAnsi"/>
          <w:lang w:val="en-US"/>
        </w:rPr>
        <w:t>London</w:t>
      </w:r>
      <w:r>
        <w:rPr>
          <w:rFonts w:cstheme="minorHAnsi"/>
        </w:rPr>
        <w:t xml:space="preserve"> δεν έχει λογαριασμό στην κεντρική τράπεζα της Νέας Υόρκης, αντί για αυτό διατηρεί ένα λογαριασμό στη</w:t>
      </w:r>
      <w:r w:rsidRPr="00ED2D42">
        <w:t xml:space="preserve"> </w:t>
      </w:r>
      <w:r>
        <w:rPr>
          <w:lang w:val="en-US"/>
        </w:rPr>
        <w:t>Citibank</w:t>
      </w:r>
      <w:r w:rsidRPr="00ED2D42">
        <w:t xml:space="preserve"> </w:t>
      </w:r>
      <w:r>
        <w:rPr>
          <w:lang w:val="en-US"/>
        </w:rPr>
        <w:t>NY</w:t>
      </w:r>
      <w:r>
        <w:t xml:space="preserve"> τον οποίο χρησιμοποιεί για να δώσει και να λάβει πληρωμές σε δολάρια. Δέχεται την κατάθεση </w:t>
      </w:r>
      <w:r>
        <w:lastRenderedPageBreak/>
        <w:t>από την</w:t>
      </w:r>
      <w:r w:rsidRPr="00ED2D42">
        <w:t xml:space="preserve"> </w:t>
      </w:r>
      <w:r w:rsidR="00536522">
        <w:rPr>
          <w:lang w:val="en-US"/>
        </w:rPr>
        <w:t>Ford</w:t>
      </w:r>
      <w:r>
        <w:t xml:space="preserve"> πιστώνοντας τ</w:t>
      </w:r>
      <w:r w:rsidR="00C61928">
        <w:t xml:space="preserve">ο λογαριασμό της στη Νέα Υόρκη και </w:t>
      </w:r>
      <w:r>
        <w:t>επομένως επ</w:t>
      </w:r>
      <w:r w:rsidR="00C61928">
        <w:t>εκτείνοντας τον ισολογισμό της.</w:t>
      </w:r>
      <w:r>
        <w:t xml:space="preserve"> </w:t>
      </w:r>
      <w:r w:rsidR="00C61928">
        <w:t>Κ</w:t>
      </w:r>
      <w:r>
        <w:t>αι η</w:t>
      </w:r>
      <w:r w:rsidRPr="00ED2D42">
        <w:t xml:space="preserve"> </w:t>
      </w:r>
      <w:r>
        <w:rPr>
          <w:lang w:val="en-US"/>
        </w:rPr>
        <w:t>Citibank</w:t>
      </w:r>
      <w:r w:rsidRPr="00ED2D42">
        <w:t xml:space="preserve"> </w:t>
      </w:r>
      <w:r>
        <w:rPr>
          <w:lang w:val="en-US"/>
        </w:rPr>
        <w:t>NY</w:t>
      </w:r>
      <w:r>
        <w:t xml:space="preserve"> αποδέχεται αυτή την κατάθεση επεκτείνοντας την περιουσία της σε διαθέσιμα </w:t>
      </w:r>
      <w:r w:rsidR="00C61928">
        <w:t>στην κεντρική τράπεζα</w:t>
      </w:r>
      <w:r w:rsidR="00536522" w:rsidRPr="00536522">
        <w:t>.</w:t>
      </w:r>
      <w:r w:rsidR="00536522">
        <w:t xml:space="preserve"> Όταν μιλάμε για </w:t>
      </w:r>
      <w:r w:rsidR="00536522">
        <w:rPr>
          <w:lang w:val="en-US"/>
        </w:rPr>
        <w:t>e</w:t>
      </w:r>
      <w:proofErr w:type="spellStart"/>
      <w:r>
        <w:t>υρωδολάρια</w:t>
      </w:r>
      <w:proofErr w:type="spellEnd"/>
      <w:r>
        <w:t>, μιλάμε για τον ισολογισμό της</w:t>
      </w:r>
      <w:r w:rsidRPr="009A742E">
        <w:t xml:space="preserve"> </w:t>
      </w:r>
      <w:proofErr w:type="spellStart"/>
      <w:r w:rsidR="00C61928">
        <w:t>ευρωτράπεζας</w:t>
      </w:r>
      <w:proofErr w:type="spellEnd"/>
      <w:r w:rsidR="00C61928">
        <w:t xml:space="preserve"> </w:t>
      </w:r>
      <w:r>
        <w:rPr>
          <w:lang w:val="en-US"/>
        </w:rPr>
        <w:t>Citibank</w:t>
      </w:r>
      <w:r w:rsidRPr="009A742E">
        <w:t xml:space="preserve"> </w:t>
      </w:r>
      <w:r>
        <w:rPr>
          <w:rFonts w:cstheme="minorHAnsi"/>
          <w:lang w:val="en-US"/>
        </w:rPr>
        <w:t>London</w:t>
      </w:r>
      <w:r>
        <w:rPr>
          <w:rFonts w:cstheme="minorHAnsi"/>
        </w:rPr>
        <w:t>.</w:t>
      </w:r>
    </w:p>
    <w:p w:rsidR="009F7E1A" w:rsidRPr="004C5765" w:rsidRDefault="00627DC1" w:rsidP="00627DC1">
      <w:pPr>
        <w:tabs>
          <w:tab w:val="num" w:pos="720"/>
          <w:tab w:val="num" w:pos="1080"/>
        </w:tabs>
        <w:spacing w:line="360" w:lineRule="auto"/>
        <w:ind w:firstLine="720"/>
        <w:jc w:val="both"/>
      </w:pPr>
      <w:r>
        <w:rPr>
          <w:rFonts w:cstheme="minorHAnsi"/>
        </w:rPr>
        <w:t>Α</w:t>
      </w:r>
      <w:r w:rsidR="009F7E1A">
        <w:rPr>
          <w:rFonts w:cstheme="minorHAnsi"/>
        </w:rPr>
        <w:t xml:space="preserve">πό την οπτική της κεντρικής τράπεζας της Νέας Υόρκης, αυτό που έχει συμβεί είναι μια χρέωση στο λογαριασμό της </w:t>
      </w:r>
      <w:r w:rsidR="009F7E1A">
        <w:rPr>
          <w:lang w:val="en-US"/>
        </w:rPr>
        <w:t>Chase</w:t>
      </w:r>
      <w:r w:rsidR="009F7E1A" w:rsidRPr="009A742E">
        <w:t xml:space="preserve"> </w:t>
      </w:r>
      <w:r w:rsidR="009F7E1A">
        <w:rPr>
          <w:lang w:val="en-US"/>
        </w:rPr>
        <w:t>NY</w:t>
      </w:r>
      <w:r w:rsidR="009F7E1A">
        <w:t xml:space="preserve"> και μια πίστωση στο λογαριασμό της</w:t>
      </w:r>
      <w:r w:rsidR="009F7E1A" w:rsidRPr="009A742E">
        <w:t xml:space="preserve"> </w:t>
      </w:r>
      <w:r w:rsidR="009F7E1A">
        <w:rPr>
          <w:lang w:val="en-US"/>
        </w:rPr>
        <w:t>Citibank</w:t>
      </w:r>
      <w:r w:rsidR="009F7E1A" w:rsidRPr="00ED2D42">
        <w:t xml:space="preserve"> </w:t>
      </w:r>
      <w:r w:rsidR="009F7E1A">
        <w:rPr>
          <w:lang w:val="en-US"/>
        </w:rPr>
        <w:t>NY</w:t>
      </w:r>
      <w:r w:rsidR="009F7E1A">
        <w:t xml:space="preserve">, η οποία αφήνει τα ισοζύγια συνολικών διαθεσίμων στο σύστημα αμετάβλητα. Από μια άλλη οπτική πάντως, η συναλλαγή αυξάνει τα ισοζύγια σε δολάρια που διατηρούνται έξω από τη χώρα και τα οποία συνηθιζόταν να διατηρούνται εντός της χώρας. Εάν η τράπεζα </w:t>
      </w:r>
      <w:r w:rsidR="00536522">
        <w:t xml:space="preserve">που δέχεται την κατάθεση ήταν η ελβετική τράπεζα </w:t>
      </w:r>
      <w:r w:rsidR="00536522">
        <w:rPr>
          <w:lang w:val="en-US"/>
        </w:rPr>
        <w:t>UBS</w:t>
      </w:r>
      <w:r w:rsidR="009F7E1A" w:rsidRPr="009A742E">
        <w:t xml:space="preserve"> </w:t>
      </w:r>
      <w:r w:rsidR="009F7E1A">
        <w:t xml:space="preserve">παρά ένα υποκατάστημα της </w:t>
      </w:r>
      <w:r w:rsidR="009F7E1A">
        <w:rPr>
          <w:lang w:val="en-US"/>
        </w:rPr>
        <w:t>Citibank</w:t>
      </w:r>
      <w:r w:rsidR="009F7E1A">
        <w:t xml:space="preserve">, ίσως </w:t>
      </w:r>
      <w:r>
        <w:t>το</w:t>
      </w:r>
      <w:r w:rsidR="009F7E1A">
        <w:t xml:space="preserve"> βλέπαμε πιο </w:t>
      </w:r>
      <w:r>
        <w:t>καθαρά στο επόμενο πίνακα</w:t>
      </w:r>
      <w:r w:rsidR="009F7E1A">
        <w:t>.</w:t>
      </w:r>
    </w:p>
    <w:p w:rsidR="009F7E1A" w:rsidRPr="004C5765" w:rsidRDefault="009F7E1A" w:rsidP="009F7E1A">
      <w:pPr>
        <w:jc w:val="both"/>
      </w:pPr>
    </w:p>
    <w:p w:rsidR="00627DC1" w:rsidRDefault="00627DC1" w:rsidP="006E0937">
      <w:pPr>
        <w:tabs>
          <w:tab w:val="num" w:pos="720"/>
          <w:tab w:val="num" w:pos="1080"/>
        </w:tabs>
        <w:jc w:val="both"/>
        <w:rPr>
          <w:rFonts w:cstheme="minorHAnsi"/>
        </w:rPr>
      </w:pPr>
      <w:r w:rsidRPr="00DC7EB8">
        <w:rPr>
          <w:rFonts w:cstheme="minorHAnsi"/>
          <w:b/>
        </w:rPr>
        <w:t xml:space="preserve">Πίνακας </w:t>
      </w:r>
      <w:r w:rsidR="00DC7EB8" w:rsidRPr="00DC7EB8">
        <w:rPr>
          <w:rFonts w:cstheme="minorHAnsi"/>
          <w:b/>
        </w:rPr>
        <w:t>4.2</w:t>
      </w:r>
      <w:r w:rsidR="00613B48">
        <w:rPr>
          <w:rFonts w:cstheme="minorHAnsi"/>
          <w:b/>
        </w:rPr>
        <w:t>0</w:t>
      </w:r>
      <w:r w:rsidR="00DC7EB8">
        <w:rPr>
          <w:rFonts w:cstheme="minorHAnsi"/>
        </w:rPr>
        <w:t xml:space="preserve"> </w:t>
      </w:r>
      <w:r>
        <w:rPr>
          <w:rFonts w:cstheme="minorHAnsi"/>
        </w:rPr>
        <w:t xml:space="preserve"> 2</w:t>
      </w:r>
      <w:r w:rsidRPr="00627DC1">
        <w:rPr>
          <w:rFonts w:cstheme="minorHAnsi"/>
          <w:vertAlign w:val="superscript"/>
        </w:rPr>
        <w:t>ο</w:t>
      </w:r>
      <w:r>
        <w:rPr>
          <w:rFonts w:cstheme="minorHAnsi"/>
        </w:rPr>
        <w:t xml:space="preserve"> παράδειγμα δημιουργίας Ευρωδολαρίων</w:t>
      </w:r>
    </w:p>
    <w:tbl>
      <w:tblPr>
        <w:tblStyle w:val="af3"/>
        <w:tblW w:w="9810" w:type="dxa"/>
        <w:tblInd w:w="-432" w:type="dxa"/>
        <w:tblLook w:val="04A0" w:firstRow="1" w:lastRow="0" w:firstColumn="1" w:lastColumn="0" w:noHBand="0" w:noVBand="1"/>
      </w:tblPr>
      <w:tblGrid>
        <w:gridCol w:w="1240"/>
        <w:gridCol w:w="1010"/>
        <w:gridCol w:w="1443"/>
        <w:gridCol w:w="1095"/>
        <w:gridCol w:w="1359"/>
        <w:gridCol w:w="1095"/>
        <w:gridCol w:w="1240"/>
        <w:gridCol w:w="1328"/>
      </w:tblGrid>
      <w:tr w:rsidR="00C61928" w:rsidRPr="00627DC1" w:rsidTr="006E0937">
        <w:tc>
          <w:tcPr>
            <w:tcW w:w="2250" w:type="dxa"/>
            <w:gridSpan w:val="2"/>
            <w:shd w:val="clear" w:color="auto" w:fill="BFBFBF" w:themeFill="background1" w:themeFillShade="BF"/>
          </w:tcPr>
          <w:p w:rsidR="00C61928" w:rsidRPr="00627DC1" w:rsidRDefault="00536522" w:rsidP="00627DC1">
            <w:pPr>
              <w:jc w:val="center"/>
              <w:rPr>
                <w:rFonts w:ascii="Times New Roman" w:hAnsi="Times New Roman"/>
                <w:b/>
                <w:sz w:val="20"/>
                <w:szCs w:val="20"/>
              </w:rPr>
            </w:pPr>
            <w:r>
              <w:rPr>
                <w:rFonts w:ascii="Times New Roman" w:hAnsi="Times New Roman"/>
                <w:b/>
                <w:sz w:val="20"/>
                <w:szCs w:val="20"/>
                <w:lang w:val="en-US"/>
              </w:rPr>
              <w:t>Ford</w:t>
            </w:r>
          </w:p>
        </w:tc>
        <w:tc>
          <w:tcPr>
            <w:tcW w:w="2538" w:type="dxa"/>
            <w:gridSpan w:val="2"/>
            <w:shd w:val="clear" w:color="auto" w:fill="BFBFBF" w:themeFill="background1" w:themeFillShade="BF"/>
          </w:tcPr>
          <w:p w:rsidR="00C61928" w:rsidRPr="00627DC1" w:rsidRDefault="00627DC1" w:rsidP="00627DC1">
            <w:pPr>
              <w:jc w:val="center"/>
              <w:rPr>
                <w:rFonts w:ascii="Times New Roman" w:hAnsi="Times New Roman"/>
                <w:b/>
                <w:sz w:val="20"/>
                <w:szCs w:val="20"/>
              </w:rPr>
            </w:pPr>
            <w:r w:rsidRPr="00627DC1">
              <w:rPr>
                <w:rFonts w:ascii="Times New Roman" w:hAnsi="Times New Roman"/>
                <w:b/>
                <w:sz w:val="20"/>
                <w:szCs w:val="20"/>
                <w:lang w:val="en-US"/>
              </w:rPr>
              <w:t>Chase</w:t>
            </w:r>
            <w:r w:rsidRPr="00DC7EB8">
              <w:rPr>
                <w:rFonts w:ascii="Times New Roman" w:hAnsi="Times New Roman"/>
                <w:b/>
                <w:sz w:val="20"/>
                <w:szCs w:val="20"/>
              </w:rPr>
              <w:t xml:space="preserve"> </w:t>
            </w:r>
            <w:r w:rsidRPr="00627DC1">
              <w:rPr>
                <w:rFonts w:ascii="Times New Roman" w:hAnsi="Times New Roman"/>
                <w:b/>
                <w:sz w:val="20"/>
                <w:szCs w:val="20"/>
                <w:lang w:val="en-US"/>
              </w:rPr>
              <w:t>NY</w:t>
            </w:r>
          </w:p>
        </w:tc>
        <w:tc>
          <w:tcPr>
            <w:tcW w:w="2454" w:type="dxa"/>
            <w:gridSpan w:val="2"/>
            <w:shd w:val="clear" w:color="auto" w:fill="BFBFBF" w:themeFill="background1" w:themeFillShade="BF"/>
          </w:tcPr>
          <w:p w:rsidR="00C61928" w:rsidRPr="00627DC1" w:rsidRDefault="00627DC1" w:rsidP="00627DC1">
            <w:pPr>
              <w:jc w:val="center"/>
              <w:rPr>
                <w:rFonts w:ascii="Times New Roman" w:hAnsi="Times New Roman"/>
                <w:b/>
                <w:sz w:val="20"/>
                <w:szCs w:val="20"/>
              </w:rPr>
            </w:pPr>
            <w:r w:rsidRPr="00627DC1">
              <w:rPr>
                <w:rFonts w:ascii="Times New Roman" w:hAnsi="Times New Roman"/>
                <w:b/>
                <w:sz w:val="20"/>
                <w:szCs w:val="20"/>
                <w:lang w:val="en-US"/>
              </w:rPr>
              <w:t>Citibank</w:t>
            </w:r>
            <w:r w:rsidRPr="00DC7EB8">
              <w:rPr>
                <w:rFonts w:ascii="Times New Roman" w:hAnsi="Times New Roman"/>
                <w:b/>
                <w:sz w:val="20"/>
                <w:szCs w:val="20"/>
              </w:rPr>
              <w:t xml:space="preserve"> </w:t>
            </w:r>
            <w:r w:rsidRPr="00627DC1">
              <w:rPr>
                <w:rFonts w:ascii="Times New Roman" w:hAnsi="Times New Roman"/>
                <w:b/>
                <w:sz w:val="20"/>
                <w:szCs w:val="20"/>
                <w:lang w:val="en-US"/>
              </w:rPr>
              <w:t>NY</w:t>
            </w:r>
          </w:p>
        </w:tc>
        <w:tc>
          <w:tcPr>
            <w:tcW w:w="2568" w:type="dxa"/>
            <w:gridSpan w:val="2"/>
            <w:shd w:val="clear" w:color="auto" w:fill="BFBFBF" w:themeFill="background1" w:themeFillShade="BF"/>
          </w:tcPr>
          <w:p w:rsidR="00C61928" w:rsidRPr="00627DC1" w:rsidRDefault="00536522" w:rsidP="00627DC1">
            <w:pPr>
              <w:jc w:val="center"/>
              <w:rPr>
                <w:rFonts w:ascii="Times New Roman" w:hAnsi="Times New Roman"/>
                <w:b/>
                <w:sz w:val="20"/>
                <w:szCs w:val="20"/>
              </w:rPr>
            </w:pPr>
            <w:r>
              <w:rPr>
                <w:rFonts w:ascii="Times New Roman" w:hAnsi="Times New Roman"/>
                <w:b/>
                <w:sz w:val="20"/>
                <w:szCs w:val="20"/>
                <w:lang w:val="en-US"/>
              </w:rPr>
              <w:t>UBS</w:t>
            </w:r>
          </w:p>
        </w:tc>
      </w:tr>
      <w:tr w:rsidR="009F7E1A" w:rsidRPr="00627DC1" w:rsidTr="006E0937">
        <w:tc>
          <w:tcPr>
            <w:tcW w:w="1240"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Στοιχεία Ενεργητικού</w:t>
            </w:r>
          </w:p>
        </w:tc>
        <w:tc>
          <w:tcPr>
            <w:tcW w:w="1010"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Παθητικό</w:t>
            </w:r>
          </w:p>
        </w:tc>
        <w:tc>
          <w:tcPr>
            <w:tcW w:w="1443"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Στοιχεία Ενεργητικού</w:t>
            </w:r>
          </w:p>
        </w:tc>
        <w:tc>
          <w:tcPr>
            <w:tcW w:w="1095"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Παθητικό</w:t>
            </w:r>
          </w:p>
        </w:tc>
        <w:tc>
          <w:tcPr>
            <w:tcW w:w="1359"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Στοιχεία Ενεργητικού</w:t>
            </w:r>
          </w:p>
        </w:tc>
        <w:tc>
          <w:tcPr>
            <w:tcW w:w="1095"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Παθητικό</w:t>
            </w:r>
          </w:p>
        </w:tc>
        <w:tc>
          <w:tcPr>
            <w:tcW w:w="1240"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Στοιχεία Ενεργητικού</w:t>
            </w:r>
          </w:p>
        </w:tc>
        <w:tc>
          <w:tcPr>
            <w:tcW w:w="1328"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Παθητικό</w:t>
            </w:r>
          </w:p>
        </w:tc>
      </w:tr>
      <w:tr w:rsidR="009F7E1A" w:rsidRPr="00627DC1" w:rsidTr="006E0937">
        <w:tc>
          <w:tcPr>
            <w:tcW w:w="1240"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lang w:val="en-US"/>
              </w:rPr>
              <w:t>-10 Chase</w:t>
            </w:r>
          </w:p>
          <w:p w:rsidR="009F7E1A" w:rsidRPr="00627DC1" w:rsidRDefault="009F7E1A" w:rsidP="009F7E1A">
            <w:pPr>
              <w:jc w:val="both"/>
              <w:rPr>
                <w:rFonts w:ascii="Times New Roman" w:hAnsi="Times New Roman"/>
                <w:sz w:val="20"/>
                <w:szCs w:val="20"/>
              </w:rPr>
            </w:pPr>
          </w:p>
          <w:p w:rsidR="009F7E1A" w:rsidRPr="00627DC1" w:rsidRDefault="009F7E1A" w:rsidP="00536522">
            <w:pPr>
              <w:jc w:val="both"/>
              <w:rPr>
                <w:rFonts w:ascii="Times New Roman" w:hAnsi="Times New Roman"/>
                <w:sz w:val="20"/>
                <w:szCs w:val="20"/>
                <w:lang w:val="en-US"/>
              </w:rPr>
            </w:pPr>
            <w:r w:rsidRPr="00627DC1">
              <w:rPr>
                <w:rFonts w:ascii="Times New Roman" w:hAnsi="Times New Roman"/>
                <w:sz w:val="20"/>
                <w:szCs w:val="20"/>
                <w:lang w:val="en-US"/>
              </w:rPr>
              <w:t xml:space="preserve">+10 </w:t>
            </w:r>
            <w:r w:rsidR="00536522">
              <w:rPr>
                <w:rFonts w:ascii="Times New Roman" w:hAnsi="Times New Roman"/>
                <w:sz w:val="20"/>
                <w:szCs w:val="20"/>
                <w:lang w:val="en-US"/>
              </w:rPr>
              <w:t>UBS</w:t>
            </w:r>
          </w:p>
        </w:tc>
        <w:tc>
          <w:tcPr>
            <w:tcW w:w="1010" w:type="dxa"/>
          </w:tcPr>
          <w:p w:rsidR="009F7E1A" w:rsidRPr="00627DC1" w:rsidRDefault="009F7E1A" w:rsidP="009F7E1A">
            <w:pPr>
              <w:jc w:val="both"/>
              <w:rPr>
                <w:rFonts w:ascii="Times New Roman" w:hAnsi="Times New Roman"/>
                <w:sz w:val="20"/>
                <w:szCs w:val="20"/>
                <w:lang w:val="en-US"/>
              </w:rPr>
            </w:pPr>
          </w:p>
        </w:tc>
        <w:tc>
          <w:tcPr>
            <w:tcW w:w="1443"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lang w:val="en-US"/>
              </w:rPr>
              <w:t xml:space="preserve">-10 </w:t>
            </w:r>
            <w:r w:rsidRPr="00627DC1">
              <w:rPr>
                <w:rFonts w:ascii="Times New Roman" w:hAnsi="Times New Roman"/>
                <w:sz w:val="20"/>
                <w:szCs w:val="20"/>
              </w:rPr>
              <w:t>διαθέσιμα</w:t>
            </w:r>
          </w:p>
        </w:tc>
        <w:tc>
          <w:tcPr>
            <w:tcW w:w="1095" w:type="dxa"/>
          </w:tcPr>
          <w:p w:rsidR="009F7E1A" w:rsidRPr="00536522" w:rsidRDefault="009F7E1A" w:rsidP="00536522">
            <w:pPr>
              <w:jc w:val="both"/>
              <w:rPr>
                <w:rFonts w:ascii="Times New Roman" w:hAnsi="Times New Roman"/>
                <w:sz w:val="20"/>
                <w:szCs w:val="20"/>
                <w:lang w:val="en-US"/>
              </w:rPr>
            </w:pPr>
            <w:r w:rsidRPr="00627DC1">
              <w:rPr>
                <w:rFonts w:ascii="Times New Roman" w:hAnsi="Times New Roman"/>
                <w:sz w:val="20"/>
                <w:szCs w:val="20"/>
              </w:rPr>
              <w:t xml:space="preserve">-10 </w:t>
            </w:r>
            <w:r w:rsidR="00536522">
              <w:rPr>
                <w:rFonts w:ascii="Times New Roman" w:hAnsi="Times New Roman"/>
                <w:sz w:val="20"/>
                <w:szCs w:val="20"/>
                <w:lang w:val="en-US"/>
              </w:rPr>
              <w:t>Ford</w:t>
            </w:r>
          </w:p>
        </w:tc>
        <w:tc>
          <w:tcPr>
            <w:tcW w:w="1359"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 διαθέσιμα</w:t>
            </w:r>
          </w:p>
        </w:tc>
        <w:tc>
          <w:tcPr>
            <w:tcW w:w="1095" w:type="dxa"/>
          </w:tcPr>
          <w:p w:rsidR="009F7E1A" w:rsidRPr="00627DC1" w:rsidRDefault="009F7E1A" w:rsidP="00536522">
            <w:pPr>
              <w:jc w:val="both"/>
              <w:rPr>
                <w:rFonts w:ascii="Times New Roman" w:hAnsi="Times New Roman"/>
                <w:sz w:val="20"/>
                <w:szCs w:val="20"/>
              </w:rPr>
            </w:pPr>
            <w:r w:rsidRPr="00627DC1">
              <w:rPr>
                <w:rFonts w:ascii="Times New Roman" w:hAnsi="Times New Roman"/>
                <w:sz w:val="20"/>
                <w:szCs w:val="20"/>
              </w:rPr>
              <w:t xml:space="preserve">+10 </w:t>
            </w:r>
            <w:r w:rsidR="00536522">
              <w:rPr>
                <w:rFonts w:ascii="Times New Roman" w:hAnsi="Times New Roman"/>
                <w:sz w:val="20"/>
                <w:szCs w:val="20"/>
                <w:lang w:val="en-US"/>
              </w:rPr>
              <w:t>UBS</w:t>
            </w:r>
          </w:p>
        </w:tc>
        <w:tc>
          <w:tcPr>
            <w:tcW w:w="1240"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w:t>
            </w:r>
            <w:r w:rsidRPr="00627DC1">
              <w:rPr>
                <w:rFonts w:ascii="Times New Roman" w:hAnsi="Times New Roman"/>
                <w:sz w:val="20"/>
                <w:szCs w:val="20"/>
                <w:lang w:val="en-US"/>
              </w:rPr>
              <w:t xml:space="preserve"> Citibank</w:t>
            </w:r>
            <w:r w:rsidRPr="00627DC1">
              <w:rPr>
                <w:rFonts w:ascii="Times New Roman" w:hAnsi="Times New Roman"/>
                <w:sz w:val="20"/>
                <w:szCs w:val="20"/>
              </w:rPr>
              <w:t xml:space="preserve"> ΝΥ </w:t>
            </w:r>
          </w:p>
          <w:p w:rsidR="009F7E1A" w:rsidRPr="00627DC1" w:rsidRDefault="009F7E1A" w:rsidP="009F7E1A">
            <w:pPr>
              <w:jc w:val="both"/>
              <w:rPr>
                <w:rFonts w:ascii="Times New Roman" w:hAnsi="Times New Roman"/>
                <w:sz w:val="20"/>
                <w:szCs w:val="20"/>
              </w:rPr>
            </w:pPr>
          </w:p>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+δάνεια</w:t>
            </w:r>
          </w:p>
        </w:tc>
        <w:tc>
          <w:tcPr>
            <w:tcW w:w="1328" w:type="dxa"/>
          </w:tcPr>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+10</w:t>
            </w:r>
            <w:r w:rsidRPr="00627DC1">
              <w:rPr>
                <w:rFonts w:ascii="Times New Roman" w:hAnsi="Times New Roman"/>
                <w:sz w:val="20"/>
                <w:szCs w:val="20"/>
                <w:lang w:val="en-US"/>
              </w:rPr>
              <w:t xml:space="preserve"> </w:t>
            </w:r>
            <w:r w:rsidR="00536522">
              <w:rPr>
                <w:rFonts w:ascii="Times New Roman" w:hAnsi="Times New Roman"/>
                <w:sz w:val="20"/>
                <w:szCs w:val="20"/>
                <w:lang w:val="en-US"/>
              </w:rPr>
              <w:t>Ford</w:t>
            </w:r>
          </w:p>
          <w:p w:rsidR="009F7E1A" w:rsidRPr="00627DC1" w:rsidRDefault="009F7E1A" w:rsidP="009F7E1A">
            <w:pPr>
              <w:jc w:val="both"/>
              <w:rPr>
                <w:rFonts w:ascii="Times New Roman" w:hAnsi="Times New Roman"/>
                <w:sz w:val="20"/>
                <w:szCs w:val="20"/>
              </w:rPr>
            </w:pPr>
          </w:p>
          <w:p w:rsidR="009F7E1A" w:rsidRPr="00627DC1" w:rsidRDefault="009F7E1A" w:rsidP="009F7E1A">
            <w:pPr>
              <w:jc w:val="both"/>
              <w:rPr>
                <w:rFonts w:ascii="Times New Roman" w:hAnsi="Times New Roman"/>
                <w:sz w:val="20"/>
                <w:szCs w:val="20"/>
              </w:rPr>
            </w:pPr>
            <w:r w:rsidRPr="00627DC1">
              <w:rPr>
                <w:rFonts w:ascii="Times New Roman" w:hAnsi="Times New Roman"/>
                <w:sz w:val="20"/>
                <w:szCs w:val="20"/>
              </w:rPr>
              <w:t xml:space="preserve">+ καταθέσεις </w:t>
            </w:r>
          </w:p>
        </w:tc>
      </w:tr>
    </w:tbl>
    <w:p w:rsidR="009F7E1A" w:rsidRDefault="009F7E1A" w:rsidP="009F7E1A">
      <w:pPr>
        <w:jc w:val="both"/>
      </w:pPr>
    </w:p>
    <w:p w:rsidR="00627DC1" w:rsidRDefault="009F7E1A" w:rsidP="00627DC1">
      <w:pPr>
        <w:tabs>
          <w:tab w:val="num" w:pos="720"/>
          <w:tab w:val="num" w:pos="1080"/>
        </w:tabs>
        <w:spacing w:line="360" w:lineRule="auto"/>
        <w:ind w:firstLine="720"/>
        <w:jc w:val="both"/>
      </w:pPr>
      <w:r>
        <w:t>Εάν περιορίσουμε την προσοχή μας στις Η.Π.Α., βλέπουμε ότι έχει γίνει μια επέκταση του ισολογισμού της</w:t>
      </w:r>
      <w:r w:rsidRPr="004D79BB">
        <w:t xml:space="preserve"> </w:t>
      </w:r>
      <w:r>
        <w:rPr>
          <w:lang w:val="en-US"/>
        </w:rPr>
        <w:t>Citibank</w:t>
      </w:r>
      <w:r w:rsidRPr="00ED2D42">
        <w:t xml:space="preserve"> </w:t>
      </w:r>
      <w:r>
        <w:rPr>
          <w:lang w:val="en-US"/>
        </w:rPr>
        <w:t>NY</w:t>
      </w:r>
      <w:r>
        <w:t xml:space="preserve"> αλλά ακριβώς μια ισόποση συρρίκνωση του ισολογισμού της </w:t>
      </w:r>
      <w:r>
        <w:rPr>
          <w:lang w:val="en-US"/>
        </w:rPr>
        <w:t>Chase</w:t>
      </w:r>
      <w:r w:rsidRPr="009A742E">
        <w:t xml:space="preserve"> </w:t>
      </w:r>
      <w:r>
        <w:rPr>
          <w:lang w:val="en-US"/>
        </w:rPr>
        <w:t>NY</w:t>
      </w:r>
      <w:r>
        <w:t>. Πάντως έξω από τις</w:t>
      </w:r>
      <w:r w:rsidRPr="004D79BB">
        <w:t xml:space="preserve"> </w:t>
      </w:r>
      <w:r>
        <w:t xml:space="preserve">Η.Π.Α. έχει υπάρξει μια επέκταση του ισολογισμού της </w:t>
      </w:r>
      <w:r w:rsidR="006E0937">
        <w:rPr>
          <w:lang w:val="en-US"/>
        </w:rPr>
        <w:t>UBS</w:t>
      </w:r>
      <w:r>
        <w:t xml:space="preserve"> και όχι αντίστοιχη συρρίκνωση. Από μια παγκόσμια θεώρηση, έχει υπάρξει επέκταση της πίστης.</w:t>
      </w:r>
      <w:r w:rsidR="00627DC1">
        <w:t xml:space="preserve"> </w:t>
      </w:r>
      <w:r>
        <w:t xml:space="preserve"> Και αυτό είναι μόνο η αρχή. Αφού η </w:t>
      </w:r>
      <w:r w:rsidR="006E0937">
        <w:rPr>
          <w:lang w:val="en-US"/>
        </w:rPr>
        <w:t>UBS</w:t>
      </w:r>
      <w:r>
        <w:t xml:space="preserve"> έχει διαθέσιμα στη Νέα Υόρκη, μπορεί τώρα να προχωρήσει να ασκεί τραπεζική εργασία εκφρασμένη σε δολάρια, και να δανείζει και να λαμβάνει καταθέσεις, έξω από τη χώρα. </w:t>
      </w:r>
    </w:p>
    <w:p w:rsidR="009F7E1A" w:rsidRDefault="009F7E1A" w:rsidP="00627DC1">
      <w:pPr>
        <w:tabs>
          <w:tab w:val="num" w:pos="720"/>
          <w:tab w:val="num" w:pos="1080"/>
        </w:tabs>
        <w:spacing w:line="360" w:lineRule="auto"/>
        <w:ind w:firstLine="720"/>
        <w:jc w:val="both"/>
        <w:rPr>
          <w:rFonts w:cstheme="minorHAnsi"/>
        </w:rPr>
      </w:pPr>
      <w:r>
        <w:t xml:space="preserve">Αλλά η αγορά </w:t>
      </w:r>
      <w:r>
        <w:rPr>
          <w:rFonts w:cstheme="minorHAnsi"/>
        </w:rPr>
        <w:t>Ευρωδολαρίων είναι παραπάνω από ένα σύστημα πληρωμής σε δολάρια</w:t>
      </w:r>
      <w:r w:rsidR="00627DC1">
        <w:rPr>
          <w:rFonts w:cstheme="minorHAnsi"/>
        </w:rPr>
        <w:t xml:space="preserve"> χαρακτηρίζεται πολλές φορές ως </w:t>
      </w:r>
      <w:r>
        <w:rPr>
          <w:rFonts w:cstheme="minorHAnsi"/>
        </w:rPr>
        <w:t xml:space="preserve">η παγκόσμια αγορά </w:t>
      </w:r>
      <w:r w:rsidR="00627DC1">
        <w:rPr>
          <w:rFonts w:cstheme="minorHAnsi"/>
        </w:rPr>
        <w:t>χρήματος</w:t>
      </w:r>
      <w:r>
        <w:rPr>
          <w:rFonts w:cstheme="minorHAnsi"/>
        </w:rPr>
        <w:t xml:space="preserve">. Η εικόνα </w:t>
      </w:r>
      <w:r w:rsidR="006555C2">
        <w:rPr>
          <w:rFonts w:cstheme="minorHAnsi"/>
        </w:rPr>
        <w:t>που δημιουργείται είναι</w:t>
      </w:r>
      <w:r>
        <w:rPr>
          <w:rFonts w:cstheme="minorHAnsi"/>
        </w:rPr>
        <w:t xml:space="preserve"> οι ξένες τράπεζες να λαμβάνουν καταθέσεις και να δίνουν δάνεια, απαραίτητα και κύρια δρώντας ως </w:t>
      </w:r>
      <w:r w:rsidR="006555C2">
        <w:rPr>
          <w:rFonts w:cstheme="minorHAnsi"/>
        </w:rPr>
        <w:t>διαπραγματευτές χ</w:t>
      </w:r>
      <w:r>
        <w:rPr>
          <w:rFonts w:cstheme="minorHAnsi"/>
        </w:rPr>
        <w:t>ρήματος στην παγκόσμια αγορά δολαρίου</w:t>
      </w:r>
      <w:r w:rsidR="006555C2">
        <w:rPr>
          <w:rFonts w:cstheme="minorHAnsi"/>
        </w:rPr>
        <w:t xml:space="preserve"> όπως φαίνεται στον ακόλουθο πίνακα</w:t>
      </w:r>
      <w:r>
        <w:rPr>
          <w:rFonts w:cstheme="minorHAnsi"/>
        </w:rPr>
        <w:t>.</w:t>
      </w:r>
    </w:p>
    <w:p w:rsidR="006E0937" w:rsidRPr="00BB212E" w:rsidRDefault="009F7E1A" w:rsidP="009F7E1A">
      <w:pPr>
        <w:jc w:val="both"/>
        <w:rPr>
          <w:rFonts w:cstheme="minorHAnsi"/>
        </w:rPr>
      </w:pPr>
      <w:r>
        <w:rPr>
          <w:rFonts w:cstheme="minorHAnsi"/>
        </w:rPr>
        <w:t xml:space="preserve">           </w:t>
      </w:r>
    </w:p>
    <w:p w:rsidR="009F7E1A" w:rsidRDefault="006555C2" w:rsidP="006E0937">
      <w:pPr>
        <w:jc w:val="center"/>
        <w:rPr>
          <w:rFonts w:cstheme="minorHAnsi"/>
        </w:rPr>
      </w:pPr>
      <w:r w:rsidRPr="006555C2">
        <w:rPr>
          <w:rFonts w:cstheme="minorHAnsi"/>
          <w:b/>
        </w:rPr>
        <w:lastRenderedPageBreak/>
        <w:t xml:space="preserve">Πίνακας </w:t>
      </w:r>
      <w:r w:rsidR="00DC7EB8">
        <w:rPr>
          <w:rFonts w:cstheme="minorHAnsi"/>
          <w:b/>
        </w:rPr>
        <w:t>4.2</w:t>
      </w:r>
      <w:r w:rsidR="00613B48">
        <w:rPr>
          <w:rFonts w:cstheme="minorHAnsi"/>
          <w:b/>
        </w:rPr>
        <w:t>1</w:t>
      </w:r>
      <w:r w:rsidR="00DC7EB8">
        <w:rPr>
          <w:rFonts w:cstheme="minorHAnsi"/>
          <w:b/>
        </w:rPr>
        <w:t xml:space="preserve"> </w:t>
      </w:r>
      <w:r>
        <w:rPr>
          <w:rFonts w:cstheme="minorHAnsi"/>
        </w:rPr>
        <w:t>Οι διαπραγματευτές στην αγορά ευρωδολαρίων</w:t>
      </w:r>
    </w:p>
    <w:tbl>
      <w:tblPr>
        <w:tblStyle w:val="af3"/>
        <w:tblW w:w="0" w:type="auto"/>
        <w:tblLook w:val="04A0" w:firstRow="1" w:lastRow="0" w:firstColumn="1" w:lastColumn="0" w:noHBand="0" w:noVBand="1"/>
      </w:tblPr>
      <w:tblGrid>
        <w:gridCol w:w="1433"/>
        <w:gridCol w:w="1408"/>
        <w:gridCol w:w="1433"/>
        <w:gridCol w:w="1411"/>
        <w:gridCol w:w="1433"/>
        <w:gridCol w:w="1410"/>
      </w:tblGrid>
      <w:tr w:rsidR="006555C2" w:rsidRPr="006555C2" w:rsidTr="006555C2">
        <w:tc>
          <w:tcPr>
            <w:tcW w:w="2841" w:type="dxa"/>
            <w:gridSpan w:val="2"/>
            <w:shd w:val="clear" w:color="auto" w:fill="BFBFBF" w:themeFill="background1" w:themeFillShade="BF"/>
          </w:tcPr>
          <w:p w:rsidR="006555C2" w:rsidRPr="006555C2" w:rsidRDefault="006555C2" w:rsidP="006555C2">
            <w:pPr>
              <w:jc w:val="center"/>
              <w:rPr>
                <w:rFonts w:ascii="Times New Roman" w:hAnsi="Times New Roman"/>
                <w:b/>
                <w:sz w:val="20"/>
                <w:szCs w:val="20"/>
              </w:rPr>
            </w:pPr>
            <w:r w:rsidRPr="006555C2">
              <w:rPr>
                <w:rFonts w:ascii="Times New Roman" w:hAnsi="Times New Roman"/>
                <w:b/>
                <w:sz w:val="20"/>
                <w:szCs w:val="20"/>
              </w:rPr>
              <w:t>Δανειζόμενος</w:t>
            </w:r>
          </w:p>
        </w:tc>
        <w:tc>
          <w:tcPr>
            <w:tcW w:w="2844" w:type="dxa"/>
            <w:gridSpan w:val="2"/>
            <w:shd w:val="clear" w:color="auto" w:fill="BFBFBF" w:themeFill="background1" w:themeFillShade="BF"/>
          </w:tcPr>
          <w:p w:rsidR="006555C2" w:rsidRPr="006555C2" w:rsidRDefault="006555C2" w:rsidP="006555C2">
            <w:pPr>
              <w:jc w:val="center"/>
              <w:rPr>
                <w:rFonts w:ascii="Times New Roman" w:hAnsi="Times New Roman"/>
                <w:b/>
                <w:sz w:val="20"/>
                <w:szCs w:val="20"/>
              </w:rPr>
            </w:pPr>
            <w:r w:rsidRPr="006555C2">
              <w:rPr>
                <w:rFonts w:ascii="Times New Roman" w:hAnsi="Times New Roman"/>
                <w:b/>
                <w:sz w:val="20"/>
                <w:szCs w:val="20"/>
                <w:lang w:val="en-US"/>
              </w:rPr>
              <w:t>Dealer</w:t>
            </w:r>
            <w:r w:rsidRPr="006555C2">
              <w:rPr>
                <w:rFonts w:ascii="Times New Roman" w:hAnsi="Times New Roman"/>
                <w:b/>
                <w:sz w:val="20"/>
                <w:szCs w:val="20"/>
              </w:rPr>
              <w:t xml:space="preserve"> χρήματος</w:t>
            </w:r>
          </w:p>
        </w:tc>
        <w:tc>
          <w:tcPr>
            <w:tcW w:w="2843" w:type="dxa"/>
            <w:gridSpan w:val="2"/>
            <w:shd w:val="clear" w:color="auto" w:fill="BFBFBF" w:themeFill="background1" w:themeFillShade="BF"/>
          </w:tcPr>
          <w:p w:rsidR="006555C2" w:rsidRPr="006555C2" w:rsidRDefault="006555C2" w:rsidP="006555C2">
            <w:pPr>
              <w:jc w:val="center"/>
              <w:rPr>
                <w:rFonts w:ascii="Times New Roman" w:hAnsi="Times New Roman"/>
                <w:b/>
                <w:sz w:val="20"/>
                <w:szCs w:val="20"/>
              </w:rPr>
            </w:pPr>
            <w:r w:rsidRPr="006555C2">
              <w:rPr>
                <w:rFonts w:ascii="Times New Roman" w:hAnsi="Times New Roman"/>
                <w:b/>
                <w:sz w:val="20"/>
                <w:szCs w:val="20"/>
              </w:rPr>
              <w:t>Καταθέτης -Δανειστής</w:t>
            </w:r>
          </w:p>
        </w:tc>
      </w:tr>
      <w:tr w:rsidR="009F7E1A" w:rsidRPr="00134D65" w:rsidTr="006555C2">
        <w:tc>
          <w:tcPr>
            <w:tcW w:w="1433"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Στοιχεία Ενεργητικού</w:t>
            </w:r>
          </w:p>
        </w:tc>
        <w:tc>
          <w:tcPr>
            <w:tcW w:w="1408"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Παθητικό</w:t>
            </w:r>
          </w:p>
        </w:tc>
        <w:tc>
          <w:tcPr>
            <w:tcW w:w="1433"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Στοιχεία Ενεργητικού</w:t>
            </w:r>
          </w:p>
        </w:tc>
        <w:tc>
          <w:tcPr>
            <w:tcW w:w="1411"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Παθητικό</w:t>
            </w:r>
          </w:p>
        </w:tc>
        <w:tc>
          <w:tcPr>
            <w:tcW w:w="1433"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Στοιχεία Ενεργητικού</w:t>
            </w:r>
          </w:p>
        </w:tc>
        <w:tc>
          <w:tcPr>
            <w:tcW w:w="1410" w:type="dxa"/>
          </w:tcPr>
          <w:p w:rsidR="009F7E1A" w:rsidRPr="00134D65" w:rsidRDefault="009F7E1A" w:rsidP="006555C2">
            <w:pPr>
              <w:jc w:val="center"/>
              <w:rPr>
                <w:rFonts w:ascii="Times New Roman" w:hAnsi="Times New Roman"/>
                <w:b/>
                <w:sz w:val="20"/>
                <w:szCs w:val="20"/>
              </w:rPr>
            </w:pPr>
            <w:r w:rsidRPr="00134D65">
              <w:rPr>
                <w:rFonts w:ascii="Times New Roman" w:hAnsi="Times New Roman"/>
                <w:b/>
                <w:sz w:val="20"/>
                <w:szCs w:val="20"/>
              </w:rPr>
              <w:t>Παθητικό</w:t>
            </w:r>
          </w:p>
        </w:tc>
      </w:tr>
      <w:tr w:rsidR="009F7E1A" w:rsidRPr="006555C2" w:rsidTr="006555C2">
        <w:tc>
          <w:tcPr>
            <w:tcW w:w="1433" w:type="dxa"/>
          </w:tcPr>
          <w:p w:rsidR="009F7E1A" w:rsidRPr="006555C2" w:rsidRDefault="009F7E1A" w:rsidP="00134D65">
            <w:pPr>
              <w:rPr>
                <w:rFonts w:ascii="Times New Roman" w:hAnsi="Times New Roman"/>
                <w:sz w:val="20"/>
                <w:szCs w:val="20"/>
              </w:rPr>
            </w:pPr>
          </w:p>
        </w:tc>
        <w:tc>
          <w:tcPr>
            <w:tcW w:w="1408"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Δάνειο σε δολάρια</w:t>
            </w:r>
          </w:p>
        </w:tc>
        <w:tc>
          <w:tcPr>
            <w:tcW w:w="1433"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Δάνειο σε δολάρια</w:t>
            </w:r>
          </w:p>
        </w:tc>
        <w:tc>
          <w:tcPr>
            <w:tcW w:w="1411"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Κατάθεση σε δολάρια</w:t>
            </w:r>
          </w:p>
        </w:tc>
        <w:tc>
          <w:tcPr>
            <w:tcW w:w="1433"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Κατάθεση σε δολάρια</w:t>
            </w:r>
          </w:p>
        </w:tc>
        <w:tc>
          <w:tcPr>
            <w:tcW w:w="1410" w:type="dxa"/>
          </w:tcPr>
          <w:p w:rsidR="009F7E1A" w:rsidRPr="006555C2" w:rsidRDefault="009F7E1A" w:rsidP="00134D65">
            <w:pPr>
              <w:rPr>
                <w:rFonts w:ascii="Times New Roman" w:hAnsi="Times New Roman"/>
                <w:sz w:val="20"/>
                <w:szCs w:val="20"/>
              </w:rPr>
            </w:pPr>
          </w:p>
        </w:tc>
      </w:tr>
    </w:tbl>
    <w:p w:rsidR="006555C2" w:rsidRDefault="006555C2" w:rsidP="006555C2">
      <w:pPr>
        <w:tabs>
          <w:tab w:val="num" w:pos="720"/>
          <w:tab w:val="num" w:pos="1080"/>
        </w:tabs>
        <w:spacing w:line="360" w:lineRule="auto"/>
        <w:jc w:val="both"/>
        <w:rPr>
          <w:rFonts w:cstheme="minorHAnsi"/>
        </w:rPr>
      </w:pPr>
      <w:r>
        <w:rPr>
          <w:rFonts w:cstheme="minorHAnsi"/>
        </w:rPr>
        <w:tab/>
      </w:r>
    </w:p>
    <w:p w:rsidR="009F7E1A" w:rsidRPr="006555C2" w:rsidRDefault="006555C2" w:rsidP="006555C2">
      <w:pPr>
        <w:tabs>
          <w:tab w:val="num" w:pos="720"/>
          <w:tab w:val="num" w:pos="1080"/>
        </w:tabs>
        <w:spacing w:line="360" w:lineRule="auto"/>
        <w:jc w:val="both"/>
        <w:rPr>
          <w:rFonts w:cstheme="minorHAnsi"/>
          <w:b/>
        </w:rPr>
      </w:pPr>
      <w:r>
        <w:rPr>
          <w:rFonts w:cstheme="minorHAnsi"/>
        </w:rPr>
        <w:tab/>
      </w:r>
      <w:r w:rsidR="009F7E1A">
        <w:rPr>
          <w:rFonts w:cstheme="minorHAnsi"/>
        </w:rPr>
        <w:t xml:space="preserve"> Ο θεμελιώδης λόγος ύπαρξης της </w:t>
      </w:r>
      <w:r w:rsidR="009F7E1A">
        <w:t xml:space="preserve">αγοράς </w:t>
      </w:r>
      <w:r w:rsidR="009F7E1A">
        <w:rPr>
          <w:rFonts w:cstheme="minorHAnsi"/>
        </w:rPr>
        <w:t xml:space="preserve">Ευρωδολαρίων φαίνεται να είναι ότι οι ξένες τράπεζες έχουν πελάτες που θέλουν να κρατούν </w:t>
      </w:r>
      <w:r>
        <w:rPr>
          <w:rFonts w:cstheme="minorHAnsi"/>
        </w:rPr>
        <w:t>καταθέσεις</w:t>
      </w:r>
      <w:r w:rsidR="009F7E1A">
        <w:rPr>
          <w:rFonts w:cstheme="minorHAnsi"/>
        </w:rPr>
        <w:t xml:space="preserve"> σε δολάρια ή να δανείζονται σε δολάρια από αυτές. Αυτή η ζήτηση που καθοδηγείται από τους πελάτες ωθεί κάποιες από τις τράπεζες να έχουν μια φυσική πλεονασματική θέση (περισσότερες καταθέσεις σε δολάρια παρά δάνεια σε δολάρια) και άλλες τράπεζες να έχουν μια φυσική ελλειμματική θέση (περισσότερα δάνεια σε δολάρια παρά καταθέσεις). Θα μπορούσε η κάθε πλευρά να επιλύσει αυτή την ανισορροπία συναλλασσόμενη με κάποια τράπεζα των Η.Π.Α., αλλά φαίνεται γενικότερα ευκολότερο για αυτές να συναλλάσσονται μεταξύ τους, με τις πλεονασματικές τράπεζες να δανείζουν στις ελλειμματικές τράπεζες. Αυτό είναι που συμβαίνει στη διατραπεζική αγορά</w:t>
      </w:r>
      <w:r>
        <w:rPr>
          <w:rFonts w:cstheme="minorHAnsi"/>
        </w:rPr>
        <w:t xml:space="preserve"> του Λονδίνου</w:t>
      </w:r>
      <w:r w:rsidR="009F7E1A">
        <w:rPr>
          <w:rFonts w:cstheme="minorHAnsi"/>
        </w:rPr>
        <w:t xml:space="preserve"> και το </w:t>
      </w:r>
      <w:r>
        <w:rPr>
          <w:rFonts w:cstheme="minorHAnsi"/>
        </w:rPr>
        <w:t>επιτόκιο της διατραπεζικής προσφοράς δολαρίων του Λονδίνου</w:t>
      </w:r>
      <w:r w:rsidRPr="006555C2">
        <w:rPr>
          <w:rFonts w:cstheme="minorHAnsi"/>
        </w:rPr>
        <w:t xml:space="preserve"> </w:t>
      </w:r>
      <w:r>
        <w:rPr>
          <w:rFonts w:cstheme="minorHAnsi"/>
        </w:rPr>
        <w:t>(</w:t>
      </w:r>
      <w:r w:rsidR="009F7E1A">
        <w:rPr>
          <w:rFonts w:cstheme="minorHAnsi"/>
          <w:lang w:val="en-US"/>
        </w:rPr>
        <w:t>LIBOR</w:t>
      </w:r>
      <w:r>
        <w:rPr>
          <w:rFonts w:cstheme="minorHAnsi"/>
        </w:rPr>
        <w:t xml:space="preserve"> σε δολάρια</w:t>
      </w:r>
      <w:r w:rsidR="009F7E1A">
        <w:rPr>
          <w:rFonts w:cstheme="minorHAnsi"/>
        </w:rPr>
        <w:t>), είναι το επιτόκιο που χρεώνεται σε αυτή την αγορά. Επομένως</w:t>
      </w:r>
      <w:r w:rsidR="009F7E1A" w:rsidRPr="006C524A">
        <w:rPr>
          <w:rFonts w:cstheme="minorHAnsi"/>
        </w:rPr>
        <w:t>:</w:t>
      </w:r>
    </w:p>
    <w:p w:rsidR="009F7E1A" w:rsidRDefault="009F7E1A" w:rsidP="009F7E1A">
      <w:pPr>
        <w:jc w:val="both"/>
        <w:rPr>
          <w:rFonts w:cstheme="minorHAnsi"/>
        </w:rPr>
      </w:pPr>
      <w:r w:rsidRPr="006C524A">
        <w:rPr>
          <w:rFonts w:cstheme="minorHAnsi"/>
        </w:rPr>
        <w:t xml:space="preserve">     </w:t>
      </w:r>
    </w:p>
    <w:p w:rsidR="009F7E1A" w:rsidRDefault="009F7E1A" w:rsidP="009F7E1A">
      <w:pPr>
        <w:jc w:val="both"/>
        <w:rPr>
          <w:rFonts w:cstheme="minorHAnsi"/>
        </w:rPr>
      </w:pPr>
    </w:p>
    <w:p w:rsidR="009F7E1A" w:rsidRDefault="006555C2" w:rsidP="009F7E1A">
      <w:pPr>
        <w:jc w:val="both"/>
      </w:pPr>
      <w:r w:rsidRPr="00DC7EB8">
        <w:rPr>
          <w:rFonts w:cstheme="minorHAnsi"/>
          <w:b/>
        </w:rPr>
        <w:t>Πίνακας</w:t>
      </w:r>
      <w:r w:rsidR="00DC7EB8" w:rsidRPr="00DC7EB8">
        <w:rPr>
          <w:rFonts w:cstheme="minorHAnsi"/>
          <w:b/>
        </w:rPr>
        <w:t xml:space="preserve"> 4.2</w:t>
      </w:r>
      <w:r w:rsidR="00613B48">
        <w:rPr>
          <w:rFonts w:cstheme="minorHAnsi"/>
          <w:b/>
        </w:rPr>
        <w:t>2</w:t>
      </w:r>
      <w:r w:rsidR="003F037E">
        <w:rPr>
          <w:rFonts w:cstheme="minorHAnsi"/>
          <w:b/>
        </w:rPr>
        <w:t xml:space="preserve"> </w:t>
      </w:r>
      <w:r w:rsidR="00DC7EB8">
        <w:rPr>
          <w:rFonts w:cstheme="minorHAnsi"/>
        </w:rPr>
        <w:t>Παράδειγμα συναλλαγής</w:t>
      </w:r>
      <w:r w:rsidR="00D8701A">
        <w:rPr>
          <w:rFonts w:cstheme="minorHAnsi"/>
        </w:rPr>
        <w:t xml:space="preserve"> ελλειμματικής με πλεονασματική τράπεζα</w:t>
      </w:r>
      <w:r w:rsidR="009F7E1A">
        <w:rPr>
          <w:rFonts w:cstheme="minorHAnsi"/>
        </w:rPr>
        <w:t xml:space="preserve">         </w:t>
      </w:r>
    </w:p>
    <w:tbl>
      <w:tblPr>
        <w:tblStyle w:val="af3"/>
        <w:tblW w:w="8706" w:type="dxa"/>
        <w:tblInd w:w="-318" w:type="dxa"/>
        <w:tblLook w:val="04A0" w:firstRow="1" w:lastRow="0" w:firstColumn="1" w:lastColumn="0" w:noHBand="0" w:noVBand="1"/>
      </w:tblPr>
      <w:tblGrid>
        <w:gridCol w:w="1995"/>
        <w:gridCol w:w="1775"/>
        <w:gridCol w:w="1246"/>
        <w:gridCol w:w="1890"/>
        <w:gridCol w:w="1800"/>
      </w:tblGrid>
      <w:tr w:rsidR="006555C2" w:rsidRPr="006555C2" w:rsidTr="006555C2">
        <w:tc>
          <w:tcPr>
            <w:tcW w:w="3770" w:type="dxa"/>
            <w:gridSpan w:val="2"/>
            <w:shd w:val="clear" w:color="auto" w:fill="BFBFBF" w:themeFill="background1" w:themeFillShade="BF"/>
          </w:tcPr>
          <w:p w:rsidR="006555C2" w:rsidRPr="006555C2" w:rsidRDefault="006555C2" w:rsidP="009F7E1A">
            <w:pPr>
              <w:jc w:val="center"/>
              <w:rPr>
                <w:rFonts w:ascii="Times New Roman" w:hAnsi="Times New Roman"/>
                <w:b/>
                <w:sz w:val="20"/>
                <w:szCs w:val="20"/>
              </w:rPr>
            </w:pPr>
            <w:r w:rsidRPr="006555C2">
              <w:rPr>
                <w:rFonts w:ascii="Times New Roman" w:hAnsi="Times New Roman"/>
                <w:b/>
                <w:sz w:val="20"/>
                <w:szCs w:val="20"/>
              </w:rPr>
              <w:t>Ελλειμματική</w:t>
            </w:r>
            <w:r w:rsidR="00D8701A">
              <w:rPr>
                <w:rFonts w:ascii="Times New Roman" w:hAnsi="Times New Roman"/>
                <w:b/>
                <w:sz w:val="20"/>
                <w:szCs w:val="20"/>
              </w:rPr>
              <w:t xml:space="preserve"> </w:t>
            </w:r>
            <w:r w:rsidRPr="006555C2">
              <w:rPr>
                <w:rFonts w:ascii="Times New Roman" w:hAnsi="Times New Roman"/>
                <w:b/>
                <w:sz w:val="20"/>
                <w:szCs w:val="20"/>
              </w:rPr>
              <w:t xml:space="preserve">Τράπεζα </w:t>
            </w:r>
            <w:r w:rsidRPr="006555C2">
              <w:rPr>
                <w:rFonts w:ascii="Times New Roman" w:hAnsi="Times New Roman"/>
                <w:b/>
                <w:sz w:val="20"/>
                <w:szCs w:val="20"/>
                <w:lang w:val="en-US"/>
              </w:rPr>
              <w:t>Citibank</w:t>
            </w:r>
            <w:r w:rsidRPr="00D8701A">
              <w:rPr>
                <w:rFonts w:ascii="Times New Roman" w:hAnsi="Times New Roman"/>
                <w:b/>
                <w:sz w:val="20"/>
                <w:szCs w:val="20"/>
              </w:rPr>
              <w:t xml:space="preserve"> </w:t>
            </w:r>
            <w:r w:rsidRPr="006555C2">
              <w:rPr>
                <w:rFonts w:ascii="Times New Roman" w:hAnsi="Times New Roman"/>
                <w:b/>
                <w:sz w:val="20"/>
                <w:szCs w:val="20"/>
                <w:lang w:val="en-US"/>
              </w:rPr>
              <w:t>London</w:t>
            </w:r>
            <w:r w:rsidRPr="006555C2">
              <w:rPr>
                <w:rFonts w:ascii="Times New Roman" w:hAnsi="Times New Roman"/>
                <w:b/>
                <w:sz w:val="20"/>
                <w:szCs w:val="20"/>
              </w:rPr>
              <w:t xml:space="preserve">                                                                   </w:t>
            </w:r>
          </w:p>
        </w:tc>
        <w:tc>
          <w:tcPr>
            <w:tcW w:w="1246" w:type="dxa"/>
            <w:shd w:val="clear" w:color="auto" w:fill="BFBFBF" w:themeFill="background1" w:themeFillShade="BF"/>
          </w:tcPr>
          <w:p w:rsidR="006555C2" w:rsidRPr="006555C2" w:rsidRDefault="006555C2" w:rsidP="009F7E1A">
            <w:pPr>
              <w:jc w:val="center"/>
              <w:rPr>
                <w:rFonts w:ascii="Times New Roman" w:hAnsi="Times New Roman"/>
                <w:b/>
                <w:sz w:val="20"/>
                <w:szCs w:val="20"/>
              </w:rPr>
            </w:pPr>
          </w:p>
        </w:tc>
        <w:tc>
          <w:tcPr>
            <w:tcW w:w="3690" w:type="dxa"/>
            <w:gridSpan w:val="2"/>
            <w:shd w:val="clear" w:color="auto" w:fill="BFBFBF" w:themeFill="background1" w:themeFillShade="BF"/>
          </w:tcPr>
          <w:p w:rsidR="006555C2" w:rsidRPr="006555C2" w:rsidRDefault="006555C2" w:rsidP="006E0937">
            <w:pPr>
              <w:jc w:val="center"/>
              <w:rPr>
                <w:rFonts w:ascii="Times New Roman" w:hAnsi="Times New Roman"/>
                <w:b/>
                <w:sz w:val="20"/>
                <w:szCs w:val="20"/>
              </w:rPr>
            </w:pPr>
            <w:r w:rsidRPr="006555C2">
              <w:rPr>
                <w:rFonts w:ascii="Times New Roman" w:hAnsi="Times New Roman"/>
                <w:b/>
                <w:sz w:val="20"/>
                <w:szCs w:val="20"/>
              </w:rPr>
              <w:t xml:space="preserve">Πλεονασματική Τράπεζα </w:t>
            </w:r>
            <w:r w:rsidR="006E0937">
              <w:rPr>
                <w:rFonts w:ascii="Times New Roman" w:hAnsi="Times New Roman"/>
                <w:b/>
                <w:sz w:val="20"/>
                <w:szCs w:val="20"/>
                <w:lang w:val="en-US"/>
              </w:rPr>
              <w:t>UBS</w:t>
            </w:r>
          </w:p>
        </w:tc>
      </w:tr>
      <w:tr w:rsidR="009F7E1A" w:rsidRPr="00134D65" w:rsidTr="006555C2">
        <w:tc>
          <w:tcPr>
            <w:tcW w:w="1995" w:type="dxa"/>
          </w:tcPr>
          <w:p w:rsidR="009F7E1A" w:rsidRPr="00134D65" w:rsidRDefault="009F7E1A" w:rsidP="009F7E1A">
            <w:pPr>
              <w:jc w:val="center"/>
              <w:rPr>
                <w:rFonts w:ascii="Times New Roman" w:hAnsi="Times New Roman"/>
                <w:b/>
                <w:sz w:val="20"/>
                <w:szCs w:val="20"/>
              </w:rPr>
            </w:pPr>
            <w:r w:rsidRPr="00134D65">
              <w:rPr>
                <w:rFonts w:ascii="Times New Roman" w:hAnsi="Times New Roman"/>
                <w:b/>
                <w:sz w:val="20"/>
                <w:szCs w:val="20"/>
              </w:rPr>
              <w:t>Στοιχεία Ενεργητικού</w:t>
            </w:r>
          </w:p>
        </w:tc>
        <w:tc>
          <w:tcPr>
            <w:tcW w:w="1775" w:type="dxa"/>
          </w:tcPr>
          <w:p w:rsidR="009F7E1A" w:rsidRPr="00134D65" w:rsidRDefault="009F7E1A" w:rsidP="009F7E1A">
            <w:pPr>
              <w:jc w:val="center"/>
              <w:rPr>
                <w:rFonts w:ascii="Times New Roman" w:hAnsi="Times New Roman"/>
                <w:b/>
                <w:sz w:val="20"/>
                <w:szCs w:val="20"/>
              </w:rPr>
            </w:pPr>
            <w:r w:rsidRPr="00134D65">
              <w:rPr>
                <w:rFonts w:ascii="Times New Roman" w:hAnsi="Times New Roman"/>
                <w:b/>
                <w:sz w:val="20"/>
                <w:szCs w:val="20"/>
              </w:rPr>
              <w:t>Παθητικό</w:t>
            </w:r>
          </w:p>
        </w:tc>
        <w:tc>
          <w:tcPr>
            <w:tcW w:w="1246" w:type="dxa"/>
          </w:tcPr>
          <w:p w:rsidR="009F7E1A" w:rsidRPr="00134D65" w:rsidRDefault="009F7E1A" w:rsidP="009F7E1A">
            <w:pPr>
              <w:jc w:val="center"/>
              <w:rPr>
                <w:rFonts w:ascii="Times New Roman" w:hAnsi="Times New Roman"/>
                <w:b/>
                <w:sz w:val="20"/>
                <w:szCs w:val="20"/>
              </w:rPr>
            </w:pPr>
          </w:p>
        </w:tc>
        <w:tc>
          <w:tcPr>
            <w:tcW w:w="1890" w:type="dxa"/>
          </w:tcPr>
          <w:p w:rsidR="009F7E1A" w:rsidRPr="00134D65" w:rsidRDefault="009F7E1A" w:rsidP="009F7E1A">
            <w:pPr>
              <w:jc w:val="center"/>
              <w:rPr>
                <w:rFonts w:ascii="Times New Roman" w:hAnsi="Times New Roman"/>
                <w:b/>
                <w:sz w:val="20"/>
                <w:szCs w:val="20"/>
              </w:rPr>
            </w:pPr>
            <w:r w:rsidRPr="00134D65">
              <w:rPr>
                <w:rFonts w:ascii="Times New Roman" w:hAnsi="Times New Roman"/>
                <w:b/>
                <w:sz w:val="20"/>
                <w:szCs w:val="20"/>
              </w:rPr>
              <w:t>Στοιχεία Ενεργητικού</w:t>
            </w:r>
          </w:p>
        </w:tc>
        <w:tc>
          <w:tcPr>
            <w:tcW w:w="1800" w:type="dxa"/>
          </w:tcPr>
          <w:p w:rsidR="009F7E1A" w:rsidRPr="00134D65" w:rsidRDefault="009F7E1A" w:rsidP="009F7E1A">
            <w:pPr>
              <w:jc w:val="center"/>
              <w:rPr>
                <w:rFonts w:ascii="Times New Roman" w:hAnsi="Times New Roman"/>
                <w:b/>
                <w:sz w:val="20"/>
                <w:szCs w:val="20"/>
              </w:rPr>
            </w:pPr>
            <w:r w:rsidRPr="00134D65">
              <w:rPr>
                <w:rFonts w:ascii="Times New Roman" w:hAnsi="Times New Roman"/>
                <w:b/>
                <w:sz w:val="20"/>
                <w:szCs w:val="20"/>
              </w:rPr>
              <w:t>Παθητικό</w:t>
            </w:r>
          </w:p>
        </w:tc>
      </w:tr>
      <w:tr w:rsidR="009F7E1A" w:rsidRPr="006555C2" w:rsidTr="006555C2">
        <w:tc>
          <w:tcPr>
            <w:tcW w:w="1995"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 xml:space="preserve">Δάνεια πελατών σε </w:t>
            </w:r>
            <w:proofErr w:type="spellStart"/>
            <w:r w:rsidRPr="006555C2">
              <w:rPr>
                <w:rFonts w:ascii="Times New Roman" w:hAnsi="Times New Roman"/>
                <w:sz w:val="20"/>
                <w:szCs w:val="20"/>
              </w:rPr>
              <w:t>αμερικ</w:t>
            </w:r>
            <w:proofErr w:type="spellEnd"/>
            <w:r w:rsidRPr="006555C2">
              <w:rPr>
                <w:rFonts w:ascii="Times New Roman" w:hAnsi="Times New Roman"/>
                <w:sz w:val="20"/>
                <w:szCs w:val="20"/>
              </w:rPr>
              <w:t>. δολάρια</w:t>
            </w:r>
          </w:p>
        </w:tc>
        <w:tc>
          <w:tcPr>
            <w:tcW w:w="1775" w:type="dxa"/>
          </w:tcPr>
          <w:p w:rsidR="009F7E1A" w:rsidRPr="006555C2" w:rsidRDefault="009F7E1A" w:rsidP="006E0937">
            <w:pPr>
              <w:rPr>
                <w:rFonts w:ascii="Times New Roman" w:hAnsi="Times New Roman"/>
                <w:sz w:val="20"/>
                <w:szCs w:val="20"/>
              </w:rPr>
            </w:pPr>
            <w:r w:rsidRPr="006555C2">
              <w:rPr>
                <w:rFonts w:ascii="Times New Roman" w:hAnsi="Times New Roman"/>
                <w:sz w:val="20"/>
                <w:szCs w:val="20"/>
              </w:rPr>
              <w:t xml:space="preserve">Κατάθεση Ευρωδολαρίων, </w:t>
            </w:r>
            <w:r w:rsidR="006E0937">
              <w:rPr>
                <w:rFonts w:ascii="Times New Roman" w:hAnsi="Times New Roman"/>
                <w:sz w:val="20"/>
                <w:szCs w:val="20"/>
                <w:lang w:val="en-US"/>
              </w:rPr>
              <w:t>UBS</w:t>
            </w:r>
          </w:p>
        </w:tc>
        <w:tc>
          <w:tcPr>
            <w:tcW w:w="1246" w:type="dxa"/>
          </w:tcPr>
          <w:p w:rsidR="009F7E1A" w:rsidRPr="006555C2" w:rsidRDefault="009F7E1A" w:rsidP="00134D65">
            <w:pPr>
              <w:rPr>
                <w:rFonts w:ascii="Times New Roman" w:hAnsi="Times New Roman"/>
                <w:sz w:val="20"/>
                <w:szCs w:val="20"/>
              </w:rPr>
            </w:pPr>
          </w:p>
        </w:tc>
        <w:tc>
          <w:tcPr>
            <w:tcW w:w="1890"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 xml:space="preserve">Κατάθεση Ευρωδολαρίων, </w:t>
            </w:r>
            <w:r w:rsidRPr="006555C2">
              <w:rPr>
                <w:rFonts w:ascii="Times New Roman" w:hAnsi="Times New Roman"/>
                <w:sz w:val="20"/>
                <w:szCs w:val="20"/>
                <w:lang w:val="en-US"/>
              </w:rPr>
              <w:t>Citibank</w:t>
            </w:r>
            <w:r w:rsidRPr="006555C2">
              <w:rPr>
                <w:rFonts w:ascii="Times New Roman" w:hAnsi="Times New Roman"/>
                <w:sz w:val="20"/>
                <w:szCs w:val="20"/>
              </w:rPr>
              <w:t xml:space="preserve"> </w:t>
            </w:r>
            <w:r w:rsidRPr="006555C2">
              <w:rPr>
                <w:rFonts w:ascii="Times New Roman" w:hAnsi="Times New Roman"/>
                <w:sz w:val="20"/>
                <w:szCs w:val="20"/>
                <w:lang w:val="en-US"/>
              </w:rPr>
              <w:t>London</w:t>
            </w:r>
          </w:p>
        </w:tc>
        <w:tc>
          <w:tcPr>
            <w:tcW w:w="1800" w:type="dxa"/>
          </w:tcPr>
          <w:p w:rsidR="009F7E1A" w:rsidRPr="006555C2" w:rsidRDefault="009F7E1A" w:rsidP="00134D65">
            <w:pPr>
              <w:rPr>
                <w:rFonts w:ascii="Times New Roman" w:hAnsi="Times New Roman"/>
                <w:sz w:val="20"/>
                <w:szCs w:val="20"/>
              </w:rPr>
            </w:pPr>
            <w:r w:rsidRPr="006555C2">
              <w:rPr>
                <w:rFonts w:ascii="Times New Roman" w:hAnsi="Times New Roman"/>
                <w:sz w:val="20"/>
                <w:szCs w:val="20"/>
              </w:rPr>
              <w:t xml:space="preserve">Δάνεια πελατών σε </w:t>
            </w:r>
            <w:proofErr w:type="spellStart"/>
            <w:r w:rsidRPr="006555C2">
              <w:rPr>
                <w:rFonts w:ascii="Times New Roman" w:hAnsi="Times New Roman"/>
                <w:sz w:val="20"/>
                <w:szCs w:val="20"/>
              </w:rPr>
              <w:t>αμερικ</w:t>
            </w:r>
            <w:proofErr w:type="spellEnd"/>
            <w:r w:rsidRPr="006555C2">
              <w:rPr>
                <w:rFonts w:ascii="Times New Roman" w:hAnsi="Times New Roman"/>
                <w:sz w:val="20"/>
                <w:szCs w:val="20"/>
              </w:rPr>
              <w:t>. δολάρια</w:t>
            </w:r>
          </w:p>
        </w:tc>
      </w:tr>
    </w:tbl>
    <w:p w:rsidR="009F7E1A" w:rsidRPr="000F3351" w:rsidRDefault="009F7E1A" w:rsidP="009F7E1A">
      <w:pPr>
        <w:jc w:val="both"/>
        <w:rPr>
          <w:rFonts w:cstheme="minorHAnsi"/>
        </w:rPr>
      </w:pPr>
    </w:p>
    <w:p w:rsidR="00863A48" w:rsidRDefault="00863A48" w:rsidP="00863A48">
      <w:pPr>
        <w:tabs>
          <w:tab w:val="num" w:pos="720"/>
          <w:tab w:val="num" w:pos="1080"/>
        </w:tabs>
        <w:spacing w:line="360" w:lineRule="auto"/>
        <w:jc w:val="both"/>
      </w:pPr>
      <w:r>
        <w:rPr>
          <w:rFonts w:cstheme="minorHAnsi"/>
        </w:rPr>
        <w:tab/>
      </w:r>
      <w:r w:rsidR="009F7E1A">
        <w:rPr>
          <w:rFonts w:cstheme="minorHAnsi"/>
        </w:rPr>
        <w:t>Και</w:t>
      </w:r>
      <w:r w:rsidR="009F7E1A" w:rsidRPr="003579B9">
        <w:rPr>
          <w:rFonts w:cstheme="minorHAnsi"/>
        </w:rPr>
        <w:t xml:space="preserve"> </w:t>
      </w:r>
      <w:r w:rsidR="009F7E1A">
        <w:rPr>
          <w:rFonts w:cstheme="minorHAnsi"/>
        </w:rPr>
        <w:t>η</w:t>
      </w:r>
      <w:r w:rsidR="009F7E1A" w:rsidRPr="003579B9">
        <w:t xml:space="preserve"> </w:t>
      </w:r>
      <w:proofErr w:type="spellStart"/>
      <w:r w:rsidR="009F7E1A" w:rsidRPr="00863A48">
        <w:rPr>
          <w:rFonts w:cstheme="minorHAnsi"/>
        </w:rPr>
        <w:t>Citibank</w:t>
      </w:r>
      <w:proofErr w:type="spellEnd"/>
      <w:r w:rsidR="009F7E1A" w:rsidRPr="003579B9">
        <w:t xml:space="preserve"> </w:t>
      </w:r>
      <w:r w:rsidR="009F7E1A">
        <w:t>και</w:t>
      </w:r>
      <w:r w:rsidR="009F7E1A" w:rsidRPr="003579B9">
        <w:t xml:space="preserve"> </w:t>
      </w:r>
      <w:r w:rsidR="009F7E1A">
        <w:t>η</w:t>
      </w:r>
      <w:r w:rsidR="009F7E1A" w:rsidRPr="003579B9">
        <w:t xml:space="preserve"> </w:t>
      </w:r>
      <w:r w:rsidR="006E0937">
        <w:rPr>
          <w:lang w:val="en-US"/>
        </w:rPr>
        <w:t>UBS</w:t>
      </w:r>
      <w:r w:rsidR="009F7E1A" w:rsidRPr="003579B9">
        <w:t xml:space="preserve"> </w:t>
      </w:r>
      <w:r w:rsidR="009F7E1A">
        <w:t>ψάχνουν</w:t>
      </w:r>
      <w:r w:rsidR="009F7E1A" w:rsidRPr="003579B9">
        <w:t xml:space="preserve"> </w:t>
      </w:r>
      <w:r>
        <w:t>«</w:t>
      </w:r>
      <w:r w:rsidR="006E0937">
        <w:t>ταιριασμένο</w:t>
      </w:r>
      <w:r w:rsidR="009F7E1A" w:rsidRPr="003579B9">
        <w:t xml:space="preserve"> </w:t>
      </w:r>
      <w:r>
        <w:t>βιβλίο» (</w:t>
      </w:r>
      <w:r>
        <w:rPr>
          <w:lang w:val="en-US"/>
        </w:rPr>
        <w:t>matched</w:t>
      </w:r>
      <w:r w:rsidRPr="00863A48">
        <w:t xml:space="preserve"> </w:t>
      </w:r>
      <w:r>
        <w:rPr>
          <w:lang w:val="en-US"/>
        </w:rPr>
        <w:t>book</w:t>
      </w:r>
      <w:r>
        <w:t>)</w:t>
      </w:r>
      <w:r w:rsidR="009F7E1A">
        <w:t xml:space="preserve">, το οποίο σημαίνει ότι το παθητικό τους σε δολάρια </w:t>
      </w:r>
      <w:r>
        <w:t xml:space="preserve">να </w:t>
      </w:r>
      <w:r w:rsidR="009F7E1A">
        <w:t xml:space="preserve">είναι το ίδιο με το ενεργητικό τους σε δολάρια, καθώς αυτό τους προστατεύει από οποιαδήποτε μεταβολή στην αξία του δολαρίου. Επειδή οι φυσικές πελατειακές θέσεις </w:t>
      </w:r>
      <w:r>
        <w:t>τους στο παράδειγμα</w:t>
      </w:r>
      <w:r w:rsidR="009F7E1A">
        <w:t xml:space="preserve"> αντισταθμίζονται, μπορούν να επιτύχουν συμφωνημένο βιβλίο, συναλλασσόμενες μεταξύ τους στη διατραπεζική αγορά. Αυτό είναι ένα μη ασφαλισμένο </w:t>
      </w:r>
      <w:proofErr w:type="spellStart"/>
      <w:r>
        <w:t>δανείζεσθαι</w:t>
      </w:r>
      <w:proofErr w:type="spellEnd"/>
      <w:r>
        <w:t xml:space="preserve"> και όπως και στην αγορά δ</w:t>
      </w:r>
      <w:r w:rsidR="009F7E1A">
        <w:t xml:space="preserve">ιαθεσίμων της κεντρικής τράπεζας των Η.Π.Α. οι τράπεζες ελέγχουν τον κίνδυνο του αντισυμβαλλόμενου ελέγχοντας τα πιστωτικά όρια τους η μία της άλλης. </w:t>
      </w:r>
    </w:p>
    <w:p w:rsidR="009F7E1A" w:rsidRDefault="00863A48" w:rsidP="00863A48">
      <w:pPr>
        <w:tabs>
          <w:tab w:val="num" w:pos="720"/>
          <w:tab w:val="num" w:pos="1080"/>
        </w:tabs>
        <w:spacing w:line="360" w:lineRule="auto"/>
        <w:jc w:val="both"/>
        <w:rPr>
          <w:rFonts w:cstheme="minorHAnsi"/>
        </w:rPr>
      </w:pPr>
      <w:r>
        <w:lastRenderedPageBreak/>
        <w:tab/>
      </w:r>
      <w:r w:rsidR="009F7E1A">
        <w:t>Δεν είν</w:t>
      </w:r>
      <w:r w:rsidR="000B3097">
        <w:t>αι πάντως αρκετά απλό να ταιριάξ</w:t>
      </w:r>
      <w:r w:rsidR="009F7E1A">
        <w:t xml:space="preserve">εις τα συνολικά στοιχεία του ενεργητικού με τα συνολικά στοιχεία του παθητικού. </w:t>
      </w:r>
      <w:r>
        <w:t xml:space="preserve">Ειδικά λαμβάνοντας υπόψη </w:t>
      </w:r>
      <w:r w:rsidR="009F7E1A">
        <w:t xml:space="preserve">την ειδική ευαισθησία της αγοράς </w:t>
      </w:r>
      <w:r w:rsidR="006E0937">
        <w:t>ε</w:t>
      </w:r>
      <w:r w:rsidR="009F7E1A">
        <w:rPr>
          <w:rFonts w:cstheme="minorHAnsi"/>
        </w:rPr>
        <w:t>υρωδολαρίων σε προβλήματα ρευστότητας λόγω της έλλειψης πρόσβασης στον ισολογισμό της</w:t>
      </w:r>
      <w:r w:rsidR="009F7E1A" w:rsidRPr="00D0616D">
        <w:t xml:space="preserve"> </w:t>
      </w:r>
      <w:r w:rsidR="009F7E1A">
        <w:t>κεντρικής τράπεζας των Η.Π.Α. Η ρευστότητα της</w:t>
      </w:r>
      <w:r w:rsidR="009F7E1A" w:rsidRPr="00D0616D">
        <w:t xml:space="preserve"> </w:t>
      </w:r>
      <w:r w:rsidR="009F7E1A">
        <w:t xml:space="preserve">αγοράς </w:t>
      </w:r>
      <w:r>
        <w:rPr>
          <w:rFonts w:cstheme="minorHAnsi"/>
        </w:rPr>
        <w:t>Ευρωδολαρίων εσχάτως</w:t>
      </w:r>
      <w:r w:rsidR="009F7E1A">
        <w:rPr>
          <w:rFonts w:cstheme="minorHAnsi"/>
        </w:rPr>
        <w:t xml:space="preserve"> εξαρτάται από την ικανότητα και την προθυμία των τραπεζών της Νέας Υόρκης να παρέχουν ρευστότητα όπως χρειάζεται παίρνοντας τα προβλήματα της </w:t>
      </w:r>
      <w:r w:rsidR="009F7E1A">
        <w:t xml:space="preserve">αγοράς </w:t>
      </w:r>
      <w:r w:rsidR="009F7E1A">
        <w:rPr>
          <w:rFonts w:cstheme="minorHAnsi"/>
        </w:rPr>
        <w:t>Ευρωδολαρίων στους δικούς τους ισολογισμούς. Η αβεβαιότητα αναφορικά με αυτή την ικανότητα και προθυμία κάνει τις τράπεζες</w:t>
      </w:r>
      <w:r w:rsidR="009F7E1A" w:rsidRPr="00BE3538">
        <w:rPr>
          <w:rFonts w:cstheme="minorHAnsi"/>
        </w:rPr>
        <w:t xml:space="preserve"> </w:t>
      </w:r>
      <w:r w:rsidR="006E0937">
        <w:rPr>
          <w:rFonts w:cstheme="minorHAnsi"/>
        </w:rPr>
        <w:t>ε</w:t>
      </w:r>
      <w:r w:rsidR="009F7E1A">
        <w:rPr>
          <w:rFonts w:cstheme="minorHAnsi"/>
        </w:rPr>
        <w:t>υρωδολαρίων να</w:t>
      </w:r>
      <w:r>
        <w:rPr>
          <w:rFonts w:cstheme="minorHAnsi"/>
        </w:rPr>
        <w:t xml:space="preserve"> φροντίζουν να είναι συγχρονισμένες οι απαιτήσεις τους με τις υποχρεώσεις τους σε δολάρια</w:t>
      </w:r>
      <w:r w:rsidR="009F7E1A">
        <w:rPr>
          <w:rFonts w:cstheme="minorHAnsi"/>
        </w:rPr>
        <w:t>. Αυτός είνα</w:t>
      </w:r>
      <w:r w:rsidR="006E0937">
        <w:rPr>
          <w:rFonts w:cstheme="minorHAnsi"/>
        </w:rPr>
        <w:t>ι ο λόγος που οι καταθέσεις σε ε</w:t>
      </w:r>
      <w:r w:rsidR="009F7E1A">
        <w:rPr>
          <w:rFonts w:cstheme="minorHAnsi"/>
        </w:rPr>
        <w:t>υρωδολάρια γίνονται σε συγκεκριμένες ημερομηνίες, χωρίς να επιτρέπεται η πρόωρη ανάληψη</w:t>
      </w:r>
      <w:r>
        <w:rPr>
          <w:rFonts w:cstheme="minorHAnsi"/>
        </w:rPr>
        <w:t xml:space="preserve">. </w:t>
      </w:r>
      <w:r w:rsidR="009F7E1A">
        <w:rPr>
          <w:rFonts w:cstheme="minorHAnsi"/>
        </w:rPr>
        <w:t xml:space="preserve">Η τράπεζα θέλει να ξέρει ακριβώς πότε θα συμβεί η εκροή μετρητών, ούτως ώστε να ετοιμαστεί να την αντιμετωπίσει. </w:t>
      </w:r>
    </w:p>
    <w:p w:rsidR="009F7E1A" w:rsidRPr="009F7E1A" w:rsidRDefault="009F7E1A" w:rsidP="00D8701A">
      <w:pPr>
        <w:jc w:val="both"/>
        <w:rPr>
          <w:rFonts w:eastAsia="Calibri"/>
          <w:sz w:val="22"/>
          <w:szCs w:val="22"/>
          <w:lang w:eastAsia="en-US"/>
        </w:rPr>
      </w:pPr>
      <w:r w:rsidRPr="00B255E0">
        <w:rPr>
          <w:rFonts w:cstheme="minorHAnsi"/>
        </w:rPr>
        <w:t xml:space="preserve">    </w:t>
      </w:r>
      <w:r w:rsidR="00D8701A">
        <w:t xml:space="preserve"> </w:t>
      </w:r>
    </w:p>
    <w:p w:rsidR="003F037E" w:rsidRDefault="003F037E" w:rsidP="005B6B87">
      <w:pPr>
        <w:pStyle w:val="2"/>
        <w:spacing w:before="0" w:after="0" w:line="360" w:lineRule="auto"/>
        <w:jc w:val="both"/>
        <w:rPr>
          <w:rFonts w:ascii="Times New Roman" w:hAnsi="Times New Roman" w:cs="Times New Roman"/>
          <w:i w:val="0"/>
        </w:rPr>
      </w:pPr>
      <w:bookmarkStart w:id="11" w:name="_Toc393111068"/>
    </w:p>
    <w:p w:rsidR="005B6B87" w:rsidRDefault="005B6B87" w:rsidP="005B6B87">
      <w:pPr>
        <w:pStyle w:val="2"/>
        <w:spacing w:before="0" w:after="0" w:line="360" w:lineRule="auto"/>
        <w:jc w:val="both"/>
        <w:rPr>
          <w:rFonts w:ascii="Times New Roman" w:hAnsi="Times New Roman" w:cs="Times New Roman"/>
          <w:i w:val="0"/>
        </w:rPr>
      </w:pPr>
      <w:r>
        <w:rPr>
          <w:rFonts w:ascii="Times New Roman" w:hAnsi="Times New Roman" w:cs="Times New Roman"/>
          <w:i w:val="0"/>
        </w:rPr>
        <w:t>4.8</w:t>
      </w:r>
      <w:r w:rsidRPr="00F07A2C">
        <w:rPr>
          <w:rFonts w:ascii="Times New Roman" w:hAnsi="Times New Roman" w:cs="Times New Roman"/>
          <w:i w:val="0"/>
        </w:rPr>
        <w:t xml:space="preserve"> </w:t>
      </w:r>
      <w:r>
        <w:rPr>
          <w:rFonts w:ascii="Times New Roman" w:hAnsi="Times New Roman" w:cs="Times New Roman"/>
          <w:i w:val="0"/>
        </w:rPr>
        <w:t>Άλλα προϊόντα της χρηματαγοράς</w:t>
      </w:r>
      <w:bookmarkEnd w:id="11"/>
    </w:p>
    <w:p w:rsidR="00FD72A4" w:rsidRDefault="00FD72A4" w:rsidP="00FD72A4">
      <w:pPr>
        <w:tabs>
          <w:tab w:val="num" w:pos="720"/>
          <w:tab w:val="num" w:pos="1080"/>
        </w:tabs>
        <w:spacing w:line="360" w:lineRule="auto"/>
        <w:jc w:val="both"/>
      </w:pPr>
      <w:r>
        <w:tab/>
      </w:r>
      <w:r w:rsidR="00D8701A">
        <w:t>Τα προϊόντα της χρηματαγοράς  είναι όπως έχουμε δει μέχρι στιγμής τίτλοι βραχυχρόνιας διάρκειας με χαμηλή απόδοση αλλά και κίνδυνο. Θα πρέπει να σημειώσουμε ότι σ</w:t>
      </w:r>
      <w:r w:rsidR="00D8701A" w:rsidRPr="000B3097">
        <w:t xml:space="preserve">την αγορά </w:t>
      </w:r>
      <w:r w:rsidR="006E0937">
        <w:t>ε</w:t>
      </w:r>
      <w:r w:rsidR="00D8701A" w:rsidRPr="000B3097">
        <w:t xml:space="preserve">υρωνομισμάτων, η πλειοψηφία των τραπεζικών </w:t>
      </w:r>
      <w:r w:rsidR="00D8701A">
        <w:t xml:space="preserve">καταθέσεων λαμβάνει τη μορφή </w:t>
      </w:r>
      <w:r w:rsidR="00D8701A" w:rsidRPr="006E0937">
        <w:rPr>
          <w:b/>
          <w:i/>
        </w:rPr>
        <w:t>βραχυπρόθεσμων προθεσμιακών καταθέσεων</w:t>
      </w:r>
      <w:r w:rsidR="00D8701A">
        <w:t xml:space="preserve"> (από μια εβδομάδα ως τρείς μήνες συνήθως)</w:t>
      </w:r>
      <w:r w:rsidR="00D8701A" w:rsidRPr="000B3097">
        <w:t>.</w:t>
      </w:r>
      <w:r w:rsidR="00D8701A">
        <w:t xml:space="preserve"> Ενώ σ</w:t>
      </w:r>
      <w:r w:rsidR="00D8701A" w:rsidRPr="000B3097">
        <w:t xml:space="preserve">τις </w:t>
      </w:r>
      <w:r w:rsidR="00D8701A" w:rsidRPr="00D8701A">
        <w:t>διατραπεζικές αγορές</w:t>
      </w:r>
      <w:r w:rsidR="00D8701A" w:rsidRPr="000B3097">
        <w:t xml:space="preserve"> η μεγάλη πλειοψηφία των προθεσμιακών καταθέσεων έχουν</w:t>
      </w:r>
      <w:r w:rsidR="00D8701A">
        <w:t xml:space="preserve"> διάρκεια μεταξύ μιας ημέρας και μιας εβδομάδας. </w:t>
      </w:r>
    </w:p>
    <w:p w:rsidR="00FD72A4" w:rsidRDefault="00FD72A4" w:rsidP="00FD72A4">
      <w:pPr>
        <w:tabs>
          <w:tab w:val="num" w:pos="720"/>
          <w:tab w:val="num" w:pos="1080"/>
        </w:tabs>
        <w:spacing w:line="360" w:lineRule="auto"/>
        <w:jc w:val="both"/>
      </w:pPr>
      <w:r>
        <w:tab/>
      </w:r>
      <w:r w:rsidR="00D8701A">
        <w:t xml:space="preserve">Σε αντίθεση με αυτές τις προθεσμιακές καταθέσεις που είναι μη διαπραγματεύσιμες </w:t>
      </w:r>
      <w:r w:rsidR="00D25B5F">
        <w:t xml:space="preserve">και η ακύρωση πριν την λήξη τους συνεπάγεται ένα κόστος, τα λεγόμενα </w:t>
      </w:r>
      <w:r w:rsidR="00D25B5F" w:rsidRPr="006E0937">
        <w:rPr>
          <w:b/>
          <w:i/>
        </w:rPr>
        <w:t>πιστοποιητικά καταθέσεων</w:t>
      </w:r>
      <w:r w:rsidR="00D25B5F">
        <w:t xml:space="preserve"> (</w:t>
      </w:r>
      <w:r w:rsidR="00D25B5F">
        <w:rPr>
          <w:lang w:val="en-US"/>
        </w:rPr>
        <w:t>certificate</w:t>
      </w:r>
      <w:r w:rsidR="00D25B5F" w:rsidRPr="00D25B5F">
        <w:t xml:space="preserve"> </w:t>
      </w:r>
      <w:r w:rsidR="00D25B5F">
        <w:rPr>
          <w:lang w:val="en-US"/>
        </w:rPr>
        <w:t>of</w:t>
      </w:r>
      <w:r w:rsidR="00D25B5F" w:rsidRPr="00D25B5F">
        <w:t xml:space="preserve"> </w:t>
      </w:r>
      <w:r w:rsidR="00D25B5F">
        <w:rPr>
          <w:lang w:val="en-US"/>
        </w:rPr>
        <w:t>deposits</w:t>
      </w:r>
      <w:r w:rsidR="00D25B5F">
        <w:t xml:space="preserve">) είναι τίτλοι διαπραγματεύσιμοι και συνεπώς εύκολα μεταβιβάσιμοι. Εκδίδονται από τις τράπεζες </w:t>
      </w:r>
      <w:r w:rsidR="00D25B5F" w:rsidRPr="000B3097">
        <w:t>για συγκεκριμένο ποσό, με ημερομηνία λήξεως και με ορισμένο επιτόκιο σταθερό ή κυμαινόμενο.</w:t>
      </w:r>
      <w:r w:rsidR="00D25B5F">
        <w:t xml:space="preserve"> Ως αντιστάθμισμα της υψηλότερης ρευστότητας σε σχέση με τις προθεσμιακές καταθέσεις η απόδοση τους είναι ελαφρά χαμηλότερη από αυτές. </w:t>
      </w:r>
    </w:p>
    <w:p w:rsidR="00FD72A4" w:rsidRDefault="00FD72A4" w:rsidP="00FD72A4">
      <w:pPr>
        <w:tabs>
          <w:tab w:val="num" w:pos="720"/>
          <w:tab w:val="num" w:pos="1080"/>
        </w:tabs>
        <w:spacing w:line="360" w:lineRule="auto"/>
        <w:jc w:val="both"/>
      </w:pPr>
      <w:r>
        <w:tab/>
      </w:r>
      <w:r w:rsidR="00D25B5F">
        <w:t xml:space="preserve">Αυτά τα προϊόντα ήταν η απάντηση των αμερικανικών εμπορικών τραπεζών στην κεντρική τράπεζα που τους υποχρέωνε να κρατάνε ένα ποσοστό των </w:t>
      </w:r>
      <w:r w:rsidR="00D25B5F">
        <w:lastRenderedPageBreak/>
        <w:t>προθεσμιακών καταθέσεων ρευστά με άμεση συνέπεια την απώλεια τόκων για αυτές. Δεδομένου ότι αυτά τα πιστοποιητικά καταθέσεων δεν λογίζοντα</w:t>
      </w:r>
      <w:r w:rsidR="006E0937">
        <w:t>ι</w:t>
      </w:r>
      <w:r w:rsidR="00D25B5F">
        <w:t xml:space="preserve"> ως προθ</w:t>
      </w:r>
      <w:r w:rsidR="006E0937">
        <w:t>εσμιακές καταθέσεις απελευθερώνου</w:t>
      </w:r>
      <w:r w:rsidR="00D25B5F">
        <w:t>ν ένα σημαντικό κεφάλαιο των τραπεζών προς αποδοτική διαχείριση και αποτελούν ιστορικά μια από τις σημαντικές χρηματοοικονομικές καινοτομίες.</w:t>
      </w:r>
    </w:p>
    <w:p w:rsidR="006E0937" w:rsidRDefault="00FD72A4" w:rsidP="00FD72A4">
      <w:pPr>
        <w:tabs>
          <w:tab w:val="num" w:pos="720"/>
          <w:tab w:val="num" w:pos="1080"/>
        </w:tabs>
        <w:spacing w:line="360" w:lineRule="auto"/>
        <w:jc w:val="both"/>
      </w:pPr>
      <w:r>
        <w:tab/>
      </w:r>
      <w:r w:rsidR="00D25B5F">
        <w:t xml:space="preserve">Μια άλλη σημαντική κατηγορία τίτλων της χρηματαγοράς είναι </w:t>
      </w:r>
      <w:r w:rsidR="00D25B5F" w:rsidRPr="006E0937">
        <w:rPr>
          <w:b/>
          <w:i/>
        </w:rPr>
        <w:t>τα έντοκα γραμμάτια</w:t>
      </w:r>
      <w:r w:rsidR="00D25B5F" w:rsidRPr="003A466A">
        <w:rPr>
          <w:b/>
        </w:rPr>
        <w:t xml:space="preserve"> </w:t>
      </w:r>
      <w:r w:rsidR="00D25B5F">
        <w:t xml:space="preserve">που μπορεί να έχουν εκδοθεί από ένα κράτος (Έντοκα Γραμμάτια Δημοσίου, ΕΓΔ) ή από κάποια επιχείρηση </w:t>
      </w:r>
      <w:r w:rsidR="003A466A">
        <w:t>(</w:t>
      </w:r>
      <w:r w:rsidR="003A466A">
        <w:rPr>
          <w:lang w:val="en-US"/>
        </w:rPr>
        <w:t>Commercial</w:t>
      </w:r>
      <w:r w:rsidR="003A466A" w:rsidRPr="003A466A">
        <w:t xml:space="preserve"> </w:t>
      </w:r>
      <w:r w:rsidR="003A466A">
        <w:rPr>
          <w:lang w:val="en-US"/>
        </w:rPr>
        <w:t>Papers</w:t>
      </w:r>
      <w:r w:rsidR="003A466A" w:rsidRPr="003A466A">
        <w:t xml:space="preserve">, </w:t>
      </w:r>
      <w:r w:rsidR="003A466A">
        <w:rPr>
          <w:lang w:val="en-US"/>
        </w:rPr>
        <w:t>CP</w:t>
      </w:r>
      <w:r w:rsidR="003A466A">
        <w:t>)</w:t>
      </w:r>
      <w:r w:rsidR="003A466A" w:rsidRPr="003A466A">
        <w:t xml:space="preserve">. </w:t>
      </w:r>
      <w:r w:rsidR="003A466A">
        <w:t>Τα πρώτα αποσκοπούν στην κάλυψη βραχυπρόθεσμων αναγκών (3,6,9, 12 μήνες) του δημοσίου και πολλές φορές χρησιμοποιούνται για την αποπληρωμή προηγούμενων δανείων του κράτους. Οπωσδήποτε το ύψος του επιτοκίου σε αυτούς τους τίτλους επηρεάζει τα επιτόκια άλλων παρόμοιων τραπεζικών προϊόντων. Σε πολλές χώρες το επιτόκιο αυτών των ΕΓΔ αποτελεί δείκτη της νομισματικής πολιτικής.</w:t>
      </w:r>
      <w:r>
        <w:t xml:space="preserve"> </w:t>
      </w:r>
      <w:r w:rsidR="003A466A">
        <w:t>Τα δεύτερα αποτελούν β</w:t>
      </w:r>
      <w:r w:rsidR="003A466A" w:rsidRPr="000B3097">
        <w:t>ραχυπρόθεσμες άνευ ασφαλείας υποχρεώσεις</w:t>
      </w:r>
      <w:r w:rsidR="003A466A">
        <w:t xml:space="preserve"> μεγάλων και γνωστών εταιριών</w:t>
      </w:r>
      <w:r w:rsidR="003A466A" w:rsidRPr="000B3097">
        <w:t xml:space="preserve"> </w:t>
      </w:r>
      <w:r w:rsidR="003A466A">
        <w:t>με λήξη συνήθως από</w:t>
      </w:r>
      <w:r w:rsidR="003A466A" w:rsidRPr="000B3097">
        <w:t xml:space="preserve"> </w:t>
      </w:r>
      <w:r w:rsidR="003A466A">
        <w:t>μια εβδομάδα έως τρεις</w:t>
      </w:r>
      <w:r w:rsidR="003A466A" w:rsidRPr="000B3097">
        <w:t xml:space="preserve"> μήνες. </w:t>
      </w:r>
      <w:r w:rsidR="003A466A">
        <w:t>Αποτελούν πηγή άντλησης φτηνών κεφαλαίων για επιχειρήσεις με μεγάλη φήμη. Η απόδοση τους είναι συνήθως μ</w:t>
      </w:r>
      <w:r w:rsidR="000B3097" w:rsidRPr="000B3097">
        <w:t>εγαλύτερη</w:t>
      </w:r>
      <w:r w:rsidR="003A466A">
        <w:t xml:space="preserve"> από την απόδοση τραπεζικών καταθέσεων αλλά και ο </w:t>
      </w:r>
      <w:r w:rsidR="000B3097" w:rsidRPr="000B3097">
        <w:t xml:space="preserve">κίνδυνος </w:t>
      </w:r>
      <w:r w:rsidR="003A466A">
        <w:t xml:space="preserve">είναι σχετικά χαμηλός λόγω </w:t>
      </w:r>
      <w:r w:rsidR="000B3097" w:rsidRPr="000B3097">
        <w:t xml:space="preserve">μικρής διάρκειας </w:t>
      </w:r>
      <w:r w:rsidR="003A466A">
        <w:t xml:space="preserve">και υψηλής φερεγγυότητας </w:t>
      </w:r>
      <w:r w:rsidR="000B3097" w:rsidRPr="000B3097">
        <w:t>του εκδότη</w:t>
      </w:r>
      <w:r w:rsidR="003A466A">
        <w:t>.</w:t>
      </w:r>
      <w:r w:rsidR="006E0937">
        <w:t xml:space="preserve"> </w:t>
      </w:r>
      <w:r w:rsidR="000C637D">
        <w:t>Ονομάζονται έντοκα γραμμάτια επειδή δεν υπάρχει ξεχωριστό τοκομερίδιο, ουσιαστικά ο τόκος εμπεριέχεται στην ονομαστική τιμή και γι αυτό λέμε ότι πωλούνται με έκπτωση (</w:t>
      </w:r>
      <w:r w:rsidR="000C637D">
        <w:rPr>
          <w:lang w:val="en-US"/>
        </w:rPr>
        <w:t>discount</w:t>
      </w:r>
      <w:r w:rsidR="000C637D">
        <w:t>) από την ονομαστική τους αξία</w:t>
      </w:r>
      <w:r w:rsidR="006E0937">
        <w:t xml:space="preserve"> (</w:t>
      </w:r>
      <w:r w:rsidR="006E0937">
        <w:rPr>
          <w:lang w:val="en-US"/>
        </w:rPr>
        <w:t>face</w:t>
      </w:r>
      <w:r w:rsidR="006E0937" w:rsidRPr="006E0937">
        <w:t xml:space="preserve"> </w:t>
      </w:r>
      <w:r w:rsidR="006E0937">
        <w:rPr>
          <w:lang w:val="en-US"/>
        </w:rPr>
        <w:t>value</w:t>
      </w:r>
      <w:r w:rsidR="006E0937" w:rsidRPr="006E0937">
        <w:t>)</w:t>
      </w:r>
      <w:r w:rsidR="000C637D">
        <w:t>.</w:t>
      </w:r>
    </w:p>
    <w:p w:rsidR="006E0937" w:rsidRPr="006E0937" w:rsidRDefault="006E0937" w:rsidP="00042B8B">
      <w:pPr>
        <w:tabs>
          <w:tab w:val="num" w:pos="720"/>
          <w:tab w:val="num" w:pos="1080"/>
        </w:tabs>
        <w:spacing w:line="360" w:lineRule="auto"/>
        <w:jc w:val="both"/>
      </w:pPr>
      <w:r w:rsidRPr="00BB212E">
        <w:tab/>
      </w:r>
      <w:r w:rsidR="00776629">
        <w:t xml:space="preserve">Ένα </w:t>
      </w:r>
      <w:r>
        <w:t xml:space="preserve">ακόμη </w:t>
      </w:r>
      <w:r w:rsidR="00FD72A4">
        <w:t>αξιόλογο</w:t>
      </w:r>
      <w:r w:rsidR="00776629">
        <w:t xml:space="preserve"> εργαλείο χρηματοδότησης για τις επιχειρήσεις είναι οι λεγόμενες </w:t>
      </w:r>
      <w:r w:rsidR="000B3097" w:rsidRPr="006E0937">
        <w:rPr>
          <w:b/>
          <w:i/>
        </w:rPr>
        <w:t>διευκολύνσεις έκδοσης γραμματίων</w:t>
      </w:r>
      <w:r>
        <w:rPr>
          <w:b/>
        </w:rPr>
        <w:t xml:space="preserve"> </w:t>
      </w:r>
      <w:r w:rsidR="00776629" w:rsidRPr="006E0937">
        <w:rPr>
          <w:bCs/>
        </w:rPr>
        <w:t>(</w:t>
      </w:r>
      <w:r w:rsidR="00776629" w:rsidRPr="006E0937">
        <w:rPr>
          <w:bCs/>
          <w:lang w:val="en-US"/>
        </w:rPr>
        <w:t>Notes</w:t>
      </w:r>
      <w:r w:rsidR="00776629" w:rsidRPr="006E0937">
        <w:rPr>
          <w:bCs/>
        </w:rPr>
        <w:t xml:space="preserve"> </w:t>
      </w:r>
      <w:r w:rsidR="00776629" w:rsidRPr="006E0937">
        <w:rPr>
          <w:bCs/>
          <w:lang w:val="en-US"/>
        </w:rPr>
        <w:t>Issuance</w:t>
      </w:r>
      <w:r w:rsidR="00776629" w:rsidRPr="006E0937">
        <w:rPr>
          <w:bCs/>
        </w:rPr>
        <w:t xml:space="preserve"> </w:t>
      </w:r>
      <w:r w:rsidR="00776629" w:rsidRPr="006E0937">
        <w:rPr>
          <w:bCs/>
          <w:lang w:val="en-US"/>
        </w:rPr>
        <w:t>Facilities</w:t>
      </w:r>
      <w:r w:rsidR="00776629" w:rsidRPr="006E0937">
        <w:rPr>
          <w:bCs/>
        </w:rPr>
        <w:t xml:space="preserve"> - </w:t>
      </w:r>
      <w:r w:rsidR="00776629" w:rsidRPr="006E0937">
        <w:rPr>
          <w:bCs/>
          <w:lang w:val="en-US"/>
        </w:rPr>
        <w:t>NIFs</w:t>
      </w:r>
      <w:r w:rsidR="00776629" w:rsidRPr="006E0937">
        <w:rPr>
          <w:bCs/>
        </w:rPr>
        <w:t>).</w:t>
      </w:r>
      <w:r w:rsidR="00776629" w:rsidRPr="00FD72A4">
        <w:rPr>
          <w:bCs/>
        </w:rPr>
        <w:t xml:space="preserve"> Πρόκειται για  </w:t>
      </w:r>
      <w:r w:rsidR="000B3097" w:rsidRPr="00FD72A4">
        <w:t>γ</w:t>
      </w:r>
      <w:r w:rsidR="00776629">
        <w:t>ραμμάτια βραχυχρόνιας διάρκειας που  ε</w:t>
      </w:r>
      <w:r w:rsidR="000B3097" w:rsidRPr="000B3097">
        <w:t xml:space="preserve">κδίδονται από το δανειζόμενο, </w:t>
      </w:r>
      <w:r w:rsidR="00776629">
        <w:t xml:space="preserve">και </w:t>
      </w:r>
      <w:r w:rsidR="000B3097" w:rsidRPr="000B3097">
        <w:t>αγοράζονται στο σύνολο τους από τραπεζικού</w:t>
      </w:r>
      <w:r w:rsidR="00776629">
        <w:t xml:space="preserve">ς οργανισμούς, οι </w:t>
      </w:r>
      <w:r w:rsidR="000B3097" w:rsidRPr="000B3097">
        <w:t>οποίοι</w:t>
      </w:r>
      <w:r w:rsidR="00776629">
        <w:t xml:space="preserve"> στην συνέχεια</w:t>
      </w:r>
      <w:r w:rsidR="000B3097" w:rsidRPr="000B3097">
        <w:t xml:space="preserve"> δρουν ως </w:t>
      </w:r>
      <w:r w:rsidR="00776629">
        <w:t xml:space="preserve">ανάδοχοι για την προώθηση των τίτλων στην αγορά. Αυτοί οι τραπεζικοί οργανισμοί ουσιαστικά παρέχουν μια διευκόλυνση στις επιχειρήσεις που είναι χρόνια πελάτες τους. </w:t>
      </w:r>
      <w:r w:rsidR="000B3097" w:rsidRPr="000B3097">
        <w:t>Είναι πληρωτέα στον κομιστή και μπορούν να μεταπωληθούν.</w:t>
      </w:r>
      <w:r w:rsidR="00776629">
        <w:t xml:space="preserve"> Σημαντικό ότι κ</w:t>
      </w:r>
      <w:r w:rsidR="000B3097" w:rsidRPr="000B3097">
        <w:t xml:space="preserve">άτω από αυτή τη διευκόλυνση ο δανειζόμενος μπορεί να αντλεί κεφάλαια για </w:t>
      </w:r>
      <w:r w:rsidR="00776629">
        <w:t xml:space="preserve">αρκετά χρόνια </w:t>
      </w:r>
      <w:r w:rsidR="000B3097" w:rsidRPr="000B3097">
        <w:t xml:space="preserve">εκδίδοντας γραμμάτια στο όνομα του </w:t>
      </w:r>
      <w:r w:rsidR="00776629">
        <w:t xml:space="preserve">διάρκειας </w:t>
      </w:r>
      <w:r w:rsidR="000B3097" w:rsidRPr="000B3097">
        <w:t>συνήθως</w:t>
      </w:r>
      <w:r w:rsidR="00776629">
        <w:t xml:space="preserve"> από ένα έως έξι μήνες</w:t>
      </w:r>
      <w:r w:rsidR="000B3097" w:rsidRPr="000B3097">
        <w:t>.</w:t>
      </w:r>
    </w:p>
    <w:p w:rsidR="006E0937" w:rsidRDefault="006E0937" w:rsidP="00FC040D">
      <w:pPr>
        <w:tabs>
          <w:tab w:val="num" w:pos="720"/>
          <w:tab w:val="num" w:pos="1080"/>
        </w:tabs>
        <w:spacing w:line="360" w:lineRule="auto"/>
        <w:jc w:val="both"/>
      </w:pPr>
      <w:r w:rsidRPr="00BB212E">
        <w:lastRenderedPageBreak/>
        <w:tab/>
      </w:r>
      <w:proofErr w:type="gramStart"/>
      <w:r>
        <w:rPr>
          <w:bCs/>
          <w:lang w:val="en-US"/>
        </w:rPr>
        <w:t>B</w:t>
      </w:r>
      <w:proofErr w:type="spellStart"/>
      <w:r w:rsidR="00FD72A4" w:rsidRPr="00FD72A4">
        <w:rPr>
          <w:bCs/>
        </w:rPr>
        <w:t>ραχυχρόνια</w:t>
      </w:r>
      <w:proofErr w:type="spellEnd"/>
      <w:r w:rsidR="00FD72A4" w:rsidRPr="00FD72A4">
        <w:rPr>
          <w:bCs/>
        </w:rPr>
        <w:t xml:space="preserve"> γραμμάτια που ε</w:t>
      </w:r>
      <w:r>
        <w:t>κδίδονται από επιχειρήσεις</w:t>
      </w:r>
      <w:r w:rsidR="00FD72A4" w:rsidRPr="00FD72A4">
        <w:t xml:space="preserve"> οι οποίες έχουν τη δυνατότητα επιλογής του νομίσματος έκδοσης</w:t>
      </w:r>
      <w:r w:rsidRPr="006E0937">
        <w:t xml:space="preserve"> </w:t>
      </w:r>
      <w:r>
        <w:t xml:space="preserve">είναι τα </w:t>
      </w:r>
      <w:proofErr w:type="spellStart"/>
      <w:r w:rsidRPr="006E0937">
        <w:rPr>
          <w:b/>
          <w:bCs/>
          <w:i/>
        </w:rPr>
        <w:t>ευρωγραμμάτια</w:t>
      </w:r>
      <w:proofErr w:type="spellEnd"/>
      <w:r w:rsidRPr="006E0937">
        <w:rPr>
          <w:b/>
          <w:bCs/>
          <w:i/>
        </w:rPr>
        <w:t xml:space="preserve"> </w:t>
      </w:r>
      <w:r w:rsidRPr="006E0937">
        <w:rPr>
          <w:bCs/>
        </w:rPr>
        <w:t>(</w:t>
      </w:r>
      <w:proofErr w:type="spellStart"/>
      <w:r w:rsidRPr="006E0937">
        <w:rPr>
          <w:bCs/>
          <w:lang w:val="en-US"/>
        </w:rPr>
        <w:t>EuroNotes</w:t>
      </w:r>
      <w:proofErr w:type="spellEnd"/>
      <w:r w:rsidRPr="006E0937">
        <w:rPr>
          <w:bCs/>
        </w:rPr>
        <w:t>)</w:t>
      </w:r>
      <w:r w:rsidR="00FD72A4" w:rsidRPr="006E0937">
        <w:t>.</w:t>
      </w:r>
      <w:proofErr w:type="gramEnd"/>
      <w:r w:rsidR="00FD72A4">
        <w:t xml:space="preserve"> </w:t>
      </w:r>
      <w:r w:rsidR="00FD72A4" w:rsidRPr="00FD72A4">
        <w:t>Μεγάλοι τραπεζικοί οργανισμοί είναι συνήθως οι αγοραστές  αυτών των τίτλων που μεσολαβούν με κάποιο περιθώριο κέρδους και τους διοχετεύουν στην αγορά σε εταιρείες επενδύσεων και άλλου</w:t>
      </w:r>
      <w:r>
        <w:t>ς</w:t>
      </w:r>
      <w:r w:rsidR="00FD72A4" w:rsidRPr="00FD72A4">
        <w:t xml:space="preserve"> επενδυτές.</w:t>
      </w:r>
    </w:p>
    <w:p w:rsidR="00A348D1" w:rsidRDefault="006E0937" w:rsidP="003C327E">
      <w:pPr>
        <w:tabs>
          <w:tab w:val="num" w:pos="720"/>
          <w:tab w:val="num" w:pos="1080"/>
        </w:tabs>
        <w:spacing w:line="360" w:lineRule="auto"/>
        <w:jc w:val="both"/>
      </w:pPr>
      <w:r>
        <w:tab/>
      </w:r>
      <w:r w:rsidR="00FD72A4">
        <w:t xml:space="preserve">Τα </w:t>
      </w:r>
      <w:r w:rsidR="00042B8B" w:rsidRPr="006E0937">
        <w:rPr>
          <w:b/>
          <w:bCs/>
          <w:i/>
        </w:rPr>
        <w:t>γ</w:t>
      </w:r>
      <w:r w:rsidR="00FD72A4" w:rsidRPr="006E0937">
        <w:rPr>
          <w:b/>
          <w:bCs/>
          <w:i/>
        </w:rPr>
        <w:t>ραμμάτια κυμαινόμενου επιτοκίου</w:t>
      </w:r>
      <w:r w:rsidR="00042B8B" w:rsidRPr="00042B8B">
        <w:rPr>
          <w:b/>
          <w:bCs/>
        </w:rPr>
        <w:t xml:space="preserve"> </w:t>
      </w:r>
      <w:r w:rsidR="00FD72A4" w:rsidRPr="006E0937">
        <w:rPr>
          <w:bCs/>
        </w:rPr>
        <w:t>(</w:t>
      </w:r>
      <w:r w:rsidR="00FD72A4" w:rsidRPr="006E0937">
        <w:rPr>
          <w:bCs/>
          <w:lang w:val="en-US"/>
        </w:rPr>
        <w:t>Floating</w:t>
      </w:r>
      <w:r w:rsidR="00FD72A4" w:rsidRPr="006E0937">
        <w:rPr>
          <w:bCs/>
        </w:rPr>
        <w:t xml:space="preserve"> </w:t>
      </w:r>
      <w:r w:rsidR="00FD72A4" w:rsidRPr="006E0937">
        <w:rPr>
          <w:bCs/>
          <w:lang w:val="en-US"/>
        </w:rPr>
        <w:t>Rate</w:t>
      </w:r>
      <w:r w:rsidR="00FD72A4" w:rsidRPr="006E0937">
        <w:rPr>
          <w:bCs/>
        </w:rPr>
        <w:t xml:space="preserve"> </w:t>
      </w:r>
      <w:r w:rsidR="00FD72A4" w:rsidRPr="006E0937">
        <w:rPr>
          <w:bCs/>
          <w:lang w:val="en-US"/>
        </w:rPr>
        <w:t>Notes</w:t>
      </w:r>
      <w:r w:rsidR="00FD72A4" w:rsidRPr="006E0937">
        <w:rPr>
          <w:bCs/>
        </w:rPr>
        <w:t>)</w:t>
      </w:r>
      <w:r w:rsidR="00FD72A4" w:rsidRPr="006E0937">
        <w:rPr>
          <w:b/>
          <w:bCs/>
        </w:rPr>
        <w:t xml:space="preserve"> ε</w:t>
      </w:r>
      <w:r w:rsidR="00FD72A4" w:rsidRPr="006E0937">
        <w:t>ίναι</w:t>
      </w:r>
      <w:r w:rsidR="00FD72A4" w:rsidRPr="000B3097">
        <w:t xml:space="preserve"> διαπραγματεύσιμα ανώνυμα προϊόντα</w:t>
      </w:r>
      <w:r w:rsidR="00042B8B">
        <w:t xml:space="preserve"> συγκεκριμένης λήξης</w:t>
      </w:r>
      <w:r w:rsidR="00FD72A4" w:rsidRPr="000B3097">
        <w:t>, των οποίων το επιτόκιο ορίζεται κα</w:t>
      </w:r>
      <w:r w:rsidR="00FD72A4">
        <w:t>τά διαστήματα τριών ή έξι μηνών με βάση κάποιο δείκτη επιτοκίου (</w:t>
      </w:r>
      <w:r w:rsidR="00FD72A4">
        <w:rPr>
          <w:lang w:val="en-US"/>
        </w:rPr>
        <w:t>benchmark</w:t>
      </w:r>
      <w:r w:rsidR="00FD72A4">
        <w:t>)</w:t>
      </w:r>
      <w:r w:rsidR="00FD72A4" w:rsidRPr="00FD72A4">
        <w:t xml:space="preserve">. </w:t>
      </w:r>
      <w:r w:rsidR="00FD72A4">
        <w:t>Ένα παράδειγμα ενός τέτοιου δείκτη σε Ευρώ αποτελεί το</w:t>
      </w:r>
      <w:r>
        <w:t xml:space="preserve"> επιτόκιο </w:t>
      </w:r>
      <w:r w:rsidRPr="000B3097">
        <w:rPr>
          <w:lang w:val="en-US"/>
        </w:rPr>
        <w:t>LIBOR</w:t>
      </w:r>
      <w:r w:rsidRPr="000B3097">
        <w:t xml:space="preserve"> (</w:t>
      </w:r>
      <w:r w:rsidRPr="000B3097">
        <w:rPr>
          <w:lang w:val="en-US"/>
        </w:rPr>
        <w:t>London</w:t>
      </w:r>
      <w:r w:rsidRPr="000B3097">
        <w:t xml:space="preserve"> </w:t>
      </w:r>
      <w:r w:rsidRPr="000B3097">
        <w:rPr>
          <w:lang w:val="en-US"/>
        </w:rPr>
        <w:t>Interbank</w:t>
      </w:r>
      <w:r w:rsidRPr="000B3097">
        <w:t xml:space="preserve"> </w:t>
      </w:r>
      <w:r w:rsidRPr="000B3097">
        <w:rPr>
          <w:lang w:val="en-US"/>
        </w:rPr>
        <w:t>Offer</w:t>
      </w:r>
      <w:r w:rsidRPr="000B3097">
        <w:t xml:space="preserve"> </w:t>
      </w:r>
      <w:r w:rsidRPr="000B3097">
        <w:rPr>
          <w:lang w:val="en-US"/>
        </w:rPr>
        <w:t>Rate</w:t>
      </w:r>
      <w:r w:rsidRPr="000B3097">
        <w:t>)</w:t>
      </w:r>
      <w:r>
        <w:t xml:space="preserve"> στην διατραπεζική σε ε</w:t>
      </w:r>
      <w:r w:rsidR="00FD72A4">
        <w:t xml:space="preserve">υρώ στο </w:t>
      </w:r>
      <w:r>
        <w:t>Λονδίνο.</w:t>
      </w:r>
      <w:r w:rsidRPr="000B3097">
        <w:t xml:space="preserve"> </w:t>
      </w:r>
      <w:r w:rsidR="00042B8B" w:rsidRPr="000B3097">
        <w:t>Όπως ακριβώς και στην περίπτωση ενός δανείου, το επιτόκιο αναφοράς καθορίζεται στην αρχή κάθε τοκοφόρου περιόδου</w:t>
      </w:r>
      <w:r w:rsidR="00042B8B">
        <w:t xml:space="preserve">. Το περιθώριο που δημιουργείται σε σχέση με τον δείκτη αναφοράς εκφράζει τον πιστωτικό κίνδυνο και τον κίνδυνο ρευστότητας του εκδότη. </w:t>
      </w:r>
      <w:r w:rsidR="00FD72A4">
        <w:t xml:space="preserve">Είναι ιδιαίτερα χρήσιμο εργαλείο επειδή για παράδειγμα ένα επενδυτής που προσδοκά άνοδο των επιτοκίων προτιμά να τοποθετηθεί </w:t>
      </w:r>
      <w:r w:rsidR="00A348D1">
        <w:t>σ</w:t>
      </w:r>
      <w:r w:rsidR="00FD72A4">
        <w:t>ε τέτοιους τίτλους παρά να κλείσει τα κεφάλαια του σε ομόλογα σταθερού επιτοκίου για πολλά χρόνια. Κάθε φορά σε μια άνοδο του επιτοκίου θα επωφελείται σε τόκους. Από την άλλη επιχειρήσεις οι οποίες προβλέπουν πτώση επιτοκίων τους συμφέρει να εκδίδουν τέτοιους τίτλους γιατί αυτό συνεπάγεται χαμηλότερο κόστος χρηματοδότησης.</w:t>
      </w:r>
      <w:r w:rsidR="00042B8B">
        <w:t xml:space="preserve"> </w:t>
      </w:r>
      <w:r w:rsidR="00FD72A4">
        <w:t>Η εμφάνιση του</w:t>
      </w:r>
      <w:r w:rsidR="00042B8B">
        <w:t>ς</w:t>
      </w:r>
      <w:r w:rsidR="00FD72A4">
        <w:t xml:space="preserve"> ήρθε σε εποχές υψηλού πληθωρισμού </w:t>
      </w:r>
      <w:r w:rsidR="00042B8B">
        <w:t>όπου οι μακροπρόθεσμες επενδύσεις δυσκολεύανε. Στην αρχή κράτη εκδίδανε τέτοιους τίτλους που αγόραζαν συνήθως τράπεζες</w:t>
      </w:r>
      <w:r w:rsidR="00FD72A4" w:rsidRPr="000B3097">
        <w:t>.</w:t>
      </w:r>
      <w:r w:rsidR="00042B8B" w:rsidRPr="00042B8B">
        <w:t xml:space="preserve"> Στην συνέχεια ακολούθησαν εκδόσεις επιχειρήσεων.</w:t>
      </w:r>
    </w:p>
    <w:p w:rsidR="003C327E" w:rsidRDefault="00A348D1" w:rsidP="003C327E">
      <w:pPr>
        <w:tabs>
          <w:tab w:val="num" w:pos="720"/>
          <w:tab w:val="num" w:pos="1080"/>
        </w:tabs>
        <w:spacing w:line="360" w:lineRule="auto"/>
        <w:jc w:val="both"/>
      </w:pPr>
      <w:r>
        <w:tab/>
      </w:r>
      <w:r w:rsidR="00FC040D">
        <w:t xml:space="preserve">Οι λεγόμενες </w:t>
      </w:r>
      <w:r w:rsidR="003C327E" w:rsidRPr="00A348D1">
        <w:rPr>
          <w:b/>
          <w:bCs/>
          <w:i/>
        </w:rPr>
        <w:t>επιταγές αποδοχής τ</w:t>
      </w:r>
      <w:r w:rsidR="00FC040D" w:rsidRPr="00A348D1">
        <w:rPr>
          <w:b/>
          <w:bCs/>
          <w:i/>
        </w:rPr>
        <w:t>ράπεζας</w:t>
      </w:r>
      <w:r w:rsidR="00FC040D" w:rsidRPr="003C327E">
        <w:rPr>
          <w:b/>
          <w:bCs/>
        </w:rPr>
        <w:t xml:space="preserve"> </w:t>
      </w:r>
      <w:r w:rsidR="00FC040D" w:rsidRPr="00A348D1">
        <w:rPr>
          <w:bCs/>
        </w:rPr>
        <w:t>(</w:t>
      </w:r>
      <w:r w:rsidR="00FC040D" w:rsidRPr="00A348D1">
        <w:rPr>
          <w:bCs/>
          <w:lang w:val="en-US"/>
        </w:rPr>
        <w:t>Bankers</w:t>
      </w:r>
      <w:r w:rsidR="00FC040D" w:rsidRPr="00A348D1">
        <w:rPr>
          <w:bCs/>
        </w:rPr>
        <w:t xml:space="preserve">’ </w:t>
      </w:r>
      <w:r w:rsidR="00FC040D" w:rsidRPr="00A348D1">
        <w:rPr>
          <w:bCs/>
          <w:lang w:val="en-US"/>
        </w:rPr>
        <w:t>Acceptances</w:t>
      </w:r>
      <w:r w:rsidR="00FC040D" w:rsidRPr="00A348D1">
        <w:rPr>
          <w:bCs/>
        </w:rPr>
        <w:t>)</w:t>
      </w:r>
      <w:r w:rsidR="00FC040D" w:rsidRPr="000B3097">
        <w:t xml:space="preserve"> </w:t>
      </w:r>
      <w:r w:rsidR="00FC040D">
        <w:t>συνήθως προκύπτουν από συναλλαγές του διεθνούς εμπορίου και π</w:t>
      </w:r>
      <w:r w:rsidR="00FC040D" w:rsidRPr="000B3097">
        <w:t>ρόκειται για βραχυχρόνια ανών</w:t>
      </w:r>
      <w:r w:rsidR="00FC040D">
        <w:t xml:space="preserve">υμα γραμμάτια (χωρίς επιτόκιο) που </w:t>
      </w:r>
      <w:r w:rsidR="00FC040D" w:rsidRPr="000B3097">
        <w:t>αντιπροσωπεύουν την υποχρέωση ενός συγκεκριμένου τραπεζικού ιδρύματος</w:t>
      </w:r>
      <w:r w:rsidR="00FC040D">
        <w:t>.</w:t>
      </w:r>
      <w:r w:rsidR="00FC040D" w:rsidRPr="00FC040D">
        <w:t xml:space="preserve"> </w:t>
      </w:r>
      <w:r w:rsidR="00FC040D" w:rsidRPr="000B3097">
        <w:t>Δεδομένου ότι την αποπληρωμή τους εγγυάται το συγκεκριμένο τραπεζικό ίδρυμα ο πιστωτικός τους κίνδυνος είναι ελάχιστος</w:t>
      </w:r>
      <w:r w:rsidR="00FC040D">
        <w:t>. Ενώ π</w:t>
      </w:r>
      <w:r w:rsidR="00FC040D" w:rsidRPr="000B3097">
        <w:t>ωλούνται με έκπτωση από την ονομαστική τους αξία</w:t>
      </w:r>
      <w:r w:rsidR="003C327E">
        <w:t xml:space="preserve"> </w:t>
      </w:r>
      <w:r w:rsidR="00FC040D">
        <w:t>όπως τα έντοκα γραμμάτια.</w:t>
      </w:r>
      <w:r w:rsidR="003C327E">
        <w:t xml:space="preserve"> </w:t>
      </w:r>
    </w:p>
    <w:p w:rsidR="000B3097" w:rsidRPr="00A348D1" w:rsidRDefault="003C327E" w:rsidP="00A348D1">
      <w:pPr>
        <w:tabs>
          <w:tab w:val="num" w:pos="720"/>
          <w:tab w:val="num" w:pos="1080"/>
        </w:tabs>
        <w:spacing w:line="360" w:lineRule="auto"/>
        <w:jc w:val="both"/>
        <w:rPr>
          <w:bCs/>
        </w:rPr>
      </w:pPr>
      <w:r>
        <w:tab/>
        <w:t>Τέλος ένα ακόμα εργαλείο για την</w:t>
      </w:r>
      <w:r w:rsidRPr="003C327E">
        <w:t xml:space="preserve"> διεκπεραίωση των εργασιών διεθνούς εμπορίου είναι οι </w:t>
      </w:r>
      <w:r w:rsidRPr="003C327E">
        <w:rPr>
          <w:b/>
        </w:rPr>
        <w:t>εγγυητικές επιστολές</w:t>
      </w:r>
      <w:r w:rsidRPr="00A348D1">
        <w:t xml:space="preserve"> </w:t>
      </w:r>
      <w:r w:rsidRPr="00A348D1">
        <w:rPr>
          <w:bCs/>
        </w:rPr>
        <w:t>(</w:t>
      </w:r>
      <w:r w:rsidRPr="00A348D1">
        <w:rPr>
          <w:bCs/>
          <w:lang w:val="en-US"/>
        </w:rPr>
        <w:t>Letters</w:t>
      </w:r>
      <w:r w:rsidRPr="00A348D1">
        <w:rPr>
          <w:bCs/>
        </w:rPr>
        <w:t xml:space="preserve"> </w:t>
      </w:r>
      <w:r w:rsidRPr="00A348D1">
        <w:rPr>
          <w:bCs/>
          <w:lang w:val="en-US"/>
        </w:rPr>
        <w:t>of</w:t>
      </w:r>
      <w:r w:rsidRPr="00A348D1">
        <w:rPr>
          <w:bCs/>
        </w:rPr>
        <w:t xml:space="preserve"> </w:t>
      </w:r>
      <w:r w:rsidRPr="00A348D1">
        <w:rPr>
          <w:bCs/>
          <w:lang w:val="en-US"/>
        </w:rPr>
        <w:t>Credit</w:t>
      </w:r>
      <w:r w:rsidRPr="00A348D1">
        <w:rPr>
          <w:bCs/>
        </w:rPr>
        <w:t xml:space="preserve">, </w:t>
      </w:r>
      <w:r w:rsidRPr="00A348D1">
        <w:rPr>
          <w:bCs/>
          <w:lang w:val="en-US"/>
        </w:rPr>
        <w:t>L</w:t>
      </w:r>
      <w:r w:rsidRPr="00A348D1">
        <w:rPr>
          <w:bCs/>
        </w:rPr>
        <w:t>/</w:t>
      </w:r>
      <w:r w:rsidRPr="00A348D1">
        <w:rPr>
          <w:bCs/>
          <w:lang w:val="en-US"/>
        </w:rPr>
        <w:t>C</w:t>
      </w:r>
      <w:r w:rsidRPr="00A348D1">
        <w:rPr>
          <w:b/>
          <w:bCs/>
        </w:rPr>
        <w:t>)</w:t>
      </w:r>
      <w:r w:rsidRPr="00A348D1">
        <w:t>.</w:t>
      </w:r>
      <w:r>
        <w:t xml:space="preserve"> </w:t>
      </w:r>
      <w:r w:rsidRPr="003C327E">
        <w:t>Πρόκειται για ένα πιστοποιητικό που εκδίδεται από έναν τραπεζικό οργανισμό και με το οποίο πιστοποιείται η σύμφωνη γνώμη της τράπεζα</w:t>
      </w:r>
      <w:r w:rsidR="00A348D1">
        <w:t>ς</w:t>
      </w:r>
      <w:r w:rsidRPr="003C327E">
        <w:t xml:space="preserve">: του εισαγωγέα να καταβάλλει σε </w:t>
      </w:r>
      <w:r w:rsidRPr="003C327E">
        <w:lastRenderedPageBreak/>
        <w:t>καθορισμένη ημερομηνία, ένα συγκεκριμένο ποσό στον εξαγωγέα, με τον όρο να έχουν τηρηθεί επακριβώς οι προσυμφωνημένοι όροι πώλησης.</w:t>
      </w:r>
      <w:r>
        <w:t xml:space="preserve"> Με κάποια προμήθεια που καταβάλλει ο εισαγωγέας δεν ρισκάρει ένα μεγάλο ποσό από κάποια συναλλαγή.</w:t>
      </w:r>
      <w:r w:rsidRPr="003C327E">
        <w:t xml:space="preserve"> Οι περισσότερες εγγυητικές επιστολές που εκδίδονται είναι ανέκκλητες ως εκ τούτου αποτελούν μια πολύ ισχυρή νομική δέσμευση για την τράπεζα που τις εκδίδει</w:t>
      </w:r>
      <w:r>
        <w:t xml:space="preserve">. </w:t>
      </w:r>
      <w:r w:rsidRPr="003C327E">
        <w:t>Πολλές φορές οι τράπεζες χρησιμοποιούν εγγυητικές επιστολές οι οποίες τις</w:t>
      </w:r>
      <w:r w:rsidRPr="000B3097">
        <w:t xml:space="preserve"> επιτρέπουν να καταβάλλουν τα χρηματικά ποσά στον εξαγωγέα όχι ταυτόχρονα με την έκδοση της συναλλαγματικής αλλά σε καθορισμένο μελλοντικό χρόνο. </w:t>
      </w:r>
      <w:r>
        <w:t>Έτσι επιτρέπεται</w:t>
      </w:r>
      <w:r w:rsidRPr="000B3097">
        <w:t xml:space="preserve"> στον εισαγωγέα να αποκτήσει την κυριότητα των αγαθών και να τα πωλήσει πριν η τράπεζα του, καταβάλλει το τίμημα στον εξαγωγέα. Μ' αυτό τον τρόπο ο εισαγωγέας καταθέτει το απαιτούμενο ποσό που οφείλει στην τράπεζα, πριν αυτή πληρώσει τη συναλλαγματική. Έτσι η τράπεζα εξοφλεί τη συναλλαγματική με τα χρήματα </w:t>
      </w:r>
      <w:r w:rsidRPr="00A348D1">
        <w:t xml:space="preserve">του εισαγωγέα και όχι με δικά της κεφάλαια </w:t>
      </w:r>
      <w:r w:rsidR="00A348D1" w:rsidRPr="00A348D1">
        <w:rPr>
          <w:bCs/>
        </w:rPr>
        <w:t>(Μελάς και Χρηστίδου, 1999</w:t>
      </w:r>
      <w:r w:rsidR="000C637D" w:rsidRPr="00A348D1">
        <w:rPr>
          <w:bCs/>
        </w:rPr>
        <w:t>)</w:t>
      </w:r>
      <w:r w:rsidRPr="00A348D1">
        <w:rPr>
          <w:bCs/>
        </w:rPr>
        <w:t>.</w:t>
      </w:r>
    </w:p>
    <w:p w:rsidR="009F1AF7" w:rsidRDefault="009F1AF7" w:rsidP="005B6B87">
      <w:pPr>
        <w:pStyle w:val="2"/>
        <w:spacing w:before="0" w:after="0" w:line="360" w:lineRule="auto"/>
        <w:jc w:val="both"/>
        <w:rPr>
          <w:rFonts w:ascii="Times New Roman" w:hAnsi="Times New Roman" w:cs="Times New Roman"/>
          <w:i w:val="0"/>
        </w:rPr>
      </w:pPr>
    </w:p>
    <w:p w:rsidR="005B6B87" w:rsidRDefault="005B6B87" w:rsidP="005B6B87">
      <w:pPr>
        <w:pStyle w:val="2"/>
        <w:spacing w:before="0" w:after="0" w:line="360" w:lineRule="auto"/>
        <w:jc w:val="both"/>
        <w:rPr>
          <w:rFonts w:ascii="Times New Roman" w:hAnsi="Times New Roman" w:cs="Times New Roman"/>
          <w:i w:val="0"/>
        </w:rPr>
      </w:pPr>
      <w:bookmarkStart w:id="12" w:name="_Toc393111069"/>
      <w:r>
        <w:rPr>
          <w:rFonts w:ascii="Times New Roman" w:hAnsi="Times New Roman" w:cs="Times New Roman"/>
          <w:i w:val="0"/>
        </w:rPr>
        <w:t>4.9</w:t>
      </w:r>
      <w:r w:rsidRPr="00F07A2C">
        <w:rPr>
          <w:rFonts w:ascii="Times New Roman" w:hAnsi="Times New Roman" w:cs="Times New Roman"/>
          <w:i w:val="0"/>
        </w:rPr>
        <w:t xml:space="preserve"> </w:t>
      </w:r>
      <w:r>
        <w:rPr>
          <w:rFonts w:ascii="Times New Roman" w:hAnsi="Times New Roman" w:cs="Times New Roman"/>
          <w:i w:val="0"/>
        </w:rPr>
        <w:t xml:space="preserve">Μετρώντας τις </w:t>
      </w:r>
      <w:r w:rsidR="000414F6">
        <w:rPr>
          <w:rFonts w:ascii="Times New Roman" w:hAnsi="Times New Roman" w:cs="Times New Roman"/>
          <w:i w:val="0"/>
        </w:rPr>
        <w:t>αποδόσεις των προϊόντων  της χ</w:t>
      </w:r>
      <w:r w:rsidRPr="009F6F3B">
        <w:rPr>
          <w:rFonts w:ascii="Times New Roman" w:hAnsi="Times New Roman" w:cs="Times New Roman"/>
          <w:i w:val="0"/>
        </w:rPr>
        <w:t>ρηματαγοράς</w:t>
      </w:r>
      <w:bookmarkEnd w:id="12"/>
    </w:p>
    <w:p w:rsidR="00BE503C" w:rsidRDefault="00BE503C" w:rsidP="00BE503C">
      <w:pPr>
        <w:tabs>
          <w:tab w:val="num" w:pos="720"/>
          <w:tab w:val="num" w:pos="1080"/>
        </w:tabs>
        <w:spacing w:line="360" w:lineRule="auto"/>
        <w:jc w:val="both"/>
      </w:pPr>
      <w:r>
        <w:tab/>
      </w:r>
      <w:r w:rsidR="000C637D">
        <w:t xml:space="preserve">Στην παρούσα ενότητα θα παρουσιάσουμε τις βασικές μεθόδους υπολογισμού των αποδόσεων της χρηματαγοράς. </w:t>
      </w:r>
      <w:r w:rsidR="008231B4">
        <w:t xml:space="preserve"> Δεδομένου ότι όταν κάποιος επενδύει ένα ποσό </w:t>
      </w:r>
      <w:r w:rsidR="000B3097" w:rsidRPr="000B3097">
        <w:t xml:space="preserve"> χρημάτων σήμερα </w:t>
      </w:r>
      <w:r w:rsidR="008231B4">
        <w:t>περιμένει να λάβει ένα μεγαλύτερο ποσό στο μέλλον η απόδοση είναι</w:t>
      </w:r>
      <w:r w:rsidR="000B3097" w:rsidRPr="000B3097">
        <w:t xml:space="preserve"> αύξηση του ποσού εκφρασμένη ως ποσοστό της αρχικής επένδυσης σε ετήσια βάση. Στη πράξη αυτή η ιδέα λαμβάνει τρεις διαφορετικές μορφές</w:t>
      </w:r>
      <w:r>
        <w:t xml:space="preserve"> ανάλογα με τον τύπο του τίτλου της χρηματαγοράς που θέλουμε να μελετήσουμε</w:t>
      </w:r>
      <w:r w:rsidR="00A348D1">
        <w:t xml:space="preserve"> (</w:t>
      </w:r>
      <w:r w:rsidR="00A348D1">
        <w:rPr>
          <w:lang w:val="en-US"/>
        </w:rPr>
        <w:t>Giddy</w:t>
      </w:r>
      <w:r w:rsidR="00A348D1" w:rsidRPr="00A348D1">
        <w:t>, 1996)</w:t>
      </w:r>
      <w:r w:rsidR="000B3097" w:rsidRPr="000B3097">
        <w:t>.</w:t>
      </w:r>
    </w:p>
    <w:p w:rsidR="00BE503C" w:rsidRDefault="00BE503C" w:rsidP="00BE503C">
      <w:pPr>
        <w:tabs>
          <w:tab w:val="num" w:pos="720"/>
          <w:tab w:val="num" w:pos="1080"/>
        </w:tabs>
        <w:spacing w:line="360" w:lineRule="auto"/>
        <w:jc w:val="both"/>
      </w:pPr>
      <w:r>
        <w:tab/>
        <w:t>Στην περίπτωση των τραπεζικών καταθέσεων χ</w:t>
      </w:r>
      <w:r w:rsidR="008231B4" w:rsidRPr="000B3097">
        <w:t>ρησιμοποιείται</w:t>
      </w:r>
      <w:r>
        <w:t xml:space="preserve"> ο ακόλουθος τύπος</w:t>
      </w:r>
      <w:r w:rsidR="008231B4" w:rsidRPr="000B3097">
        <w:t xml:space="preserve"> </w:t>
      </w:r>
      <w:r>
        <w:t>για τον υπολογισμό της απόδοσης</w:t>
      </w:r>
      <w:r w:rsidRPr="00BE503C">
        <w:t xml:space="preserve">. </w:t>
      </w:r>
      <w:r w:rsidRPr="000B3097">
        <w:t xml:space="preserve">Όπου </w:t>
      </w:r>
      <w:r w:rsidRPr="000B3097">
        <w:rPr>
          <w:lang w:val="en-US"/>
        </w:rPr>
        <w:t>t</w:t>
      </w:r>
      <w:r w:rsidRPr="000B3097">
        <w:t xml:space="preserve"> οι ημέρες που απομένουν για τη λήξη</w:t>
      </w:r>
      <w:r>
        <w:t>.</w:t>
      </w:r>
    </w:p>
    <w:p w:rsidR="00BE503C" w:rsidRDefault="003F037E" w:rsidP="00BE503C">
      <w:pPr>
        <w:tabs>
          <w:tab w:val="num" w:pos="720"/>
          <w:tab w:val="num" w:pos="1080"/>
        </w:tabs>
        <w:spacing w:line="360" w:lineRule="auto"/>
        <w:ind w:firstLine="720"/>
        <w:jc w:val="both"/>
      </w:pPr>
      <w:r>
        <w:tab/>
      </w:r>
      <w:r w:rsidR="00BE503C" w:rsidRPr="00BE503C">
        <w:object w:dxaOrig="34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33.65pt" o:ole="">
            <v:imagedata r:id="rId18" o:title=""/>
          </v:shape>
          <o:OLEObject Type="Embed" ProgID="Equation.3" ShapeID="_x0000_i1025" DrawAspect="Content" ObjectID="_1468664510" r:id="rId19"/>
        </w:object>
      </w:r>
    </w:p>
    <w:p w:rsidR="008231B4" w:rsidRPr="000B3097" w:rsidRDefault="00BE503C" w:rsidP="00BE503C">
      <w:pPr>
        <w:tabs>
          <w:tab w:val="num" w:pos="720"/>
          <w:tab w:val="num" w:pos="1080"/>
        </w:tabs>
        <w:spacing w:line="360" w:lineRule="auto"/>
        <w:jc w:val="both"/>
      </w:pPr>
      <w:r>
        <w:t>Αν για παράδειγμα η πληρωμή τόκων είναι $2</w:t>
      </w:r>
      <w:r w:rsidR="008231B4" w:rsidRPr="000B3097">
        <w:t>5 για μια κατάθεση 90 ημερών 100</w:t>
      </w:r>
      <w:r>
        <w:t>0</w:t>
      </w:r>
      <w:r w:rsidR="008231B4" w:rsidRPr="000B3097">
        <w:t xml:space="preserve"> Ευρωδολαρίων, </w:t>
      </w:r>
      <w:r>
        <w:t>η απόδοση αυτής της κατάθεσης θα είναι:</w:t>
      </w:r>
    </w:p>
    <w:p w:rsidR="008231B4" w:rsidRPr="000B3097" w:rsidRDefault="00BE503C" w:rsidP="00BE503C">
      <w:pPr>
        <w:tabs>
          <w:tab w:val="num" w:pos="720"/>
          <w:tab w:val="num" w:pos="1080"/>
        </w:tabs>
        <w:spacing w:line="360" w:lineRule="auto"/>
        <w:jc w:val="both"/>
      </w:pPr>
      <w:r>
        <w:tab/>
      </w:r>
      <w:r w:rsidR="003F037E">
        <w:tab/>
      </w:r>
      <w:r w:rsidRPr="00BE503C">
        <w:object w:dxaOrig="3240" w:dyaOrig="620">
          <v:shape id="_x0000_i1026" type="#_x0000_t75" style="width:162.7pt;height:29.9pt" o:ole="">
            <v:imagedata r:id="rId20" o:title=""/>
          </v:shape>
          <o:OLEObject Type="Embed" ProgID="Equation.3" ShapeID="_x0000_i1026" DrawAspect="Content" ObjectID="_1468664511" r:id="rId21"/>
        </w:object>
      </w:r>
      <w:r w:rsidR="008231B4" w:rsidRPr="000B3097">
        <w:t xml:space="preserve"> </w:t>
      </w:r>
    </w:p>
    <w:p w:rsidR="008231B4" w:rsidRPr="00BE503C" w:rsidRDefault="00BE503C" w:rsidP="00BE503C">
      <w:pPr>
        <w:tabs>
          <w:tab w:val="num" w:pos="720"/>
          <w:tab w:val="num" w:pos="1080"/>
        </w:tabs>
        <w:spacing w:line="360" w:lineRule="auto"/>
        <w:jc w:val="both"/>
      </w:pPr>
      <w:r>
        <w:lastRenderedPageBreak/>
        <w:t>Βέβαια πρέπει να τονίσουμε ότι τ</w:t>
      </w:r>
      <w:r w:rsidR="008231B4" w:rsidRPr="000B3097">
        <w:t xml:space="preserve">ο μειονέκτημα αυτής της μεθόδου είναι ότι δεν λαμβάνει υπόψη τον ανατοκισμό. </w:t>
      </w:r>
    </w:p>
    <w:p w:rsidR="008231B4" w:rsidRDefault="00BE503C" w:rsidP="00BE503C">
      <w:pPr>
        <w:tabs>
          <w:tab w:val="num" w:pos="720"/>
          <w:tab w:val="num" w:pos="1080"/>
        </w:tabs>
        <w:spacing w:line="360" w:lineRule="auto"/>
        <w:jc w:val="both"/>
      </w:pPr>
      <w:r>
        <w:tab/>
      </w:r>
      <w:r w:rsidR="008231B4">
        <w:t xml:space="preserve">Στην περίπτωση των εντόκων γραμματίων (ΕΓΔ, </w:t>
      </w:r>
      <w:r w:rsidR="008231B4" w:rsidRPr="00BE503C">
        <w:t>CP</w:t>
      </w:r>
      <w:r w:rsidR="008231B4">
        <w:t>)</w:t>
      </w:r>
      <w:r w:rsidR="008231B4" w:rsidRPr="008231B4">
        <w:t xml:space="preserve"> </w:t>
      </w:r>
      <w:r w:rsidR="008231B4">
        <w:t xml:space="preserve">αλλά και των επιταγών αποδοχής τράπεζας που πωλούνται με </w:t>
      </w:r>
      <w:r w:rsidR="008231B4" w:rsidRPr="000B3097">
        <w:t xml:space="preserve">έκπτωση από την ονομαστική τους αξία </w:t>
      </w:r>
      <w:r w:rsidR="008231B4">
        <w:t>μπορούμε να υπολογίσουμε την τιμή τους βάση του ακόλουθου τύπου:</w:t>
      </w:r>
    </w:p>
    <w:p w:rsidR="008231B4" w:rsidRDefault="00BE503C" w:rsidP="00BE503C">
      <w:pPr>
        <w:tabs>
          <w:tab w:val="num" w:pos="720"/>
          <w:tab w:val="num" w:pos="1080"/>
        </w:tabs>
        <w:spacing w:line="360" w:lineRule="auto"/>
        <w:jc w:val="both"/>
      </w:pPr>
      <w:r>
        <w:tab/>
      </w:r>
      <w:r w:rsidR="003F037E">
        <w:tab/>
      </w:r>
      <w:r w:rsidR="008231B4" w:rsidRPr="000B3097">
        <w:object w:dxaOrig="2000" w:dyaOrig="620">
          <v:shape id="_x0000_i1027" type="#_x0000_t75" style="width:100.05pt;height:29.9pt" o:ole="">
            <v:imagedata r:id="rId22" o:title=""/>
          </v:shape>
          <o:OLEObject Type="Embed" ProgID="Equation.3" ShapeID="_x0000_i1027" DrawAspect="Content" ObjectID="_1468664512" r:id="rId23"/>
        </w:object>
      </w:r>
    </w:p>
    <w:p w:rsidR="008231B4" w:rsidRPr="008231B4" w:rsidRDefault="008231B4" w:rsidP="00BE503C">
      <w:pPr>
        <w:tabs>
          <w:tab w:val="num" w:pos="720"/>
          <w:tab w:val="num" w:pos="1080"/>
        </w:tabs>
        <w:spacing w:line="360" w:lineRule="auto"/>
        <w:jc w:val="both"/>
      </w:pPr>
      <w:r>
        <w:t xml:space="preserve">Όπου, </w:t>
      </w:r>
      <w:r w:rsidRPr="00BE503C">
        <w:t>P</w:t>
      </w:r>
      <w:r>
        <w:t xml:space="preserve"> η αγοραία τιμή του τίτλου, </w:t>
      </w:r>
      <w:r w:rsidRPr="00BE503C">
        <w:t>R</w:t>
      </w:r>
      <w:r w:rsidRPr="000B3097">
        <w:t xml:space="preserve"> </w:t>
      </w:r>
      <w:r>
        <w:t>η ονομαστική αξία</w:t>
      </w:r>
      <w:r w:rsidRPr="000B3097">
        <w:t xml:space="preserve">, </w:t>
      </w:r>
      <w:r w:rsidRPr="00BE503C">
        <w:t>d</w:t>
      </w:r>
      <w:r w:rsidRPr="000B3097">
        <w:t xml:space="preserve"> είναι το προεξοφλητικό επιτόκιο (</w:t>
      </w:r>
      <w:proofErr w:type="spellStart"/>
      <w:r w:rsidRPr="00BE503C">
        <w:t>discount</w:t>
      </w:r>
      <w:proofErr w:type="spellEnd"/>
      <w:r w:rsidRPr="000B3097">
        <w:t xml:space="preserve"> </w:t>
      </w:r>
      <w:proofErr w:type="spellStart"/>
      <w:r w:rsidRPr="00BE503C">
        <w:t>rate</w:t>
      </w:r>
      <w:proofErr w:type="spellEnd"/>
      <w:r w:rsidRPr="000B3097">
        <w:t xml:space="preserve">) και </w:t>
      </w:r>
      <w:r w:rsidRPr="00BE503C">
        <w:t>t</w:t>
      </w:r>
      <w:r w:rsidRPr="000B3097">
        <w:t xml:space="preserve"> ο χρόνος για τη λήξη.</w:t>
      </w:r>
      <w:r w:rsidR="00BE503C">
        <w:t xml:space="preserve"> </w:t>
      </w:r>
      <w:r>
        <w:t xml:space="preserve">Χρησιμοποιώντας αυτό τον τύπο και λύνοντας ως προ το επιτόκιο </w:t>
      </w:r>
      <w:r w:rsidRPr="00BE503C">
        <w:t>d</w:t>
      </w:r>
      <w:r>
        <w:t xml:space="preserve">, βρίσκουμε την απόδοση με την λεγόμενη μέθοδο του προεξοφλητικού επιτοκίου. </w:t>
      </w:r>
      <w:r w:rsidRPr="008231B4">
        <w:t xml:space="preserve"> </w:t>
      </w:r>
    </w:p>
    <w:p w:rsidR="008231B4" w:rsidRPr="000B3097" w:rsidRDefault="00BE503C" w:rsidP="00BE503C">
      <w:pPr>
        <w:tabs>
          <w:tab w:val="num" w:pos="720"/>
          <w:tab w:val="num" w:pos="1080"/>
        </w:tabs>
        <w:spacing w:line="360" w:lineRule="auto"/>
        <w:jc w:val="both"/>
      </w:pPr>
      <w:r>
        <w:tab/>
      </w:r>
      <w:r w:rsidR="003F037E">
        <w:tab/>
      </w:r>
      <w:r w:rsidR="008231B4" w:rsidRPr="000B3097">
        <w:object w:dxaOrig="1579" w:dyaOrig="620">
          <v:shape id="_x0000_i1028" type="#_x0000_t75" style="width:77.6pt;height:29.9pt" o:ole="">
            <v:imagedata r:id="rId24" o:title=""/>
          </v:shape>
          <o:OLEObject Type="Embed" ProgID="Equation.3" ShapeID="_x0000_i1028" DrawAspect="Content" ObjectID="_1468664513" r:id="rId25"/>
        </w:object>
      </w:r>
    </w:p>
    <w:p w:rsidR="008231B4" w:rsidRPr="000B3097" w:rsidRDefault="00575380" w:rsidP="00BE503C">
      <w:pPr>
        <w:tabs>
          <w:tab w:val="num" w:pos="720"/>
          <w:tab w:val="num" w:pos="1080"/>
        </w:tabs>
        <w:spacing w:line="360" w:lineRule="auto"/>
        <w:jc w:val="both"/>
      </w:pPr>
      <w:r>
        <w:t>Έτσι για παράδειγμα προκειμένου να βρούμε π</w:t>
      </w:r>
      <w:r w:rsidR="008231B4" w:rsidRPr="000B3097">
        <w:t>οιο είναι το προεξοφλητικό επιτόκιο ενός ΕΓΔ που απομένουν 100 ημέρες ως τη λήξη του, μ</w:t>
      </w:r>
      <w:r w:rsidR="00721750">
        <w:t xml:space="preserve">ε ονομαστική αξία $100000 εάν η αγοραία </w:t>
      </w:r>
      <w:r w:rsidR="008231B4" w:rsidRPr="000B3097">
        <w:t>τιμή πώλησης τ</w:t>
      </w:r>
      <w:r>
        <w:t>ου είναι  $97569 εφαρμόζουμε τον ακόλουθο τύπο:</w:t>
      </w:r>
    </w:p>
    <w:p w:rsidR="008231B4" w:rsidRPr="000B3097" w:rsidRDefault="008231B4" w:rsidP="00104FFC">
      <w:pPr>
        <w:tabs>
          <w:tab w:val="num" w:pos="720"/>
          <w:tab w:val="num" w:pos="1080"/>
        </w:tabs>
        <w:spacing w:line="360" w:lineRule="auto"/>
        <w:jc w:val="both"/>
      </w:pPr>
      <w:r w:rsidRPr="000B3097">
        <w:tab/>
      </w:r>
      <w:r w:rsidR="003F037E">
        <w:tab/>
      </w:r>
      <w:r w:rsidRPr="000B3097">
        <w:object w:dxaOrig="3400" w:dyaOrig="620">
          <v:shape id="_x0000_i1029" type="#_x0000_t75" style="width:170.2pt;height:29.9pt" o:ole="">
            <v:imagedata r:id="rId26" o:title=""/>
          </v:shape>
          <o:OLEObject Type="Embed" ProgID="Equation.3" ShapeID="_x0000_i1029" DrawAspect="Content" ObjectID="_1468664514" r:id="rId27"/>
        </w:object>
      </w:r>
    </w:p>
    <w:p w:rsidR="000B3097" w:rsidRPr="000B3097" w:rsidRDefault="003F037E" w:rsidP="00575380">
      <w:pPr>
        <w:tabs>
          <w:tab w:val="num" w:pos="720"/>
          <w:tab w:val="num" w:pos="1080"/>
        </w:tabs>
        <w:spacing w:line="360" w:lineRule="auto"/>
        <w:jc w:val="both"/>
      </w:pPr>
      <w:r>
        <w:tab/>
      </w:r>
      <w:r w:rsidR="00575380">
        <w:t xml:space="preserve">Τέλος στην περίπτωση των πιστοποιητικών καταθέσεων και στα γραμμάτια κυμαινόμενου επιτοκίου εφαρμόζουμε το λεγόμενο ισοδύναμο </w:t>
      </w:r>
      <w:r w:rsidR="000B3097" w:rsidRPr="00104FFC">
        <w:t>απόδοσης ομολόγου ή απόδοση στη λήξη</w:t>
      </w:r>
      <w:r w:rsidR="00575380" w:rsidRPr="00104FFC">
        <w:t xml:space="preserve"> (</w:t>
      </w:r>
      <w:proofErr w:type="spellStart"/>
      <w:r w:rsidR="00575380" w:rsidRPr="00104FFC">
        <w:t>yield</w:t>
      </w:r>
      <w:proofErr w:type="spellEnd"/>
      <w:r w:rsidR="00575380" w:rsidRPr="00104FFC">
        <w:t xml:space="preserve"> </w:t>
      </w:r>
      <w:proofErr w:type="spellStart"/>
      <w:r w:rsidR="00575380" w:rsidRPr="00104FFC">
        <w:t>to</w:t>
      </w:r>
      <w:proofErr w:type="spellEnd"/>
      <w:r w:rsidR="00575380" w:rsidRPr="00104FFC">
        <w:t xml:space="preserve"> </w:t>
      </w:r>
      <w:proofErr w:type="spellStart"/>
      <w:r w:rsidR="00575380" w:rsidRPr="00104FFC">
        <w:t>maturity</w:t>
      </w:r>
      <w:proofErr w:type="spellEnd"/>
      <w:r w:rsidR="00575380" w:rsidRPr="00104FFC">
        <w:t>).</w:t>
      </w:r>
      <w:r w:rsidR="000B3097" w:rsidRPr="00104FFC">
        <w:t xml:space="preserve"> </w:t>
      </w:r>
      <w:r w:rsidR="00575380" w:rsidRPr="00104FFC">
        <w:t xml:space="preserve">Η απόδοση στην λήξη είναι </w:t>
      </w:r>
      <w:r w:rsidR="000B3097" w:rsidRPr="000B3097">
        <w:t>το επιτόκιο</w:t>
      </w:r>
      <w:r w:rsidR="00575380">
        <w:t xml:space="preserve"> εκείνο</w:t>
      </w:r>
      <w:r w:rsidR="000B3097" w:rsidRPr="000B3097">
        <w:t xml:space="preserve"> που εξισώνει την παρούσα αξία των μελλοντικών τόκων και κεφαλαίου με την τρ</w:t>
      </w:r>
      <w:r w:rsidR="00575380">
        <w:t>έχουσα τιμή αγοράς του τίτλου</w:t>
      </w:r>
      <w:r w:rsidR="000B3097" w:rsidRPr="000B3097">
        <w:t>.</w:t>
      </w:r>
    </w:p>
    <w:p w:rsidR="000B3097" w:rsidRPr="000B3097" w:rsidRDefault="00104FFC" w:rsidP="00104FFC">
      <w:pPr>
        <w:tabs>
          <w:tab w:val="num" w:pos="720"/>
          <w:tab w:val="num" w:pos="1080"/>
        </w:tabs>
        <w:spacing w:line="360" w:lineRule="auto"/>
        <w:jc w:val="both"/>
      </w:pPr>
      <w:r>
        <w:tab/>
      </w:r>
      <w:r w:rsidR="003F037E">
        <w:tab/>
      </w:r>
      <w:r w:rsidR="000B3097" w:rsidRPr="000B3097">
        <w:object w:dxaOrig="4340" w:dyaOrig="680">
          <v:shape id="_x0000_i1030" type="#_x0000_t75" style="width:217.85pt;height:33.65pt" o:ole="">
            <v:imagedata r:id="rId28" o:title=""/>
          </v:shape>
          <o:OLEObject Type="Embed" ProgID="Equation.3" ShapeID="_x0000_i1030" DrawAspect="Content" ObjectID="_1468664515" r:id="rId29"/>
        </w:object>
      </w:r>
      <w:r w:rsidR="000B3097" w:rsidRPr="000B3097">
        <w:t xml:space="preserve"> </w:t>
      </w:r>
      <w:r w:rsidR="000B3097" w:rsidRPr="000B3097">
        <w:tab/>
      </w:r>
      <w:r w:rsidR="000B3097" w:rsidRPr="000B3097">
        <w:tab/>
      </w:r>
      <w:r w:rsidR="000B3097" w:rsidRPr="000B3097">
        <w:tab/>
      </w:r>
    </w:p>
    <w:p w:rsidR="003F037E" w:rsidRDefault="000B3097" w:rsidP="00104FFC">
      <w:pPr>
        <w:tabs>
          <w:tab w:val="num" w:pos="720"/>
          <w:tab w:val="num" w:pos="1080"/>
        </w:tabs>
        <w:spacing w:line="360" w:lineRule="auto"/>
        <w:jc w:val="both"/>
      </w:pPr>
      <w:r w:rsidRPr="000B3097">
        <w:t>Όπου,</w:t>
      </w:r>
      <w:r w:rsidR="00575380">
        <w:t xml:space="preserve"> </w:t>
      </w:r>
      <w:r w:rsidRPr="00104FFC">
        <w:t>P</w:t>
      </w:r>
      <w:r w:rsidR="00575380">
        <w:t xml:space="preserve">  είναι </w:t>
      </w:r>
      <w:r w:rsidRPr="000B3097">
        <w:t>η τρέ</w:t>
      </w:r>
      <w:r w:rsidR="00575380">
        <w:t xml:space="preserve">χουσα αγοραία τιμή του τίτλου, </w:t>
      </w:r>
      <w:r w:rsidRPr="00104FFC">
        <w:t>C</w:t>
      </w:r>
      <w:r w:rsidR="00575380">
        <w:t xml:space="preserve"> είναι</w:t>
      </w:r>
      <w:r w:rsidRPr="000B3097">
        <w:t xml:space="preserve"> το ποσό των τόκων (τοκομερίδια) που καταβάλλεται ετησίως</w:t>
      </w:r>
      <w:r w:rsidR="00575380">
        <w:t xml:space="preserve">, </w:t>
      </w:r>
      <w:r w:rsidR="00721750">
        <w:rPr>
          <w:lang w:val="en-US"/>
        </w:rPr>
        <w:t>n</w:t>
      </w:r>
      <w:r w:rsidR="00575380">
        <w:t xml:space="preserve"> </w:t>
      </w:r>
      <w:r w:rsidRPr="000B3097">
        <w:t>ο αριθμός των ετών</w:t>
      </w:r>
      <w:r w:rsidR="00575380">
        <w:t xml:space="preserve"> που απομένουν ως τη λήξη και </w:t>
      </w:r>
      <w:r w:rsidRPr="00104FFC">
        <w:t>FV</w:t>
      </w:r>
      <w:r w:rsidRPr="000B3097">
        <w:t xml:space="preserve"> η </w:t>
      </w:r>
      <w:r w:rsidR="00721750">
        <w:t>ονομαστική</w:t>
      </w:r>
      <w:r w:rsidRPr="000B3097">
        <w:t xml:space="preserve"> αξία του </w:t>
      </w:r>
      <w:r w:rsidR="00575380">
        <w:t>τίτλου.</w:t>
      </w:r>
      <w:r w:rsidR="003F037E">
        <w:t xml:space="preserve"> </w:t>
      </w:r>
    </w:p>
    <w:p w:rsidR="000B3097" w:rsidRPr="000B3097" w:rsidRDefault="003F037E" w:rsidP="00104FFC">
      <w:pPr>
        <w:tabs>
          <w:tab w:val="num" w:pos="720"/>
          <w:tab w:val="num" w:pos="1080"/>
        </w:tabs>
        <w:spacing w:line="360" w:lineRule="auto"/>
        <w:jc w:val="both"/>
      </w:pPr>
      <w:r>
        <w:tab/>
      </w:r>
      <w:r w:rsidR="00575380">
        <w:t xml:space="preserve">Στην περίπτωση όπου </w:t>
      </w:r>
      <w:r w:rsidR="000B3097" w:rsidRPr="000B3097">
        <w:t xml:space="preserve">οι τόκοι καταβάλλονται </w:t>
      </w:r>
      <w:r w:rsidR="000B3097" w:rsidRPr="00104FFC">
        <w:t>m</w:t>
      </w:r>
      <w:r w:rsidR="000B3097" w:rsidRPr="000B3097">
        <w:t xml:space="preserve"> φορές το χρόνο (συνήθως κάθε 3 και κάθε 6 μήνες στις </w:t>
      </w:r>
      <w:proofErr w:type="spellStart"/>
      <w:r w:rsidR="000B3097" w:rsidRPr="000B3097">
        <w:t>ευρωκαταθέσεις</w:t>
      </w:r>
      <w:proofErr w:type="spellEnd"/>
      <w:r w:rsidR="000B3097" w:rsidRPr="000B3097">
        <w:t xml:space="preserve"> και στα γραμμάτια κυμαινόμενου επιτοκίου), ο τύπος τροποποιείται:</w:t>
      </w:r>
    </w:p>
    <w:p w:rsidR="000B3097" w:rsidRPr="00575380" w:rsidRDefault="00104FFC" w:rsidP="00104FFC">
      <w:pPr>
        <w:tabs>
          <w:tab w:val="num" w:pos="720"/>
          <w:tab w:val="num" w:pos="1080"/>
        </w:tabs>
        <w:spacing w:line="360" w:lineRule="auto"/>
        <w:jc w:val="both"/>
      </w:pPr>
      <w:r>
        <w:lastRenderedPageBreak/>
        <w:tab/>
      </w:r>
      <w:r w:rsidR="003F037E">
        <w:tab/>
      </w:r>
      <w:r w:rsidR="000B3097" w:rsidRPr="000B3097">
        <w:object w:dxaOrig="5220" w:dyaOrig="1240">
          <v:shape id="_x0000_i1031" type="#_x0000_t75" style="width:261.8pt;height:62.65pt" o:ole="">
            <v:imagedata r:id="rId30" o:title=""/>
          </v:shape>
          <o:OLEObject Type="Embed" ProgID="Equation.3" ShapeID="_x0000_i1031" DrawAspect="Content" ObjectID="_1468664516" r:id="rId31"/>
        </w:object>
      </w:r>
    </w:p>
    <w:p w:rsidR="00104FFC" w:rsidRPr="000B3097" w:rsidRDefault="00575380" w:rsidP="00104FFC">
      <w:pPr>
        <w:tabs>
          <w:tab w:val="num" w:pos="720"/>
          <w:tab w:val="num" w:pos="1080"/>
        </w:tabs>
        <w:spacing w:line="360" w:lineRule="auto"/>
        <w:jc w:val="both"/>
      </w:pPr>
      <w:r w:rsidRPr="000B3097">
        <w:t>Για</w:t>
      </w:r>
      <w:r>
        <w:t xml:space="preserve"> παράδειγμα προκειμένου να βρούμε π</w:t>
      </w:r>
      <w:r w:rsidR="000B3097" w:rsidRPr="000B3097">
        <w:t xml:space="preserve">οια είναι η απόδοση στη λήξη ενός 18μηνου πιστοποιητικού καταθέσεων σε </w:t>
      </w:r>
      <w:r w:rsidR="00721750">
        <w:t>ε</w:t>
      </w:r>
      <w:r w:rsidR="000B3097" w:rsidRPr="000B3097">
        <w:t>υρωδολάρια που πωλείται στη τιμή των 99 με ετήσιο επιτόκιο 9% και οι τ</w:t>
      </w:r>
      <w:r>
        <w:t>όκοι καταβάλλονται κάθε 3 μήνες, εργαζόμαστε ως εξής. Πρώτα καθορίζουμε τον αριθμό</w:t>
      </w:r>
      <w:r w:rsidR="000B3097" w:rsidRPr="000B3097">
        <w:t xml:space="preserve"> περιόδων καταβολής τόκων </w:t>
      </w:r>
      <w:r w:rsidR="00721750" w:rsidRPr="00721750">
        <w:rPr>
          <w:position w:val="-10"/>
        </w:rPr>
        <w:object w:dxaOrig="1600" w:dyaOrig="320">
          <v:shape id="_x0000_i1032" type="#_x0000_t75" style="width:81.35pt;height:16.85pt" o:ole="">
            <v:imagedata r:id="rId32" o:title=""/>
          </v:shape>
          <o:OLEObject Type="Embed" ProgID="Equation.3" ShapeID="_x0000_i1032" DrawAspect="Content" ObjectID="_1468664517" r:id="rId33"/>
        </w:object>
      </w:r>
      <w:r w:rsidR="000B3097" w:rsidRPr="000B3097">
        <w:t xml:space="preserve">αφού πληρώνει 4 φορές το χρόνο για 18 μήνες δηλ. 1,5 χρόνια. </w:t>
      </w:r>
      <w:r>
        <w:t xml:space="preserve">Στη συνέχεια </w:t>
      </w:r>
      <w:r w:rsidR="00104FFC">
        <w:t>και χ</w:t>
      </w:r>
      <w:r w:rsidR="00104FFC" w:rsidRPr="000B3097">
        <w:t xml:space="preserve">ρησιμοποιώντας ένα λογιστικό φύλλο </w:t>
      </w:r>
      <w:r w:rsidR="00104FFC">
        <w:t xml:space="preserve">βρίσκουμε το </w:t>
      </w:r>
      <w:r w:rsidR="00104FFC" w:rsidRPr="00104FFC">
        <w:t>i</w:t>
      </w:r>
      <w:r w:rsidR="00104FFC" w:rsidRPr="000B3097">
        <w:t xml:space="preserve"> που ικανοποιεί την ακόλουθη εξίσωση:</w:t>
      </w:r>
    </w:p>
    <w:p w:rsidR="00104FFC" w:rsidRPr="000B3097" w:rsidRDefault="00104FFC" w:rsidP="00104FFC">
      <w:pPr>
        <w:tabs>
          <w:tab w:val="num" w:pos="720"/>
          <w:tab w:val="num" w:pos="1080"/>
        </w:tabs>
        <w:spacing w:line="360" w:lineRule="auto"/>
        <w:ind w:firstLine="720"/>
        <w:jc w:val="both"/>
      </w:pPr>
      <w:r w:rsidRPr="000B3097">
        <w:object w:dxaOrig="7240" w:dyaOrig="1200">
          <v:shape id="_x0000_i1033" type="#_x0000_t75" style="width:361.85pt;height:58.9pt" o:ole="">
            <v:imagedata r:id="rId34" o:title=""/>
          </v:shape>
          <o:OLEObject Type="Embed" ProgID="Equation.3" ShapeID="_x0000_i1033" DrawAspect="Content" ObjectID="_1468664518" r:id="rId35"/>
        </w:object>
      </w:r>
    </w:p>
    <w:p w:rsidR="00104FFC" w:rsidRPr="000B3097" w:rsidRDefault="00104FFC" w:rsidP="00104FFC">
      <w:pPr>
        <w:tabs>
          <w:tab w:val="num" w:pos="720"/>
          <w:tab w:val="num" w:pos="1080"/>
        </w:tabs>
        <w:spacing w:line="360" w:lineRule="auto"/>
        <w:jc w:val="both"/>
      </w:pPr>
      <w:r>
        <w:t xml:space="preserve">Στην δικά μας περίπτωση το i είναι </w:t>
      </w:r>
      <w:r w:rsidRPr="000B3097">
        <w:t>9,72%.</w:t>
      </w:r>
    </w:p>
    <w:p w:rsidR="000B3097" w:rsidRPr="000B3097" w:rsidRDefault="000B3097" w:rsidP="000B3097"/>
    <w:p w:rsidR="005B6B87" w:rsidRPr="005B6B87" w:rsidRDefault="005B6B87" w:rsidP="005B6B87"/>
    <w:p w:rsidR="005B6B87" w:rsidRDefault="005B6B87" w:rsidP="005B6B87">
      <w:pPr>
        <w:pStyle w:val="2"/>
        <w:spacing w:before="0" w:after="0" w:line="360" w:lineRule="auto"/>
        <w:jc w:val="both"/>
        <w:rPr>
          <w:rFonts w:ascii="Times New Roman" w:hAnsi="Times New Roman" w:cs="Times New Roman"/>
          <w:i w:val="0"/>
        </w:rPr>
      </w:pPr>
      <w:bookmarkStart w:id="13" w:name="_Toc393111070"/>
      <w:r>
        <w:rPr>
          <w:rFonts w:ascii="Times New Roman" w:hAnsi="Times New Roman" w:cs="Times New Roman"/>
          <w:i w:val="0"/>
        </w:rPr>
        <w:t>4.10</w:t>
      </w:r>
      <w:r w:rsidRPr="00F07A2C">
        <w:rPr>
          <w:rFonts w:ascii="Times New Roman" w:hAnsi="Times New Roman" w:cs="Times New Roman"/>
          <w:i w:val="0"/>
        </w:rPr>
        <w:t xml:space="preserve"> </w:t>
      </w:r>
      <w:r>
        <w:rPr>
          <w:rFonts w:ascii="Times New Roman" w:hAnsi="Times New Roman" w:cs="Times New Roman"/>
          <w:i w:val="0"/>
        </w:rPr>
        <w:t>Ο ρόλος των διαπραγματευτών τίτλων στην χρηματαγορά</w:t>
      </w:r>
      <w:bookmarkEnd w:id="13"/>
      <w:r>
        <w:rPr>
          <w:rFonts w:ascii="Times New Roman" w:hAnsi="Times New Roman" w:cs="Times New Roman"/>
          <w:i w:val="0"/>
        </w:rPr>
        <w:t xml:space="preserve"> </w:t>
      </w:r>
    </w:p>
    <w:p w:rsidR="005874C1" w:rsidRDefault="00721750" w:rsidP="0097036E">
      <w:pPr>
        <w:tabs>
          <w:tab w:val="num" w:pos="720"/>
          <w:tab w:val="num" w:pos="1080"/>
        </w:tabs>
        <w:spacing w:line="360" w:lineRule="auto"/>
        <w:jc w:val="both"/>
      </w:pPr>
      <w:r>
        <w:tab/>
      </w:r>
      <w:r w:rsidR="000B3097">
        <w:t>Μια</w:t>
      </w:r>
      <w:r w:rsidR="005874C1">
        <w:t xml:space="preserve"> αγορά χαρακτηρίζεται ως</w:t>
      </w:r>
      <w:r w:rsidR="000B3097">
        <w:t xml:space="preserve"> </w:t>
      </w:r>
      <w:r w:rsidR="000B3097" w:rsidRPr="00721750">
        <w:t xml:space="preserve">ρευστή </w:t>
      </w:r>
      <w:r w:rsidR="005874C1" w:rsidRPr="00721750">
        <w:t>όταν</w:t>
      </w:r>
      <w:r w:rsidR="005874C1">
        <w:t xml:space="preserve"> </w:t>
      </w:r>
      <w:r w:rsidR="000B3097">
        <w:t>μια μεμονωμένη συναλλαγή δε διατ</w:t>
      </w:r>
      <w:r w:rsidR="005874C1">
        <w:t>αράσσει τη συνέχεια της αγοράς</w:t>
      </w:r>
      <w:r w:rsidR="000B3097">
        <w:t xml:space="preserve">. Πιο </w:t>
      </w:r>
      <w:r w:rsidR="005874C1">
        <w:t>συγκεκρι</w:t>
      </w:r>
      <w:r w:rsidR="000B3097">
        <w:t xml:space="preserve">μένα, είναι μια αγορά στην οποία μπορείς να αγοράσεις και </w:t>
      </w:r>
      <w:r w:rsidR="005874C1">
        <w:t>να πουλήσεις γρήγορα, ένα</w:t>
      </w:r>
      <w:r w:rsidR="000B3097">
        <w:t xml:space="preserve"> μεγάλο όγκο</w:t>
      </w:r>
      <w:r w:rsidR="005874C1">
        <w:t xml:space="preserve"> τίτλων</w:t>
      </w:r>
      <w:r w:rsidR="000B3097">
        <w:t xml:space="preserve">, </w:t>
      </w:r>
      <w:r w:rsidR="0033118C">
        <w:t>και</w:t>
      </w:r>
      <w:r w:rsidR="000B3097">
        <w:t xml:space="preserve"> χωρίς να αλλάξεις την τιμή κατά πολύ. Αυτό το χαρακτηριστικό των αγορών είναι καθοριστικό για την ομαλή λειτουργία της οικονομίας μας, τόσο σημαντικό που τείνει να λαμβάνεται ως δεδομένο.</w:t>
      </w:r>
      <w:r w:rsidR="005874C1">
        <w:t xml:space="preserve"> </w:t>
      </w:r>
      <w:r w:rsidR="000B3097">
        <w:t>Ένας τρόπος για να καταλάβει κανείς την ιδέα της ρευστής αγοράς είναι επομένως να τη θεωρήσει ως συνέχεια στο χρονικό μονοπάτι της τιμής της αγοράς. Δεν υπάρχουν απότομα ανεβάσματα ή απότομα κατεβάσματα καθώς η τιμή εξελίσσεται στο χρόνο</w:t>
      </w:r>
      <w:r w:rsidR="0033118C">
        <w:t>, όπως φαίνεται στο</w:t>
      </w:r>
      <w:r w:rsidR="005874C1">
        <w:t xml:space="preserve"> γρ</w:t>
      </w:r>
      <w:r w:rsidR="0033118C">
        <w:t>άφημα 4.8</w:t>
      </w:r>
      <w:r w:rsidR="000B3097">
        <w:t>.</w:t>
      </w:r>
    </w:p>
    <w:p w:rsidR="005874C1" w:rsidRDefault="005874C1" w:rsidP="000B3097">
      <w:pPr>
        <w:jc w:val="both"/>
      </w:pPr>
    </w:p>
    <w:p w:rsidR="005874C1" w:rsidRDefault="005874C1" w:rsidP="000B3097">
      <w:pPr>
        <w:jc w:val="both"/>
      </w:pPr>
      <w:r w:rsidRPr="00DC7EB8">
        <w:rPr>
          <w:b/>
        </w:rPr>
        <w:t>Γράφημα</w:t>
      </w:r>
      <w:r w:rsidR="00DC7EB8">
        <w:rPr>
          <w:b/>
        </w:rPr>
        <w:t xml:space="preserve"> 4.8</w:t>
      </w:r>
      <w:r w:rsidR="003F037E">
        <w:t xml:space="preserve"> Συνεχής κα</w:t>
      </w:r>
      <w:r>
        <w:t xml:space="preserve">ι ασυνεχής </w:t>
      </w:r>
      <w:r w:rsidR="00777193">
        <w:t xml:space="preserve">ρευστή </w:t>
      </w:r>
      <w:r>
        <w:t>αγορά</w:t>
      </w:r>
    </w:p>
    <w:tbl>
      <w:tblPr>
        <w:tblStyle w:val="af3"/>
        <w:tblW w:w="0" w:type="auto"/>
        <w:tblLook w:val="04A0" w:firstRow="1" w:lastRow="0" w:firstColumn="1" w:lastColumn="0" w:noHBand="0" w:noVBand="1"/>
      </w:tblPr>
      <w:tblGrid>
        <w:gridCol w:w="4446"/>
        <w:gridCol w:w="3760"/>
      </w:tblGrid>
      <w:tr w:rsidR="005874C1" w:rsidRPr="0033118C" w:rsidTr="007731A8">
        <w:tc>
          <w:tcPr>
            <w:tcW w:w="4086" w:type="dxa"/>
          </w:tcPr>
          <w:p w:rsidR="005874C1" w:rsidRPr="0033118C" w:rsidRDefault="005874C1" w:rsidP="000B3097">
            <w:pPr>
              <w:jc w:val="both"/>
              <w:rPr>
                <w:b/>
                <w:sz w:val="22"/>
                <w:szCs w:val="22"/>
              </w:rPr>
            </w:pPr>
            <w:r w:rsidRPr="0033118C">
              <w:rPr>
                <w:b/>
                <w:sz w:val="22"/>
                <w:szCs w:val="22"/>
              </w:rPr>
              <w:t xml:space="preserve">Συνεχής Ρευστή Αγορά                                   </w:t>
            </w:r>
          </w:p>
        </w:tc>
        <w:tc>
          <w:tcPr>
            <w:tcW w:w="3760" w:type="dxa"/>
          </w:tcPr>
          <w:p w:rsidR="005874C1" w:rsidRPr="0033118C" w:rsidRDefault="005874C1" w:rsidP="000B3097">
            <w:pPr>
              <w:jc w:val="both"/>
              <w:rPr>
                <w:b/>
                <w:sz w:val="22"/>
                <w:szCs w:val="22"/>
              </w:rPr>
            </w:pPr>
            <w:r w:rsidRPr="0033118C">
              <w:rPr>
                <w:b/>
                <w:sz w:val="22"/>
                <w:szCs w:val="22"/>
              </w:rPr>
              <w:t xml:space="preserve">Ασυνεχής Ρευστή Αγορά                                          </w:t>
            </w:r>
          </w:p>
        </w:tc>
      </w:tr>
      <w:tr w:rsidR="005874C1" w:rsidRPr="0033118C" w:rsidTr="007731A8">
        <w:tc>
          <w:tcPr>
            <w:tcW w:w="4086" w:type="dxa"/>
          </w:tcPr>
          <w:p w:rsidR="005874C1" w:rsidRPr="0033118C" w:rsidRDefault="007731A8" w:rsidP="000B3097">
            <w:pPr>
              <w:jc w:val="both"/>
              <w:rPr>
                <w:sz w:val="22"/>
                <w:szCs w:val="22"/>
              </w:rPr>
            </w:pPr>
            <w:r w:rsidRPr="0033118C">
              <w:rPr>
                <w:noProof/>
                <w:sz w:val="22"/>
                <w:szCs w:val="22"/>
              </w:rPr>
              <w:lastRenderedPageBreak/>
              <w:drawing>
                <wp:inline distT="0" distB="0" distL="0" distR="0" wp14:anchorId="546096B4" wp14:editId="188256ED">
                  <wp:extent cx="2679509" cy="1296537"/>
                  <wp:effectExtent l="0" t="0" r="6985" b="0"/>
                  <wp:docPr id="47134" name="Εικόνα 4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_4_Gr_synexis1.jpg"/>
                          <pic:cNvPicPr/>
                        </pic:nvPicPr>
                        <pic:blipFill rotWithShape="1">
                          <a:blip r:embed="rId36">
                            <a:extLst>
                              <a:ext uri="{28A0092B-C50C-407E-A947-70E740481C1C}">
                                <a14:useLocalDpi xmlns:a14="http://schemas.microsoft.com/office/drawing/2010/main" val="0"/>
                              </a:ext>
                            </a:extLst>
                          </a:blip>
                          <a:srcRect l="16538" t="15074" r="43411" b="50667"/>
                          <a:stretch/>
                        </pic:blipFill>
                        <pic:spPr bwMode="auto">
                          <a:xfrm>
                            <a:off x="0" y="0"/>
                            <a:ext cx="2680680" cy="1297104"/>
                          </a:xfrm>
                          <a:prstGeom prst="rect">
                            <a:avLst/>
                          </a:prstGeom>
                          <a:ln>
                            <a:noFill/>
                          </a:ln>
                          <a:extLst>
                            <a:ext uri="{53640926-AAD7-44D8-BBD7-CCE9431645EC}">
                              <a14:shadowObscured xmlns:a14="http://schemas.microsoft.com/office/drawing/2010/main"/>
                            </a:ext>
                          </a:extLst>
                        </pic:spPr>
                      </pic:pic>
                    </a:graphicData>
                  </a:graphic>
                </wp:inline>
              </w:drawing>
            </w:r>
          </w:p>
        </w:tc>
        <w:tc>
          <w:tcPr>
            <w:tcW w:w="3760" w:type="dxa"/>
          </w:tcPr>
          <w:p w:rsidR="005874C1" w:rsidRPr="0033118C" w:rsidRDefault="007731A8" w:rsidP="000B3097">
            <w:pPr>
              <w:jc w:val="both"/>
              <w:rPr>
                <w:sz w:val="22"/>
                <w:szCs w:val="22"/>
              </w:rPr>
            </w:pPr>
            <w:r w:rsidRPr="0033118C">
              <w:rPr>
                <w:noProof/>
                <w:sz w:val="22"/>
                <w:szCs w:val="22"/>
              </w:rPr>
              <w:drawing>
                <wp:inline distT="0" distB="0" distL="0" distR="0" wp14:anchorId="5B4D8C46" wp14:editId="490B52E3">
                  <wp:extent cx="1992573" cy="1420933"/>
                  <wp:effectExtent l="0" t="0" r="8255" b="8255"/>
                  <wp:docPr id="47135" name="Εικόνα 4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_4_Gr_synexis2.jpg"/>
                          <pic:cNvPicPr/>
                        </pic:nvPicPr>
                        <pic:blipFill rotWithShape="1">
                          <a:blip r:embed="rId37">
                            <a:extLst>
                              <a:ext uri="{28A0092B-C50C-407E-A947-70E740481C1C}">
                                <a14:useLocalDpi xmlns:a14="http://schemas.microsoft.com/office/drawing/2010/main" val="0"/>
                              </a:ext>
                            </a:extLst>
                          </a:blip>
                          <a:srcRect l="23256" t="15988" r="45219" b="44272"/>
                          <a:stretch/>
                        </pic:blipFill>
                        <pic:spPr bwMode="auto">
                          <a:xfrm>
                            <a:off x="0" y="0"/>
                            <a:ext cx="1991229" cy="1419975"/>
                          </a:xfrm>
                          <a:prstGeom prst="rect">
                            <a:avLst/>
                          </a:prstGeom>
                          <a:ln>
                            <a:noFill/>
                          </a:ln>
                          <a:extLst>
                            <a:ext uri="{53640926-AAD7-44D8-BBD7-CCE9431645EC}">
                              <a14:shadowObscured xmlns:a14="http://schemas.microsoft.com/office/drawing/2010/main"/>
                            </a:ext>
                          </a:extLst>
                        </pic:spPr>
                      </pic:pic>
                    </a:graphicData>
                  </a:graphic>
                </wp:inline>
              </w:drawing>
            </w:r>
          </w:p>
        </w:tc>
      </w:tr>
    </w:tbl>
    <w:p w:rsidR="005874C1" w:rsidRDefault="000B3097" w:rsidP="005874C1">
      <w:pPr>
        <w:jc w:val="both"/>
      </w:pPr>
      <w:r>
        <w:t xml:space="preserve">          </w:t>
      </w:r>
    </w:p>
    <w:p w:rsidR="00777193" w:rsidRDefault="00985BEE" w:rsidP="005A75AA">
      <w:pPr>
        <w:tabs>
          <w:tab w:val="num" w:pos="720"/>
          <w:tab w:val="num" w:pos="1080"/>
        </w:tabs>
        <w:spacing w:line="360" w:lineRule="auto"/>
        <w:jc w:val="both"/>
      </w:pPr>
      <w:r>
        <w:tab/>
      </w:r>
    </w:p>
    <w:p w:rsidR="00DD4E5C" w:rsidRDefault="00777193" w:rsidP="005A75AA">
      <w:pPr>
        <w:tabs>
          <w:tab w:val="num" w:pos="720"/>
          <w:tab w:val="num" w:pos="1080"/>
        </w:tabs>
        <w:spacing w:line="360" w:lineRule="auto"/>
        <w:jc w:val="both"/>
      </w:pPr>
      <w:r>
        <w:tab/>
      </w:r>
      <w:r w:rsidR="000B3097">
        <w:t xml:space="preserve">Ένας διαπραγματευτής τίτλων που συμπεριφέρεται ως οικονομική μονάδα σε μια πρωταρχική έκδοση των εταιρικών τίτλων αγοράζει τους τίτλους από τους εταιρικούς πελάτες σε μια τιμή και μετά τους πωλεί σε μια υψηλότερη τιμή στους πελάτες λιανικής του. </w:t>
      </w:r>
      <w:r w:rsidR="005874C1">
        <w:t>Ιδιαίτερη αναφορά θα κάνουμε στους δ</w:t>
      </w:r>
      <w:r w:rsidR="000B3097">
        <w:t>ιαπραγματευτές δύο πλευρών οι οποίοι προσφέρονται να πουλήσουν</w:t>
      </w:r>
      <w:r w:rsidR="0097036E" w:rsidRPr="0097036E">
        <w:t xml:space="preserve"> </w:t>
      </w:r>
      <w:r w:rsidR="0097036E">
        <w:t>και να αγοράσουν στην δευτερογενή αγορά</w:t>
      </w:r>
      <w:r w:rsidR="000B3097">
        <w:t xml:space="preserve">. Οι διαπραγματευτές τίτλων παραθέτουν δύο τιμές – μια χαμηλότερη </w:t>
      </w:r>
      <w:r w:rsidR="00DD4E5C" w:rsidRPr="00DD4E5C">
        <w:t>προσφορά</w:t>
      </w:r>
      <w:r w:rsidR="0097036E">
        <w:t xml:space="preserve"> να αγοράσουν και μια υψηλότερη</w:t>
      </w:r>
      <w:r w:rsidR="000B3097">
        <w:t xml:space="preserve"> </w:t>
      </w:r>
      <w:r w:rsidR="00DD4E5C">
        <w:t>προσφορά να πωλήσουν</w:t>
      </w:r>
      <w:r w:rsidR="000B3097">
        <w:t>.</w:t>
      </w:r>
      <w:r w:rsidR="005A75AA">
        <w:t xml:space="preserve"> </w:t>
      </w:r>
      <w:r w:rsidR="000B3097">
        <w:t xml:space="preserve">Ο διαπραγματευτής της μιας πλευράς μόνο πωλεί, επομένως το μόνο που χρειάζεται είναι ένα απόθεμα του αγαθού που πωλεί. Όμως ο διαπραγματευτής </w:t>
      </w:r>
      <w:r w:rsidR="005A75AA">
        <w:t>«</w:t>
      </w:r>
      <w:r w:rsidR="000B3097">
        <w:t>δύο πλευρών</w:t>
      </w:r>
      <w:r w:rsidR="005A75AA">
        <w:t>»</w:t>
      </w:r>
      <w:r w:rsidR="000B3097">
        <w:t xml:space="preserve"> επίσης αγοράζει, και επομένως επί</w:t>
      </w:r>
      <w:r w:rsidR="005A75AA">
        <w:t xml:space="preserve">σης χρειάζεται ένα απόθεμα </w:t>
      </w:r>
      <w:r w:rsidR="000B3097">
        <w:t xml:space="preserve">μετρητών. </w:t>
      </w:r>
      <w:r w:rsidR="005A75AA">
        <w:t>Ας υποθέσουμε ότι ο</w:t>
      </w:r>
      <w:r w:rsidR="000B3097">
        <w:t xml:space="preserve"> διαπραγματευτή</w:t>
      </w:r>
      <w:r w:rsidR="005A75AA">
        <w:t>ς</w:t>
      </w:r>
      <w:r w:rsidR="000B3097">
        <w:t xml:space="preserve"> </w:t>
      </w:r>
      <w:r w:rsidR="005A75AA">
        <w:t xml:space="preserve">τίτλων </w:t>
      </w:r>
      <w:r w:rsidR="000B3097">
        <w:t>κρατά</w:t>
      </w:r>
      <w:r w:rsidR="005A75AA">
        <w:t>ει</w:t>
      </w:r>
      <w:r w:rsidR="000B3097">
        <w:t xml:space="preserve"> και μετρητά και τίτλους</w:t>
      </w:r>
      <w:r w:rsidR="00DD4E5C">
        <w:t xml:space="preserve"> όπως φαίνεται στον ακόλουθο</w:t>
      </w:r>
      <w:r w:rsidR="0033118C">
        <w:t xml:space="preserve"> υποθετικό ισολογισμό</w:t>
      </w:r>
      <w:r w:rsidR="00DD4E5C">
        <w:t>.</w:t>
      </w:r>
    </w:p>
    <w:p w:rsidR="00777193" w:rsidRDefault="00777193" w:rsidP="00DD4E5C">
      <w:pPr>
        <w:jc w:val="center"/>
        <w:rPr>
          <w:b/>
        </w:rPr>
      </w:pPr>
    </w:p>
    <w:p w:rsidR="000B3097" w:rsidRDefault="00DD4E5C" w:rsidP="00DD4E5C">
      <w:pPr>
        <w:jc w:val="center"/>
      </w:pPr>
      <w:r w:rsidRPr="00DC7EB8">
        <w:rPr>
          <w:b/>
        </w:rPr>
        <w:t xml:space="preserve">Πίνακας </w:t>
      </w:r>
      <w:r w:rsidR="00DC7EB8" w:rsidRPr="00DC7EB8">
        <w:rPr>
          <w:b/>
        </w:rPr>
        <w:t>4.2</w:t>
      </w:r>
      <w:r w:rsidR="00613B48">
        <w:rPr>
          <w:b/>
        </w:rPr>
        <w:t>3</w:t>
      </w:r>
      <w:r w:rsidR="00DC7EB8" w:rsidRPr="00DC7EB8">
        <w:rPr>
          <w:b/>
        </w:rPr>
        <w:t xml:space="preserve"> </w:t>
      </w:r>
      <w:r>
        <w:t>Υποθετικός Ισολογισμός δ</w:t>
      </w:r>
      <w:r w:rsidR="000B3097">
        <w:t>ιαπραγματευτή</w:t>
      </w:r>
    </w:p>
    <w:tbl>
      <w:tblPr>
        <w:tblStyle w:val="af3"/>
        <w:tblW w:w="0" w:type="auto"/>
        <w:jc w:val="center"/>
        <w:tblLook w:val="04A0" w:firstRow="1" w:lastRow="0" w:firstColumn="1" w:lastColumn="0" w:noHBand="0" w:noVBand="1"/>
      </w:tblPr>
      <w:tblGrid>
        <w:gridCol w:w="2538"/>
        <w:gridCol w:w="2429"/>
      </w:tblGrid>
      <w:tr w:rsidR="00DD4E5C" w:rsidRPr="00777193" w:rsidTr="00DD4E5C">
        <w:trPr>
          <w:jc w:val="center"/>
        </w:trPr>
        <w:tc>
          <w:tcPr>
            <w:tcW w:w="2538" w:type="dxa"/>
            <w:shd w:val="clear" w:color="auto" w:fill="BFBFBF" w:themeFill="background1" w:themeFillShade="BF"/>
          </w:tcPr>
          <w:p w:rsidR="00DD4E5C" w:rsidRPr="00777193" w:rsidRDefault="00DD4E5C" w:rsidP="000B3097">
            <w:pPr>
              <w:jc w:val="both"/>
              <w:rPr>
                <w:rFonts w:ascii="Times New Roman" w:hAnsi="Times New Roman"/>
                <w:sz w:val="22"/>
                <w:szCs w:val="22"/>
              </w:rPr>
            </w:pPr>
            <w:r w:rsidRPr="00777193">
              <w:rPr>
                <w:rFonts w:ascii="Times New Roman" w:hAnsi="Times New Roman"/>
                <w:sz w:val="22"/>
                <w:szCs w:val="22"/>
              </w:rPr>
              <w:t xml:space="preserve">Στοιχεία Ενεργητικού                           </w:t>
            </w:r>
          </w:p>
        </w:tc>
        <w:tc>
          <w:tcPr>
            <w:tcW w:w="2429" w:type="dxa"/>
            <w:shd w:val="clear" w:color="auto" w:fill="BFBFBF" w:themeFill="background1" w:themeFillShade="BF"/>
          </w:tcPr>
          <w:p w:rsidR="00DD4E5C" w:rsidRPr="00777193" w:rsidRDefault="00DD4E5C" w:rsidP="000B3097">
            <w:pPr>
              <w:jc w:val="both"/>
              <w:rPr>
                <w:rFonts w:ascii="Times New Roman" w:hAnsi="Times New Roman"/>
                <w:sz w:val="22"/>
                <w:szCs w:val="22"/>
              </w:rPr>
            </w:pPr>
            <w:r w:rsidRPr="00777193">
              <w:rPr>
                <w:rFonts w:ascii="Times New Roman" w:hAnsi="Times New Roman"/>
                <w:sz w:val="22"/>
                <w:szCs w:val="22"/>
              </w:rPr>
              <w:t xml:space="preserve">Στοιχεία Παθητικού   </w:t>
            </w:r>
          </w:p>
        </w:tc>
      </w:tr>
      <w:tr w:rsidR="00DD4E5C" w:rsidRPr="00777193" w:rsidTr="00DD4E5C">
        <w:trPr>
          <w:jc w:val="center"/>
        </w:trPr>
        <w:tc>
          <w:tcPr>
            <w:tcW w:w="2538" w:type="dxa"/>
          </w:tcPr>
          <w:p w:rsidR="00DD4E5C" w:rsidRPr="00777193" w:rsidRDefault="00DD4E5C" w:rsidP="00DD4E5C">
            <w:pPr>
              <w:jc w:val="both"/>
              <w:rPr>
                <w:rFonts w:ascii="Times New Roman" w:hAnsi="Times New Roman"/>
                <w:sz w:val="22"/>
                <w:szCs w:val="22"/>
              </w:rPr>
            </w:pPr>
            <w:r w:rsidRPr="00777193">
              <w:rPr>
                <w:rFonts w:ascii="Times New Roman" w:hAnsi="Times New Roman"/>
                <w:sz w:val="22"/>
                <w:szCs w:val="22"/>
              </w:rPr>
              <w:t xml:space="preserve">Τίτλοι                                                    </w:t>
            </w:r>
          </w:p>
          <w:p w:rsidR="00DD4E5C" w:rsidRPr="00777193" w:rsidRDefault="00DD4E5C" w:rsidP="00DD4E5C">
            <w:pPr>
              <w:jc w:val="both"/>
              <w:rPr>
                <w:rFonts w:ascii="Times New Roman" w:hAnsi="Times New Roman"/>
                <w:sz w:val="22"/>
                <w:szCs w:val="22"/>
              </w:rPr>
            </w:pPr>
            <w:r w:rsidRPr="00777193">
              <w:rPr>
                <w:rFonts w:ascii="Times New Roman" w:hAnsi="Times New Roman"/>
                <w:sz w:val="22"/>
                <w:szCs w:val="22"/>
              </w:rPr>
              <w:t>Μετρητά</w:t>
            </w:r>
          </w:p>
          <w:p w:rsidR="00DD4E5C" w:rsidRPr="00777193" w:rsidRDefault="00DD4E5C" w:rsidP="000B3097">
            <w:pPr>
              <w:jc w:val="both"/>
              <w:rPr>
                <w:rFonts w:ascii="Times New Roman" w:hAnsi="Times New Roman"/>
                <w:sz w:val="22"/>
                <w:szCs w:val="22"/>
              </w:rPr>
            </w:pPr>
          </w:p>
        </w:tc>
        <w:tc>
          <w:tcPr>
            <w:tcW w:w="2429" w:type="dxa"/>
          </w:tcPr>
          <w:p w:rsidR="00DD4E5C" w:rsidRPr="00777193" w:rsidRDefault="00DD4E5C" w:rsidP="000B3097">
            <w:pPr>
              <w:jc w:val="both"/>
              <w:rPr>
                <w:rFonts w:ascii="Times New Roman" w:hAnsi="Times New Roman"/>
                <w:sz w:val="22"/>
                <w:szCs w:val="22"/>
              </w:rPr>
            </w:pPr>
            <w:r w:rsidRPr="00777193">
              <w:rPr>
                <w:rFonts w:ascii="Times New Roman" w:hAnsi="Times New Roman"/>
                <w:sz w:val="22"/>
                <w:szCs w:val="22"/>
              </w:rPr>
              <w:t>Κεφάλαιο</w:t>
            </w:r>
          </w:p>
        </w:tc>
      </w:tr>
    </w:tbl>
    <w:p w:rsidR="00777193" w:rsidRDefault="00985BEE" w:rsidP="00777193">
      <w:pPr>
        <w:tabs>
          <w:tab w:val="num" w:pos="720"/>
          <w:tab w:val="num" w:pos="1080"/>
        </w:tabs>
        <w:spacing w:before="120" w:line="360" w:lineRule="auto"/>
        <w:jc w:val="both"/>
      </w:pPr>
      <w:r>
        <w:tab/>
      </w:r>
    </w:p>
    <w:p w:rsidR="000B3097" w:rsidRPr="00985BEE" w:rsidRDefault="00777193" w:rsidP="00777193">
      <w:pPr>
        <w:tabs>
          <w:tab w:val="num" w:pos="720"/>
          <w:tab w:val="num" w:pos="1080"/>
        </w:tabs>
        <w:spacing w:before="120" w:line="360" w:lineRule="auto"/>
        <w:jc w:val="both"/>
        <w:rPr>
          <w:u w:val="single"/>
        </w:rPr>
      </w:pPr>
      <w:r>
        <w:tab/>
      </w:r>
      <w:r w:rsidR="001C4519">
        <w:t xml:space="preserve">Ο υποθετικός διαπραγματευτής </w:t>
      </w:r>
      <w:r w:rsidR="000B3097">
        <w:t xml:space="preserve">χρησιμοποιεί αυτά τα αποθέματα για να απορροφήσει τις </w:t>
      </w:r>
      <w:r w:rsidR="001C4519">
        <w:t xml:space="preserve">πιθανές </w:t>
      </w:r>
      <w:r w:rsidR="000B3097">
        <w:t xml:space="preserve">μεταβολές/διακυμάνσεις στη ζήτηση και την προσφορά. </w:t>
      </w:r>
      <w:r w:rsidR="005A75AA">
        <w:t xml:space="preserve">Έτσι βλέπουμε γραφικά πώς αλλάζει στην διάρκεια του χρόνου το απόθεμα τίτλων και ρευστών για ένα διαπραγματευτή τίτλων. </w:t>
      </w:r>
    </w:p>
    <w:p w:rsidR="00777193" w:rsidRDefault="00777193" w:rsidP="005A75AA">
      <w:pPr>
        <w:jc w:val="center"/>
        <w:rPr>
          <w:b/>
        </w:rPr>
      </w:pPr>
    </w:p>
    <w:p w:rsidR="001C4519" w:rsidRDefault="005A75AA" w:rsidP="005A75AA">
      <w:pPr>
        <w:jc w:val="center"/>
      </w:pPr>
      <w:r w:rsidRPr="005A75AA">
        <w:rPr>
          <w:b/>
        </w:rPr>
        <w:t xml:space="preserve">Γράφημα </w:t>
      </w:r>
      <w:r w:rsidR="00DC7EB8" w:rsidRPr="00DC7EB8">
        <w:rPr>
          <w:b/>
        </w:rPr>
        <w:t>4.9</w:t>
      </w:r>
      <w:r>
        <w:t xml:space="preserve"> Διαχρονική εξέλιξη αποθέματος τίτλων και ρευστών</w:t>
      </w:r>
    </w:p>
    <w:p w:rsidR="000B3097" w:rsidRDefault="007731A8" w:rsidP="005A75AA">
      <w:pPr>
        <w:jc w:val="center"/>
      </w:pPr>
      <w:r>
        <w:rPr>
          <w:noProof/>
        </w:rPr>
        <w:lastRenderedPageBreak/>
        <w:drawing>
          <wp:inline distT="0" distB="0" distL="0" distR="0">
            <wp:extent cx="2442949" cy="1597314"/>
            <wp:effectExtent l="19050" t="19050" r="14605" b="22225"/>
            <wp:docPr id="47133" name="Εικόνα 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_4_Gr_Treyn0.jpg"/>
                    <pic:cNvPicPr/>
                  </pic:nvPicPr>
                  <pic:blipFill rotWithShape="1">
                    <a:blip r:embed="rId38">
                      <a:extLst>
                        <a:ext uri="{28A0092B-C50C-407E-A947-70E740481C1C}">
                          <a14:useLocalDpi xmlns:a14="http://schemas.microsoft.com/office/drawing/2010/main" val="0"/>
                        </a:ext>
                      </a:extLst>
                    </a:blip>
                    <a:srcRect l="12403" t="11876" r="40568" b="33766"/>
                    <a:stretch/>
                  </pic:blipFill>
                  <pic:spPr bwMode="auto">
                    <a:xfrm>
                      <a:off x="0" y="0"/>
                      <a:ext cx="2441924" cy="15966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A75AA" w:rsidRDefault="000B3097" w:rsidP="005A75AA">
      <w:pPr>
        <w:tabs>
          <w:tab w:val="num" w:pos="720"/>
          <w:tab w:val="num" w:pos="1080"/>
        </w:tabs>
        <w:spacing w:line="360" w:lineRule="auto"/>
        <w:jc w:val="both"/>
      </w:pPr>
      <w:r>
        <w:t xml:space="preserve"> </w:t>
      </w:r>
    </w:p>
    <w:p w:rsidR="00985BEE" w:rsidRDefault="00985BEE" w:rsidP="005A75AA">
      <w:pPr>
        <w:tabs>
          <w:tab w:val="num" w:pos="720"/>
          <w:tab w:val="num" w:pos="1080"/>
        </w:tabs>
        <w:spacing w:line="360" w:lineRule="auto"/>
        <w:jc w:val="both"/>
      </w:pPr>
      <w:r>
        <w:tab/>
      </w:r>
      <w:r w:rsidR="000B3097">
        <w:t>Ένας τρόπος για να εκτιμήσει κανείς αυτό που κάνουν οι διαπραγματευτές</w:t>
      </w:r>
      <w:r w:rsidR="001C4519">
        <w:t xml:space="preserve"> τίτλων</w:t>
      </w:r>
      <w:r w:rsidR="000B3097">
        <w:t xml:space="preserve"> είναι να σκεφτεί το τι θα γινόταν χωρίς αυτούς. Οι ανισορροπίες στην προσφορά και τη ζήτηση θα ανάγκαζαν τις </w:t>
      </w:r>
      <w:r w:rsidR="000B3097" w:rsidRPr="007D644A">
        <w:rPr>
          <w:u w:val="single"/>
        </w:rPr>
        <w:t>τιμές</w:t>
      </w:r>
      <w:r w:rsidR="000B3097">
        <w:t xml:space="preserve"> να μεταβάλλονται ασταμάτητα, ή θα ωθούσε τους τελικούς προμηθευτές και καταναλωτές να </w:t>
      </w:r>
      <w:r w:rsidR="000B3097" w:rsidRPr="007D644A">
        <w:rPr>
          <w:u w:val="single"/>
        </w:rPr>
        <w:t>περιμένουν</w:t>
      </w:r>
      <w:r w:rsidR="000B3097">
        <w:t xml:space="preserve"> για ανταπόκριση από την άλλη πλευρά. Η αγορά τίτλων θα έμοιαζε με την αγορά κατοικίας στην οποία οι μεμονωμένοι αγοραστές πρέπει να βρουν μεμονωμένους πωλητές και να διαπραγμα</w:t>
      </w:r>
      <w:r w:rsidR="005A75AA">
        <w:t xml:space="preserve">τευθούν μεμονωμένες συμφωνίες. </w:t>
      </w:r>
      <w:r w:rsidR="000B3097">
        <w:t>Αντί αυτού, στην αγορά τίτλων, οι αγοραστές και οι πωλητές έχουν μόνο να βρουν έναν διαπραγματευτή, και ο διαπραγματευτής είναι αυτός που αναλαμβάνει την απέναντι πλευρά της συναλλαγής τους. Ο διαπραγματευτής διαμορφώνει ρευστές αγορές αγοράζοντας όταν υπάρχει υπερβάλλουσα πίεση για πωλήσεις, και πουλώντας όταν υπάρχει υπερβάλλουσα πίεση για να αγοράσουν.</w:t>
      </w:r>
      <w:r w:rsidR="005A75AA">
        <w:t xml:space="preserve"> </w:t>
      </w:r>
      <w:r w:rsidR="000B3097">
        <w:t>Οφείλει να δώσει προσοχή στις τιμές</w:t>
      </w:r>
      <w:r w:rsidR="001C4519">
        <w:t xml:space="preserve"> αγοράς και πώλησης εάν θέλει να επιβιώσει</w:t>
      </w:r>
      <w:r w:rsidR="000B3097">
        <w:t xml:space="preserve"> και να διασφαλίσει ότι δεν πληρώνει πάρα πολλά ή δεν πωλεί για πολύ μικρό αντάλλαγμα. Οι διαπραγματευτές επομένως λειτουργούν ώστε να εξομαλύνουν τις τιμές καθώς και για να διαμορφώνουν συνεχείς αγο</w:t>
      </w:r>
      <w:r>
        <w:t>ρές από ασυνεχείς ροές εντολών.</w:t>
      </w:r>
    </w:p>
    <w:p w:rsidR="000B3097" w:rsidRDefault="00985BEE" w:rsidP="005A75AA">
      <w:pPr>
        <w:tabs>
          <w:tab w:val="num" w:pos="720"/>
          <w:tab w:val="num" w:pos="1080"/>
        </w:tabs>
        <w:spacing w:line="360" w:lineRule="auto"/>
        <w:jc w:val="both"/>
      </w:pPr>
      <w:r>
        <w:tab/>
      </w:r>
      <w:r w:rsidR="005A75AA">
        <w:t xml:space="preserve">Στην διαδικασία διαμεσολάβησης για έναν διαπραγματευτή τίτλων εμφανίζονται δυο σημαντικοί κίνδυνοι. </w:t>
      </w:r>
      <w:r w:rsidR="005A6611">
        <w:t>Ο πρώτος έχει να κάνει με μια διαχρονική αλλαγή στην θεμελιώδη</w:t>
      </w:r>
      <w:r w:rsidR="000B3097">
        <w:t xml:space="preserve"> αξία των τίτλων </w:t>
      </w:r>
      <w:r w:rsidR="005A6611">
        <w:t>και αυτό μπορεί να επηρεάσει το απόθεμα τίτλων που έχει ο διαπραγματευτής τίτλων την στιγμή της αλλαγής. Αυτός ο κίνδυνος είναι γνωστός ως «κίνδυνος αποθέματος»</w:t>
      </w:r>
      <w:r w:rsidR="000B3097">
        <w:t>. Επιπλέον υπάρχει ο κίνδυνος ότι ένας πελάτης μπορεί να ξέρει περισσότερα από τον διαπραγματευτή, επομένως ο διαπραγματευτής θα αγοράζει σε πολύ υψηλή τιμή και θα πωλεί σε πολύ χαμηλή τιμή</w:t>
      </w:r>
      <w:r w:rsidR="005A6611">
        <w:t>, γνωστός ως «κίνδυνος δυσμενούς επιλογής»</w:t>
      </w:r>
      <w:r w:rsidR="000B3097">
        <w:t>. Το περιθώριο</w:t>
      </w:r>
      <w:r w:rsidR="005A6611">
        <w:t xml:space="preserve"> στην τιμή</w:t>
      </w:r>
      <w:r w:rsidR="000B3097">
        <w:t xml:space="preserve"> προσφοράς-ζήτησης αντισταθμίζει κατά κάποιο τρόπο αυτό τον κίνδυνο, και σε </w:t>
      </w:r>
      <w:r w:rsidR="000B3097">
        <w:lastRenderedPageBreak/>
        <w:t xml:space="preserve">καιρούς μεγάλης μεταβλητότητας βλέπουμε τους διαπραγματευτές να διευρύνουν </w:t>
      </w:r>
      <w:r w:rsidR="005A6611">
        <w:t xml:space="preserve">αυτό </w:t>
      </w:r>
      <w:r w:rsidR="000B3097">
        <w:t>το</w:t>
      </w:r>
      <w:r w:rsidR="000B3097" w:rsidRPr="009F6776">
        <w:t xml:space="preserve"> </w:t>
      </w:r>
      <w:r w:rsidR="005A6611">
        <w:t>περιθώριο. Εξίσου σημαντική όμως</w:t>
      </w:r>
      <w:r w:rsidR="000B3097">
        <w:t>, είναι</w:t>
      </w:r>
      <w:r w:rsidR="005A6611">
        <w:t xml:space="preserve"> και</w:t>
      </w:r>
      <w:r w:rsidR="000B3097">
        <w:t xml:space="preserve"> η ικανότητα του διαπραγματευτή να </w:t>
      </w:r>
      <w:r w:rsidR="000B3097" w:rsidRPr="00985BEE">
        <w:t>αλλάζει την τιμή καθώς αλλάζουν τα αποθέματα.</w:t>
      </w:r>
      <w:r w:rsidR="000B3097">
        <w:rPr>
          <w:b/>
        </w:rPr>
        <w:t xml:space="preserve"> </w:t>
      </w:r>
      <w:r w:rsidR="000B3097">
        <w:t xml:space="preserve">Ο </w:t>
      </w:r>
      <w:proofErr w:type="spellStart"/>
      <w:r w:rsidR="000B3097">
        <w:rPr>
          <w:lang w:val="en-US"/>
        </w:rPr>
        <w:t>Treynor</w:t>
      </w:r>
      <w:proofErr w:type="spellEnd"/>
      <w:r w:rsidR="000B3097" w:rsidRPr="009F6776">
        <w:t xml:space="preserve"> </w:t>
      </w:r>
      <w:r w:rsidR="000B3097">
        <w:t>π</w:t>
      </w:r>
      <w:r w:rsidR="005A6611">
        <w:t xml:space="preserve">αρέχει ένα </w:t>
      </w:r>
      <w:r w:rsidR="000B3097">
        <w:t>υπόδειγμα της λειτουργίας του διαπραγματευτή</w:t>
      </w:r>
      <w:r>
        <w:t xml:space="preserve"> όπως φαίνεται </w:t>
      </w:r>
      <w:r w:rsidR="005A6611">
        <w:t xml:space="preserve">στο </w:t>
      </w:r>
      <w:r w:rsidR="005A6611" w:rsidRPr="00985BEE">
        <w:t>γράφημα</w:t>
      </w:r>
      <w:r>
        <w:t xml:space="preserve"> 4.10</w:t>
      </w:r>
      <w:r w:rsidR="000B3097" w:rsidRPr="00985BEE">
        <w:t xml:space="preserve"> </w:t>
      </w:r>
      <w:r w:rsidR="005A6611" w:rsidRPr="00985BEE">
        <w:t>(</w:t>
      </w:r>
      <w:proofErr w:type="spellStart"/>
      <w:r w:rsidR="005A6611" w:rsidRPr="00985BEE">
        <w:rPr>
          <w:lang w:val="en-US"/>
        </w:rPr>
        <w:t>Mehrling</w:t>
      </w:r>
      <w:proofErr w:type="spellEnd"/>
      <w:r w:rsidRPr="00985BEE">
        <w:t>, 2010</w:t>
      </w:r>
      <w:r w:rsidR="005A6611" w:rsidRPr="00985BEE">
        <w:t>).</w:t>
      </w:r>
    </w:p>
    <w:p w:rsidR="00DC7EB8" w:rsidRPr="007731A8" w:rsidRDefault="00DC7EB8" w:rsidP="00DC7EB8">
      <w:pPr>
        <w:jc w:val="center"/>
      </w:pPr>
      <w:r w:rsidRPr="005A75AA">
        <w:rPr>
          <w:b/>
        </w:rPr>
        <w:t xml:space="preserve">Γράφημα </w:t>
      </w:r>
      <w:r w:rsidRPr="00DC7EB8">
        <w:rPr>
          <w:b/>
        </w:rPr>
        <w:t>4.10</w:t>
      </w:r>
      <w:r>
        <w:t xml:space="preserve"> </w:t>
      </w:r>
      <w:r w:rsidR="007731A8">
        <w:t xml:space="preserve">Γραφική Αναπαράσταση του υποδείγματος του </w:t>
      </w:r>
      <w:proofErr w:type="spellStart"/>
      <w:r w:rsidR="007731A8">
        <w:rPr>
          <w:lang w:val="en-US"/>
        </w:rPr>
        <w:t>Treynor</w:t>
      </w:r>
      <w:proofErr w:type="spellEnd"/>
    </w:p>
    <w:p w:rsidR="000B3097" w:rsidRDefault="00F20C1C" w:rsidP="00DC6059">
      <w:pPr>
        <w:jc w:val="center"/>
      </w:pPr>
      <w:r>
        <w:rPr>
          <w:noProof/>
        </w:rPr>
        <w:drawing>
          <wp:inline distT="0" distB="0" distL="0" distR="0">
            <wp:extent cx="3507475" cy="1923455"/>
            <wp:effectExtent l="19050" t="19050" r="17145" b="19685"/>
            <wp:docPr id="47130" name="Εικόνα 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f_4_Gr_Treyn1.jpg"/>
                    <pic:cNvPicPr/>
                  </pic:nvPicPr>
                  <pic:blipFill rotWithShape="1">
                    <a:blip r:embed="rId39">
                      <a:extLst>
                        <a:ext uri="{28A0092B-C50C-407E-A947-70E740481C1C}">
                          <a14:useLocalDpi xmlns:a14="http://schemas.microsoft.com/office/drawing/2010/main" val="0"/>
                        </a:ext>
                      </a:extLst>
                    </a:blip>
                    <a:srcRect r="35917" b="37877"/>
                    <a:stretch/>
                  </pic:blipFill>
                  <pic:spPr bwMode="auto">
                    <a:xfrm>
                      <a:off x="0" y="0"/>
                      <a:ext cx="3505109" cy="19221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5BEE" w:rsidRDefault="005A6611" w:rsidP="00985BEE">
      <w:pPr>
        <w:spacing w:before="120" w:line="360" w:lineRule="auto"/>
        <w:ind w:firstLine="720"/>
        <w:jc w:val="both"/>
      </w:pPr>
      <w:r>
        <w:t>Η</w:t>
      </w:r>
      <w:r w:rsidR="000B3097">
        <w:t xml:space="preserve"> </w:t>
      </w:r>
      <w:r>
        <w:t>τιμή πώλησης (</w:t>
      </w:r>
      <w:r>
        <w:rPr>
          <w:lang w:val="en-US"/>
        </w:rPr>
        <w:t>offer</w:t>
      </w:r>
      <w:r w:rsidRPr="005A6611">
        <w:t xml:space="preserve"> </w:t>
      </w:r>
      <w:r>
        <w:rPr>
          <w:lang w:val="en-US"/>
        </w:rPr>
        <w:t>price</w:t>
      </w:r>
      <w:r>
        <w:t>)</w:t>
      </w:r>
      <w:r w:rsidR="000B3097">
        <w:t xml:space="preserve"> βρίσκεται επάνω από την</w:t>
      </w:r>
      <w:r w:rsidRPr="005A6611">
        <w:t xml:space="preserve"> </w:t>
      </w:r>
      <w:r w:rsidR="000B3097">
        <w:t xml:space="preserve"> </w:t>
      </w:r>
      <w:r>
        <w:t xml:space="preserve">τιμή αγοράς </w:t>
      </w:r>
      <w:r w:rsidR="000B3097">
        <w:t>(</w:t>
      </w:r>
      <w:r w:rsidR="000B3097">
        <w:rPr>
          <w:lang w:val="en-US"/>
        </w:rPr>
        <w:t>bid</w:t>
      </w:r>
      <w:r w:rsidRPr="005A6611">
        <w:t xml:space="preserve"> </w:t>
      </w:r>
      <w:r>
        <w:rPr>
          <w:lang w:val="en-US"/>
        </w:rPr>
        <w:t>price</w:t>
      </w:r>
      <w:r>
        <w:t>)</w:t>
      </w:r>
      <w:r w:rsidR="000B3097">
        <w:t xml:space="preserve">, και το περιθώριο σημαίνει ότι ο διαπραγματευτής πάντα αγοράζει σε χαμηλή τιμή και πωλεί σε υψηλή. Το επίπεδο και των δύο τιμών επίσης αλλάζει με το απόθεμα. </w:t>
      </w:r>
      <w:r w:rsidR="00985BEE">
        <w:t xml:space="preserve">Στον οριζόντιο άξονα </w:t>
      </w:r>
      <w:r>
        <w:t>μετράμε το απόθεμα τίτλων</w:t>
      </w:r>
      <w:r w:rsidR="00DC6059" w:rsidRPr="00DC6059">
        <w:t xml:space="preserve"> </w:t>
      </w:r>
      <w:r w:rsidR="00DC6059">
        <w:t>προς τα δεξιά κινούμενοι ο  διαπραγματευτής αυξάνει τα αποθέματα τίτλων του (</w:t>
      </w:r>
      <w:r w:rsidR="00DC6059">
        <w:rPr>
          <w:lang w:val="en-US"/>
        </w:rPr>
        <w:t>long</w:t>
      </w:r>
      <w:r w:rsidR="00DC6059" w:rsidRPr="00DC6059">
        <w:t xml:space="preserve"> </w:t>
      </w:r>
      <w:r w:rsidR="00DC6059">
        <w:rPr>
          <w:lang w:val="en-US"/>
        </w:rPr>
        <w:t>positions</w:t>
      </w:r>
      <w:r w:rsidR="00DC6059">
        <w:t>) ενώ προς τα αριστερά τα μειώνει (</w:t>
      </w:r>
      <w:r w:rsidR="00DC6059">
        <w:rPr>
          <w:lang w:val="en-US"/>
        </w:rPr>
        <w:t>short</w:t>
      </w:r>
      <w:r w:rsidR="00DC6059" w:rsidRPr="00DC6059">
        <w:t xml:space="preserve"> </w:t>
      </w:r>
      <w:r w:rsidR="00DC6059">
        <w:rPr>
          <w:lang w:val="en-US"/>
        </w:rPr>
        <w:t>positions</w:t>
      </w:r>
      <w:r w:rsidR="00DC6059">
        <w:t xml:space="preserve">). </w:t>
      </w:r>
      <w:r w:rsidR="000B3097">
        <w:t xml:space="preserve">Χαμηλώνοντας την τιμή στην οποία είναι πρόθυμος να προσθέσει μια μεγάλη θέση </w:t>
      </w:r>
      <w:r w:rsidR="000B3097">
        <w:rPr>
          <w:lang w:val="en-US"/>
        </w:rPr>
        <w:t>long</w:t>
      </w:r>
      <w:r w:rsidR="000B3097">
        <w:t>, προστατεύει τον εαυτό του από τον κίνδυνο ότι η τιμή μπορεί να πέσει. Αυξάνοντας την τιμή στην οποία είναι πρόθυμος να προσθέσει</w:t>
      </w:r>
      <w:r w:rsidR="00985BEE">
        <w:t xml:space="preserve"> </w:t>
      </w:r>
      <w:r w:rsidR="000B3097">
        <w:t xml:space="preserve"> μια μεγάλη θέση </w:t>
      </w:r>
      <w:r w:rsidR="000B3097">
        <w:rPr>
          <w:lang w:val="en-US"/>
        </w:rPr>
        <w:t>short</w:t>
      </w:r>
      <w:r w:rsidR="000B3097" w:rsidRPr="003058B7">
        <w:t xml:space="preserve">, </w:t>
      </w:r>
      <w:r w:rsidR="000B3097">
        <w:t>προστατεύει τον εαυτό του από τον κίνδυνο ότι η τιμή μπορεί να ανέλθει</w:t>
      </w:r>
      <w:r w:rsidR="00DC6059">
        <w:t xml:space="preserve"> και αυτός να είχε δεσμευτεί να την πουλήσει χαμηλά</w:t>
      </w:r>
      <w:r w:rsidR="00985BEE">
        <w:t xml:space="preserve">. </w:t>
      </w:r>
    </w:p>
    <w:p w:rsidR="00EB314E" w:rsidRDefault="000B3097" w:rsidP="00985BEE">
      <w:pPr>
        <w:spacing w:line="360" w:lineRule="auto"/>
        <w:ind w:firstLine="720"/>
        <w:jc w:val="both"/>
      </w:pPr>
      <w:r>
        <w:t xml:space="preserve">Τρία </w:t>
      </w:r>
      <w:r w:rsidR="00AC632A">
        <w:t>σημαντικά στοιχεία</w:t>
      </w:r>
      <w:r w:rsidR="00DC6059">
        <w:t xml:space="preserve"> </w:t>
      </w:r>
      <w:r w:rsidR="00AC632A">
        <w:t>σ</w:t>
      </w:r>
      <w:r w:rsidR="00DC6059">
        <w:t>το υπόδειγμα. Πρώτον</w:t>
      </w:r>
      <w:r>
        <w:t>, τα όρια της θέσης του διαπραγματευτή. Έχει περιορισμένο κ</w:t>
      </w:r>
      <w:r w:rsidR="00DC6059">
        <w:t>εφάλαιο και περιορισμένη πίστη (</w:t>
      </w:r>
      <w:r>
        <w:t xml:space="preserve">από την εκκαθαριστική τράπεζα του) και επίσης ίσως περιορισμένη προτίμηση για κίνδυνο. </w:t>
      </w:r>
      <w:r w:rsidR="00DC6059">
        <w:t xml:space="preserve">Όλα αυτά λαμβάνονται υπόψη </w:t>
      </w:r>
      <w:r>
        <w:t xml:space="preserve">στα όρια των θέσεων, τη μέγιστη </w:t>
      </w:r>
      <w:r>
        <w:rPr>
          <w:lang w:val="en-US"/>
        </w:rPr>
        <w:t>long</w:t>
      </w:r>
      <w:r w:rsidRPr="007E1F72">
        <w:t xml:space="preserve"> </w:t>
      </w:r>
      <w:r>
        <w:t xml:space="preserve">και τη μέγιστη </w:t>
      </w:r>
      <w:r>
        <w:rPr>
          <w:lang w:val="en-US"/>
        </w:rPr>
        <w:t>short</w:t>
      </w:r>
      <w:r w:rsidR="00DC6059">
        <w:t xml:space="preserve"> θέση του</w:t>
      </w:r>
      <w:r w:rsidRPr="007E1F72">
        <w:t xml:space="preserve">. </w:t>
      </w:r>
      <w:r w:rsidR="00DC6059">
        <w:t>Δεύτερον, το  λεγόμενο «εξωτερικό περιθώριο»</w:t>
      </w:r>
      <w:r>
        <w:t>, που είναι η τιμή στην οποία οι βασιζόμενοι στην αξία τελικοί προμηθευτές και</w:t>
      </w:r>
      <w:r w:rsidR="00DC6059">
        <w:t xml:space="preserve"> αγοραστές </w:t>
      </w:r>
      <w:r>
        <w:t xml:space="preserve">είναι πρόθυμοι να αγοράσουν και να πωλήσουν. Αυτό είναι ένα μεγάλο περιθώριο, ίσως </w:t>
      </w:r>
      <w:r w:rsidR="00DC6059">
        <w:t>+/-</w:t>
      </w:r>
      <w:r>
        <w:t xml:space="preserve">20% από τη θεμελιώδη </w:t>
      </w:r>
      <w:r w:rsidR="00DC6059">
        <w:t>αξία όπως αυτή εκτιμάται από τα λεγόμενα θεμελιώδη υποδείγματα</w:t>
      </w:r>
      <w:r>
        <w:t xml:space="preserve">. Όταν ο διαπραγματευτής φθάνει </w:t>
      </w:r>
      <w:r w:rsidR="00DC6059">
        <w:t>σ</w:t>
      </w:r>
      <w:r>
        <w:t>τα όρια της θέσης του, τότε ο</w:t>
      </w:r>
      <w:r w:rsidRPr="007E1F72">
        <w:t xml:space="preserve"> </w:t>
      </w:r>
      <w:r>
        <w:lastRenderedPageBreak/>
        <w:t xml:space="preserve">βασιζόμενος στην αξία έμπορος μετατρέπεται σε διαμορφωτή αγοράς του </w:t>
      </w:r>
      <w:r w:rsidR="00DC6059">
        <w:t xml:space="preserve">λεγόμενο </w:t>
      </w:r>
      <w:r>
        <w:t>τελικού καταφυγίου.</w:t>
      </w:r>
      <w:r w:rsidR="00DC6059">
        <w:t xml:space="preserve"> Για να το καταλάβουμε καλύτερα αυτό ας σκεφτούμε την κεντρική τράπεζα μιας χώρας όπου σε ιδιαίτερα δυσμενής καταστάσεις </w:t>
      </w:r>
      <w:r w:rsidR="004500B0">
        <w:t>αυτή διαδραματίζει το καταφύγιο τελικής καταφυγής</w:t>
      </w:r>
      <w:r w:rsidR="00AC632A">
        <w:t xml:space="preserve"> και είναι αυτή που κάνει τον </w:t>
      </w:r>
      <w:r w:rsidR="00AC632A">
        <w:rPr>
          <w:lang w:val="en-US"/>
        </w:rPr>
        <w:t>dealer</w:t>
      </w:r>
      <w:r w:rsidR="004500B0">
        <w:t>.</w:t>
      </w:r>
      <w:r w:rsidR="00AC632A">
        <w:t xml:space="preserve"> Χαρακτηριστικό παράδειγμα η πρόσφατη κρίση στη Αμερική όπου η κεντρική τράπεζα αγόραζε τίτλους απευθείας από την αγορά επειδή δεν λειτουργούσε καλά η αγορά ομολόγων.</w:t>
      </w:r>
      <w:r>
        <w:t xml:space="preserve"> Τρίτον, </w:t>
      </w:r>
      <w:r w:rsidR="00AC632A">
        <w:t xml:space="preserve">σημαντικές έννοιες </w:t>
      </w:r>
      <w:r>
        <w:t>η ρευστότητα της τιμής και η επικράτηση του κινδύνου δυσμενούς επιλογής.</w:t>
      </w:r>
      <w:r w:rsidR="00EB314E" w:rsidRPr="00EB314E">
        <w:t xml:space="preserve"> </w:t>
      </w:r>
      <w:r>
        <w:t>Μπορούμε να θεωρήσουμε τον διαπραγματευτή ως τροφοδότη ρευστότητας επειδή προσφέρει την επιλογή της διαπρα</w:t>
      </w:r>
      <w:r w:rsidR="00AC632A">
        <w:t>γμάτευσης. Εάν θέλει κάποιος να κάνει</w:t>
      </w:r>
      <w:r>
        <w:t xml:space="preserve"> συναλλαγές αυτός είναι πρόθυμος να πραγματοποιήσει συναλλαγές στις χρηματιστηριακές τιμές, προς οποιαδήποτε κατεύθυνση (πουλώντας ή </w:t>
      </w:r>
      <w:r w:rsidR="00AC632A">
        <w:t>αγοράζοντας), αλλά εάν δε θέλει να κάνει κάποιος</w:t>
      </w:r>
      <w:r>
        <w:t xml:space="preserve"> συναλλαγές δεν υπάρχει πρόβλημα επίσης.</w:t>
      </w:r>
      <w:r w:rsidR="00AC632A">
        <w:t xml:space="preserve"> Εξαρτάται από τον εκάστοτε αγοραστή ή πωλητή</w:t>
      </w:r>
      <w:r>
        <w:t xml:space="preserve">, όχι από τον διαπραγματευτή. Αυτός προσφέρει ρευστότητα κι </w:t>
      </w:r>
      <w:r w:rsidR="00985BEE">
        <w:t>αυτοί ζητάνε</w:t>
      </w:r>
      <w:r w:rsidR="00AC632A">
        <w:t xml:space="preserve"> να πουλήσουν ή να αγοράσουν</w:t>
      </w:r>
      <w:r>
        <w:t>.</w:t>
      </w:r>
      <w:r w:rsidR="00EB314E">
        <w:t xml:space="preserve"> </w:t>
      </w:r>
    </w:p>
    <w:p w:rsidR="000B3097" w:rsidRDefault="00EB314E" w:rsidP="00985BEE">
      <w:pPr>
        <w:spacing w:line="360" w:lineRule="auto"/>
        <w:ind w:firstLine="720"/>
        <w:jc w:val="both"/>
      </w:pPr>
      <w:r>
        <w:t>Βέβαια στην πραγματικότητα η μόχλευση είναι αυτή που επιτρέπει στους διαπραγματευτές να</w:t>
      </w:r>
      <w:r w:rsidR="000B3097">
        <w:t xml:space="preserve"> κρατούν σχεδόν καθόλου αποθέματα ούτε μετρητών ούτε τίτλων. Ο ανταγωνισμός μεταξύ διαπραγματευτών τους ωθεί να προσφέρουν ένα πολ</w:t>
      </w:r>
      <w:r w:rsidR="00DF6565">
        <w:t>ύ σ</w:t>
      </w:r>
      <w:r w:rsidR="000C4288">
        <w:t>τενό</w:t>
      </w:r>
      <w:r w:rsidR="00DF6565">
        <w:t xml:space="preserve"> «εσωτερικό περιθώριο»</w:t>
      </w:r>
      <w:r w:rsidR="000B3097">
        <w:t>, άρα το κέρδος σε κάθε συναλλαγή είναι πολύ μικρό</w:t>
      </w:r>
      <w:r w:rsidR="00DF6565">
        <w:t xml:space="preserve"> και</w:t>
      </w:r>
      <w:r w:rsidR="000B3097">
        <w:t xml:space="preserve"> αντισταθμίζεται από τη μόχλευση. Ένα βήμα προ</w:t>
      </w:r>
      <w:r w:rsidR="00CC4933">
        <w:t>ς</w:t>
      </w:r>
      <w:r w:rsidR="000B3097">
        <w:t xml:space="preserve"> μεγαλύτερη μόχλευση είναι να μειώσεις τα αποθέματα σε μετρητά σε ένα ελάχιστο και αντί αυτού να βασισθείς στο </w:t>
      </w:r>
      <w:proofErr w:type="spellStart"/>
      <w:r w:rsidR="000B3097">
        <w:t>δανείζεσθαι</w:t>
      </w:r>
      <w:proofErr w:type="spellEnd"/>
      <w:r w:rsidR="000B3097">
        <w:t xml:space="preserve">, επομένως ο ισολογισμός των διαπραγματευτών μοιάζει </w:t>
      </w:r>
      <w:r w:rsidR="00985BEE">
        <w:t>κάπως με ατό που παρουσιάζεται στον πίνακα 4.2</w:t>
      </w:r>
      <w:r w:rsidR="00613B48">
        <w:t>4</w:t>
      </w:r>
      <w:r w:rsidR="00985BEE">
        <w:t>.</w:t>
      </w:r>
    </w:p>
    <w:p w:rsidR="00DF6565" w:rsidRDefault="00DC7EB8" w:rsidP="00CC4933">
      <w:pPr>
        <w:tabs>
          <w:tab w:val="num" w:pos="720"/>
          <w:tab w:val="num" w:pos="1080"/>
        </w:tabs>
        <w:jc w:val="center"/>
      </w:pPr>
      <w:r w:rsidRPr="00DC7EB8">
        <w:rPr>
          <w:b/>
        </w:rPr>
        <w:t>Πίνακας 4.2</w:t>
      </w:r>
      <w:r w:rsidR="00613B48">
        <w:rPr>
          <w:b/>
        </w:rPr>
        <w:t>4</w:t>
      </w:r>
      <w:r>
        <w:t xml:space="preserve"> </w:t>
      </w:r>
      <w:r w:rsidR="00CC4933">
        <w:t>Μ</w:t>
      </w:r>
      <w:r w:rsidR="00CC4933" w:rsidRPr="00CC4933">
        <w:t>ορφή στοιχείων Ισολογισμού Διαπραγματευτών</w:t>
      </w:r>
    </w:p>
    <w:tbl>
      <w:tblPr>
        <w:tblStyle w:val="af3"/>
        <w:tblW w:w="0" w:type="auto"/>
        <w:jc w:val="center"/>
        <w:tblLook w:val="04A0" w:firstRow="1" w:lastRow="0" w:firstColumn="1" w:lastColumn="0" w:noHBand="0" w:noVBand="1"/>
      </w:tblPr>
      <w:tblGrid>
        <w:gridCol w:w="2660"/>
        <w:gridCol w:w="1984"/>
      </w:tblGrid>
      <w:tr w:rsidR="000B3097" w:rsidRPr="00777193" w:rsidTr="00CC4933">
        <w:trPr>
          <w:jc w:val="center"/>
        </w:trPr>
        <w:tc>
          <w:tcPr>
            <w:tcW w:w="2660" w:type="dxa"/>
          </w:tcPr>
          <w:p w:rsidR="000B3097" w:rsidRPr="00777193" w:rsidRDefault="000B3097" w:rsidP="00CC4933">
            <w:pPr>
              <w:jc w:val="center"/>
              <w:rPr>
                <w:rFonts w:ascii="Times New Roman" w:hAnsi="Times New Roman"/>
                <w:b/>
                <w:sz w:val="22"/>
                <w:szCs w:val="22"/>
              </w:rPr>
            </w:pPr>
            <w:r w:rsidRPr="00777193">
              <w:rPr>
                <w:rFonts w:ascii="Times New Roman" w:hAnsi="Times New Roman"/>
                <w:b/>
                <w:sz w:val="22"/>
                <w:szCs w:val="22"/>
              </w:rPr>
              <w:t>Στοιχεία Ενεργητικού</w:t>
            </w:r>
          </w:p>
        </w:tc>
        <w:tc>
          <w:tcPr>
            <w:tcW w:w="1984" w:type="dxa"/>
          </w:tcPr>
          <w:p w:rsidR="000B3097" w:rsidRPr="00777193" w:rsidRDefault="000B3097" w:rsidP="00CC4933">
            <w:pPr>
              <w:jc w:val="center"/>
              <w:rPr>
                <w:rFonts w:ascii="Times New Roman" w:hAnsi="Times New Roman"/>
                <w:b/>
                <w:sz w:val="22"/>
                <w:szCs w:val="22"/>
              </w:rPr>
            </w:pPr>
            <w:r w:rsidRPr="00777193">
              <w:rPr>
                <w:rFonts w:ascii="Times New Roman" w:hAnsi="Times New Roman"/>
                <w:b/>
                <w:sz w:val="22"/>
                <w:szCs w:val="22"/>
              </w:rPr>
              <w:t>Παθητικό</w:t>
            </w:r>
          </w:p>
        </w:tc>
      </w:tr>
      <w:tr w:rsidR="000B3097" w:rsidRPr="00777193" w:rsidTr="00CC4933">
        <w:trPr>
          <w:jc w:val="center"/>
        </w:trPr>
        <w:tc>
          <w:tcPr>
            <w:tcW w:w="2660" w:type="dxa"/>
          </w:tcPr>
          <w:p w:rsidR="000B3097" w:rsidRPr="00777193" w:rsidRDefault="000B3097" w:rsidP="00CC4933">
            <w:pPr>
              <w:jc w:val="center"/>
              <w:rPr>
                <w:rFonts w:ascii="Times New Roman" w:hAnsi="Times New Roman"/>
                <w:sz w:val="22"/>
                <w:szCs w:val="22"/>
              </w:rPr>
            </w:pPr>
            <w:r w:rsidRPr="00777193">
              <w:rPr>
                <w:rFonts w:ascii="Times New Roman" w:hAnsi="Times New Roman"/>
                <w:sz w:val="22"/>
                <w:szCs w:val="22"/>
              </w:rPr>
              <w:t>Τίτλοι</w:t>
            </w:r>
          </w:p>
        </w:tc>
        <w:tc>
          <w:tcPr>
            <w:tcW w:w="1984" w:type="dxa"/>
          </w:tcPr>
          <w:p w:rsidR="000B3097" w:rsidRPr="00777193" w:rsidRDefault="000B3097" w:rsidP="00CC4933">
            <w:pPr>
              <w:jc w:val="center"/>
              <w:rPr>
                <w:rFonts w:ascii="Times New Roman" w:hAnsi="Times New Roman"/>
                <w:sz w:val="22"/>
                <w:szCs w:val="22"/>
              </w:rPr>
            </w:pPr>
            <w:r w:rsidRPr="00777193">
              <w:rPr>
                <w:rFonts w:ascii="Times New Roman" w:hAnsi="Times New Roman"/>
                <w:sz w:val="22"/>
                <w:szCs w:val="22"/>
              </w:rPr>
              <w:t>Δάνεια</w:t>
            </w:r>
          </w:p>
        </w:tc>
      </w:tr>
    </w:tbl>
    <w:p w:rsidR="000B3097" w:rsidRDefault="000B3097" w:rsidP="000B3097">
      <w:pPr>
        <w:jc w:val="both"/>
      </w:pPr>
      <w:r>
        <w:t xml:space="preserve">  </w:t>
      </w:r>
    </w:p>
    <w:p w:rsidR="000B3097" w:rsidRDefault="000B3097" w:rsidP="0080195D">
      <w:pPr>
        <w:spacing w:line="360" w:lineRule="auto"/>
        <w:ind w:firstLine="720"/>
        <w:jc w:val="both"/>
      </w:pPr>
      <w:r>
        <w:t xml:space="preserve">Ένας διαπραγματευτής </w:t>
      </w:r>
      <w:r w:rsidR="00975D99">
        <w:t>σαν αυτόν που μόλις περιγράψαμε</w:t>
      </w:r>
      <w:r>
        <w:t xml:space="preserve"> </w:t>
      </w:r>
      <w:r w:rsidR="00975D99">
        <w:t>βιώνει</w:t>
      </w:r>
      <w:r>
        <w:t xml:space="preserve"> τη μεταβλητότητα στο μέγεθος</w:t>
      </w:r>
      <w:r w:rsidR="00975D99">
        <w:t xml:space="preserve"> του ισολογισμού του καθώς αγορά</w:t>
      </w:r>
      <w:r>
        <w:t>ζε</w:t>
      </w:r>
      <w:r w:rsidR="00975D99">
        <w:t>ι</w:t>
      </w:r>
      <w:r>
        <w:t xml:space="preserve"> περισσότερους τίτλους για να απορροφήσει την πίεση για περισσότερες πωλήσεις, και μετά θα τις πουλούσε για να απορροφήσει την πίεση για αγορές. </w:t>
      </w:r>
      <w:r w:rsidR="00975D99">
        <w:t>Όμως ι</w:t>
      </w:r>
      <w:r>
        <w:t>δανικά, οι διαπραγματευτές θα ήθελαν να μειώσουν τα αποθέματα σε μηδέν,</w:t>
      </w:r>
      <w:r w:rsidR="00975D99">
        <w:t xml:space="preserve"> και</w:t>
      </w:r>
      <w:r>
        <w:t xml:space="preserve"> επομένως </w:t>
      </w:r>
      <w:r w:rsidR="00975D99">
        <w:t>να αντιμετωπίσ</w:t>
      </w:r>
      <w:r>
        <w:t xml:space="preserve">ουν αποτελεσματικά τον κίνδυνο αποθέματος, και μπορούν να το κάνουν </w:t>
      </w:r>
      <w:r w:rsidR="0087420C">
        <w:t>,</w:t>
      </w:r>
      <w:r>
        <w:t xml:space="preserve">αυτό μόνο αν κρατούν </w:t>
      </w:r>
      <w:r>
        <w:rPr>
          <w:lang w:val="en-US"/>
        </w:rPr>
        <w:t>short</w:t>
      </w:r>
      <w:r w:rsidRPr="00956A89">
        <w:t xml:space="preserve"> </w:t>
      </w:r>
      <w:r>
        <w:t xml:space="preserve">θέσεις ισάριθμες με τις </w:t>
      </w:r>
      <w:r>
        <w:rPr>
          <w:lang w:val="en-US"/>
        </w:rPr>
        <w:t>long</w:t>
      </w:r>
      <w:r w:rsidRPr="00956A89">
        <w:t xml:space="preserve"> </w:t>
      </w:r>
      <w:r>
        <w:t xml:space="preserve">θέσεις. </w:t>
      </w:r>
      <w:r w:rsidR="00975D99">
        <w:t xml:space="preserve">Έτσι θα λέγαμε ότι </w:t>
      </w:r>
      <w:r w:rsidR="00975D99">
        <w:lastRenderedPageBreak/>
        <w:t xml:space="preserve">οι </w:t>
      </w:r>
      <w:r>
        <w:t>διαπραγματευτές κινούνται όσο πιο κοντά μπορούν στον ακόλουθ</w:t>
      </w:r>
      <w:r w:rsidR="00985BEE">
        <w:t>η ιδανική μορφή ισολογισμού.</w:t>
      </w:r>
      <w:r>
        <w:t xml:space="preserve"> </w:t>
      </w:r>
    </w:p>
    <w:p w:rsidR="00975D99" w:rsidRDefault="00DC7EB8" w:rsidP="00CC4933">
      <w:pPr>
        <w:jc w:val="center"/>
      </w:pPr>
      <w:r w:rsidRPr="00DC7EB8">
        <w:rPr>
          <w:b/>
        </w:rPr>
        <w:t>Πίνακας 4.2</w:t>
      </w:r>
      <w:r w:rsidR="00613B48">
        <w:rPr>
          <w:b/>
        </w:rPr>
        <w:t>5</w:t>
      </w:r>
      <w:r w:rsidR="00CC4933">
        <w:rPr>
          <w:b/>
        </w:rPr>
        <w:t xml:space="preserve"> </w:t>
      </w:r>
      <w:r w:rsidR="00CC4933" w:rsidRPr="00CC4933">
        <w:t>Ιδανική μορφή στοιχείων Ισολογισμού Διαπραγματευτών</w:t>
      </w:r>
    </w:p>
    <w:tbl>
      <w:tblPr>
        <w:tblStyle w:val="af3"/>
        <w:tblW w:w="0" w:type="auto"/>
        <w:jc w:val="center"/>
        <w:tblInd w:w="198" w:type="dxa"/>
        <w:tblLook w:val="04A0" w:firstRow="1" w:lastRow="0" w:firstColumn="1" w:lastColumn="0" w:noHBand="0" w:noVBand="1"/>
      </w:tblPr>
      <w:tblGrid>
        <w:gridCol w:w="2462"/>
        <w:gridCol w:w="1984"/>
      </w:tblGrid>
      <w:tr w:rsidR="000B3097" w:rsidRPr="00777193" w:rsidTr="00CC4933">
        <w:trPr>
          <w:jc w:val="center"/>
        </w:trPr>
        <w:tc>
          <w:tcPr>
            <w:tcW w:w="2462" w:type="dxa"/>
          </w:tcPr>
          <w:p w:rsidR="000B3097" w:rsidRPr="00777193" w:rsidRDefault="000B3097" w:rsidP="00CC4933">
            <w:pPr>
              <w:jc w:val="center"/>
              <w:rPr>
                <w:rFonts w:ascii="Times New Roman" w:hAnsi="Times New Roman"/>
                <w:b/>
                <w:sz w:val="22"/>
                <w:szCs w:val="22"/>
              </w:rPr>
            </w:pPr>
            <w:r w:rsidRPr="00777193">
              <w:rPr>
                <w:rFonts w:ascii="Times New Roman" w:hAnsi="Times New Roman"/>
                <w:b/>
                <w:sz w:val="22"/>
                <w:szCs w:val="22"/>
              </w:rPr>
              <w:t>Στοιχεία Ενεργητικού</w:t>
            </w:r>
          </w:p>
        </w:tc>
        <w:tc>
          <w:tcPr>
            <w:tcW w:w="1984" w:type="dxa"/>
          </w:tcPr>
          <w:p w:rsidR="000B3097" w:rsidRPr="00777193" w:rsidRDefault="000B3097" w:rsidP="00CC4933">
            <w:pPr>
              <w:jc w:val="center"/>
              <w:rPr>
                <w:rFonts w:ascii="Times New Roman" w:hAnsi="Times New Roman"/>
                <w:b/>
                <w:sz w:val="22"/>
                <w:szCs w:val="22"/>
              </w:rPr>
            </w:pPr>
            <w:r w:rsidRPr="00777193">
              <w:rPr>
                <w:rFonts w:ascii="Times New Roman" w:hAnsi="Times New Roman"/>
                <w:b/>
                <w:sz w:val="22"/>
                <w:szCs w:val="22"/>
              </w:rPr>
              <w:t>Παθητικό</w:t>
            </w:r>
          </w:p>
        </w:tc>
      </w:tr>
      <w:tr w:rsidR="000B3097" w:rsidRPr="00777193" w:rsidTr="00CC4933">
        <w:trPr>
          <w:jc w:val="center"/>
        </w:trPr>
        <w:tc>
          <w:tcPr>
            <w:tcW w:w="2462" w:type="dxa"/>
          </w:tcPr>
          <w:p w:rsidR="000B3097" w:rsidRPr="00777193" w:rsidRDefault="000B3097" w:rsidP="00CC4933">
            <w:pPr>
              <w:jc w:val="center"/>
              <w:rPr>
                <w:rFonts w:ascii="Times New Roman" w:hAnsi="Times New Roman"/>
                <w:sz w:val="22"/>
                <w:szCs w:val="22"/>
              </w:rPr>
            </w:pPr>
            <w:r w:rsidRPr="00777193">
              <w:rPr>
                <w:rFonts w:ascii="Times New Roman" w:hAnsi="Times New Roman"/>
                <w:sz w:val="22"/>
                <w:szCs w:val="22"/>
              </w:rPr>
              <w:t>Αντίστροφο</w:t>
            </w:r>
          </w:p>
        </w:tc>
        <w:tc>
          <w:tcPr>
            <w:tcW w:w="1984" w:type="dxa"/>
          </w:tcPr>
          <w:p w:rsidR="000B3097" w:rsidRPr="00777193" w:rsidRDefault="000B3097" w:rsidP="00CC4933">
            <w:pPr>
              <w:jc w:val="center"/>
              <w:rPr>
                <w:rFonts w:ascii="Times New Roman" w:hAnsi="Times New Roman"/>
                <w:sz w:val="22"/>
                <w:szCs w:val="22"/>
              </w:rPr>
            </w:pPr>
            <w:proofErr w:type="spellStart"/>
            <w:r w:rsidRPr="00777193">
              <w:rPr>
                <w:rFonts w:ascii="Times New Roman" w:hAnsi="Times New Roman"/>
                <w:sz w:val="22"/>
                <w:szCs w:val="22"/>
              </w:rPr>
              <w:t>Ρέπο</w:t>
            </w:r>
            <w:r w:rsidR="00975D99" w:rsidRPr="00777193">
              <w:rPr>
                <w:rFonts w:ascii="Times New Roman" w:hAnsi="Times New Roman"/>
                <w:sz w:val="22"/>
                <w:szCs w:val="22"/>
              </w:rPr>
              <w:t>ς</w:t>
            </w:r>
            <w:proofErr w:type="spellEnd"/>
          </w:p>
        </w:tc>
      </w:tr>
    </w:tbl>
    <w:p w:rsidR="000B3097" w:rsidRDefault="000B3097" w:rsidP="000B3097">
      <w:pPr>
        <w:jc w:val="both"/>
      </w:pPr>
    </w:p>
    <w:p w:rsidR="0080195D" w:rsidRDefault="000B3097" w:rsidP="0080195D">
      <w:pPr>
        <w:spacing w:line="360" w:lineRule="auto"/>
        <w:ind w:firstLine="720"/>
        <w:jc w:val="both"/>
      </w:pPr>
      <w:r>
        <w:t>Έξω από τον ισολογισμό τ</w:t>
      </w:r>
      <w:r w:rsidR="00975D99">
        <w:t>ου διαπραγματευτή υπάρχουν άλλες οικονομικές μονάδες</w:t>
      </w:r>
      <w:r>
        <w:t xml:space="preserve"> που κρατούν αποθέματα τίτλων και μετρητών. Ο διαπραγματευτής έχει πρόσβαση στο απόθεμα των τίτλων χρησιμοποιώντας τα αντίστροφα</w:t>
      </w:r>
      <w:r w:rsidR="00975D99">
        <w:t xml:space="preserve"> </w:t>
      </w:r>
      <w:proofErr w:type="spellStart"/>
      <w:r w:rsidR="00975D99">
        <w:t>ρέπος</w:t>
      </w:r>
      <w:proofErr w:type="spellEnd"/>
      <w:r>
        <w:t xml:space="preserve"> και στο απόθεμα των μετρητών χρησιμοποιώντας </w:t>
      </w:r>
      <w:proofErr w:type="spellStart"/>
      <w:r>
        <w:t>ρέπο</w:t>
      </w:r>
      <w:r w:rsidR="00975D99">
        <w:t>ς</w:t>
      </w:r>
      <w:proofErr w:type="spellEnd"/>
      <w:r>
        <w:t>. Μπορούμε να θεωρήσου</w:t>
      </w:r>
      <w:r w:rsidR="00975D99">
        <w:t xml:space="preserve">με το </w:t>
      </w:r>
      <w:proofErr w:type="spellStart"/>
      <w:r w:rsidR="00975D99">
        <w:t>ρέπο</w:t>
      </w:r>
      <w:proofErr w:type="spellEnd"/>
      <w:r w:rsidR="00975D99">
        <w:t xml:space="preserve"> ως σα να δανείζεται χρήμα για να χρηματοδοτήσει</w:t>
      </w:r>
      <w:r>
        <w:t xml:space="preserve"> τις </w:t>
      </w:r>
      <w:r>
        <w:rPr>
          <w:lang w:val="en-US"/>
        </w:rPr>
        <w:t>long</w:t>
      </w:r>
      <w:r>
        <w:t xml:space="preserve"> θέσεις τίτλων του, και </w:t>
      </w:r>
      <w:r w:rsidR="00975D99">
        <w:t>το αντίστροφο ως σα να δανείζεται</w:t>
      </w:r>
      <w:r>
        <w:t xml:space="preserve"> </w:t>
      </w:r>
      <w:r w:rsidR="0080195D">
        <w:t>εγγύηση</w:t>
      </w:r>
      <w:r w:rsidR="00975D99">
        <w:t xml:space="preserve"> για να χρηματοδοτήσει</w:t>
      </w:r>
      <w:r>
        <w:t xml:space="preserve"> τις </w:t>
      </w:r>
      <w:r>
        <w:rPr>
          <w:lang w:val="en-US"/>
        </w:rPr>
        <w:t>short</w:t>
      </w:r>
      <w:r w:rsidRPr="00956A89">
        <w:t xml:space="preserve"> </w:t>
      </w:r>
      <w:r>
        <w:t>θέσεις του</w:t>
      </w:r>
      <w:r w:rsidR="0080195D">
        <w:t>.</w:t>
      </w:r>
    </w:p>
    <w:p w:rsidR="0080195D" w:rsidRDefault="000B3097" w:rsidP="0080195D">
      <w:pPr>
        <w:spacing w:line="360" w:lineRule="auto"/>
        <w:ind w:firstLine="720"/>
        <w:jc w:val="both"/>
      </w:pPr>
      <w:r>
        <w:t xml:space="preserve">Στην πραγματικότητα, οι διαπραγματευτές έχουν πολύ καλή πρόσβαση σε μετρητά (αγορά </w:t>
      </w:r>
      <w:proofErr w:type="spellStart"/>
      <w:r>
        <w:t>ρέπο</w:t>
      </w:r>
      <w:proofErr w:type="spellEnd"/>
      <w:r>
        <w:t>) και σε τίτλους (αγορά αντιστρόφων) όταν τα χρειάζονται, επομένως μπορούν να συμπεριφέρονται σα να έχουν αποθέματα ακόμη κι αν τα αποθέματα</w:t>
      </w:r>
      <w:r w:rsidR="00975D99">
        <w:t xml:space="preserve"> </w:t>
      </w:r>
      <w:r>
        <w:t>είναι στ</w:t>
      </w:r>
      <w:r w:rsidR="009F1AF7">
        <w:t>α</w:t>
      </w:r>
      <w:r w:rsidRPr="00B37C95">
        <w:t xml:space="preserve"> </w:t>
      </w:r>
      <w:r>
        <w:t xml:space="preserve">αλήθεια σε κάποιο μέρος έξω στην αγορά. </w:t>
      </w:r>
      <w:r w:rsidR="00C10815">
        <w:t>Σε μια κρίση</w:t>
      </w:r>
      <w:r w:rsidR="00C10815" w:rsidRPr="00C10815">
        <w:t xml:space="preserve"> </w:t>
      </w:r>
      <w:r w:rsidR="00C10815">
        <w:t>όμως</w:t>
      </w:r>
      <w:r>
        <w:t>, έχει σημασία πού είναι τα αποθέματα</w:t>
      </w:r>
      <w:r w:rsidR="00C10815">
        <w:t xml:space="preserve"> μετρητών και τίτλων</w:t>
      </w:r>
      <w:r>
        <w:t>. Τελικά η πρόσβαση σε μετρητά προέρχεται από τα υψηλότερα επίπεδα της ιεραρχίας, από τράπεζες, και η πρόσβαση σε τίτλους προέρχεται από χαμηλότερα στρώματα της ιεραρχίας, από κατόχους τίτλων. Επομένως ο διαπραγματευτής στην πραγματικότητα δρασκελίζει επίπ</w:t>
      </w:r>
      <w:r w:rsidR="0080195D">
        <w:t xml:space="preserve">εδα της νομισματικής ιεραρχίας. </w:t>
      </w:r>
      <w:r>
        <w:t xml:space="preserve">Τα πιο χαρακτηριστικά προβλήματα εμφανίζονται όταν ο διαπραγματευτής πρέπει να εμφανιστεί με χρήματα τα οποία έχει μετατρέψει σε </w:t>
      </w:r>
      <w:proofErr w:type="spellStart"/>
      <w:r>
        <w:t>ρέπο</w:t>
      </w:r>
      <w:r w:rsidR="0080195D">
        <w:t>ς</w:t>
      </w:r>
      <w:proofErr w:type="spellEnd"/>
      <w:r>
        <w:t xml:space="preserve"> </w:t>
      </w:r>
      <w:r w:rsidR="00C10815">
        <w:t>και τα έχει</w:t>
      </w:r>
      <w:r>
        <w:t xml:space="preserve"> ξοδέψει. Εξαρτώνται από τις τράπεζες για αναχρηματοδότηση. Εν τω μεταξύ, σε φυσιολογικούς καιρούς, οι διαπραγματευτές διαμορφώνουν την αγορά μεταξύ μετρητών και τίτλων, όντες έτοιμοι να αναλάβουν την αντίθετη πλευρά των συναλλαγών τις οποίες άλλοι ίσως </w:t>
      </w:r>
      <w:r w:rsidR="000E5541">
        <w:t>επιθυμούν να πραγματοποιήσουν.</w:t>
      </w:r>
      <w:r w:rsidR="0080195D">
        <w:t xml:space="preserve"> </w:t>
      </w:r>
    </w:p>
    <w:p w:rsidR="0080195D" w:rsidRDefault="009F1AF7" w:rsidP="0080195D">
      <w:pPr>
        <w:spacing w:line="360" w:lineRule="auto"/>
        <w:ind w:firstLine="720"/>
        <w:jc w:val="both"/>
      </w:pPr>
      <w:r>
        <w:t xml:space="preserve">Θα πρέπει σε αυτό το σημείο να τονίσουμε ότι το λεγόμενο </w:t>
      </w:r>
      <w:r w:rsidR="0080195D">
        <w:t>«</w:t>
      </w:r>
      <w:r>
        <w:rPr>
          <w:lang w:val="en-US"/>
        </w:rPr>
        <w:t>market</w:t>
      </w:r>
      <w:r w:rsidRPr="009F1AF7">
        <w:t xml:space="preserve"> </w:t>
      </w:r>
      <w:r>
        <w:rPr>
          <w:lang w:val="en-US"/>
        </w:rPr>
        <w:t>making</w:t>
      </w:r>
      <w:r w:rsidR="0080195D">
        <w:t>»</w:t>
      </w:r>
      <w:r w:rsidRPr="009F1AF7">
        <w:t xml:space="preserve"> </w:t>
      </w:r>
      <w:r>
        <w:t xml:space="preserve">είναι μια </w:t>
      </w:r>
      <w:r w:rsidR="000B3097">
        <w:t xml:space="preserve">επαρκώς ανταγωνιστική </w:t>
      </w:r>
      <w:r>
        <w:t xml:space="preserve">διαδικασία κάνοντας την αποκομιδή κερδών μια δύσκολη εργασία. </w:t>
      </w:r>
      <w:r w:rsidR="000B3097">
        <w:t>Το πραγματικό κέρδος στο επάγγελμα προέρχεται από τη συναλλαγή/ διαπραγμάτευση όσον αφορά την πληροφόρηση που παίρνει κανείς με το να ξέρει την κατάσταση της αγοράς καλύτερα από οποιονδήποτε άλλο</w:t>
      </w:r>
      <w:r w:rsidR="000B3097" w:rsidRPr="0080195D">
        <w:t>, και</w:t>
      </w:r>
      <w:r w:rsidR="000B3097">
        <w:t xml:space="preserve"> με το να έχει προνομιακή πρόσβαση και σε χρήμα και σε τίτλους στην αγορά </w:t>
      </w:r>
      <w:r w:rsidR="009926F1">
        <w:t xml:space="preserve">των </w:t>
      </w:r>
      <w:proofErr w:type="spellStart"/>
      <w:r w:rsidR="000B3097">
        <w:t>ρέπο</w:t>
      </w:r>
      <w:r w:rsidR="009926F1">
        <w:t>ς</w:t>
      </w:r>
      <w:proofErr w:type="spellEnd"/>
      <w:r w:rsidR="000B3097">
        <w:t xml:space="preserve"> και αντιστρόφων που σημαίνει την ικανότητα να τοποθετηθεί σε μια θέση φθηνότερα από </w:t>
      </w:r>
      <w:r w:rsidR="000B3097">
        <w:lastRenderedPageBreak/>
        <w:t>οποιονδήποτε άλλον. Οι διαπραγματευτές</w:t>
      </w:r>
      <w:r>
        <w:t xml:space="preserve"> τίτλων λαμβάνουν «θέσεις» στην αγορά κερδοσκοπώντας πολλές φορές </w:t>
      </w:r>
      <w:r w:rsidR="000B3097">
        <w:t>αναφορικά με το πώς οι τιμές θα μεταβληθούν στο μέλλον.</w:t>
      </w:r>
      <w:r w:rsidR="0080195D">
        <w:t xml:space="preserve"> </w:t>
      </w:r>
      <w:r w:rsidR="000B3097">
        <w:t>Εσκεμμένα δεν προκαλούν ταίριασμα στο λογιστικό βιβλίο τους προσανατολίζοντας το προς την κατεύθυνση που θεωρούν επικερδή.</w:t>
      </w:r>
      <w:r>
        <w:t xml:space="preserve"> Άλλοτε δηλαδή σε </w:t>
      </w:r>
      <w:r w:rsidR="000B3097">
        <w:t xml:space="preserve">καθαρή θέση </w:t>
      </w:r>
      <w:r w:rsidR="000B3097">
        <w:rPr>
          <w:lang w:val="en-US"/>
        </w:rPr>
        <w:t>long</w:t>
      </w:r>
      <w:r>
        <w:t xml:space="preserve"> ή </w:t>
      </w:r>
      <w:r>
        <w:rPr>
          <w:lang w:val="en-US"/>
        </w:rPr>
        <w:t>short</w:t>
      </w:r>
      <w:r w:rsidR="000B3097" w:rsidRPr="00A3249D">
        <w:t xml:space="preserve"> </w:t>
      </w:r>
      <w:r w:rsidR="000B3097">
        <w:t>στους τίτλους</w:t>
      </w:r>
      <w:r w:rsidRPr="009F1AF7">
        <w:t>.</w:t>
      </w:r>
      <w:r w:rsidR="009926F1">
        <w:t xml:space="preserve"> Πολλές φορές λαμβάνουν διαφορετικές θέσεις στην καμπύλη των επιτοκίων ανάλογα με τις εκτιμήσεις τους σχετικά με τις μελλοντικές κινήσεις της κεντρικ</w:t>
      </w:r>
      <w:r w:rsidR="0080195D">
        <w:t xml:space="preserve">ής τράπεζας. </w:t>
      </w:r>
      <w:r w:rsidR="000B3097">
        <w:t xml:space="preserve">Η συνέπεια </w:t>
      </w:r>
      <w:r w:rsidR="009926F1">
        <w:t xml:space="preserve">αυτού του είδους της κερδοσκοπικής αγοραπωλησίας </w:t>
      </w:r>
      <w:r w:rsidR="000B3097">
        <w:t xml:space="preserve">είναι ότι οι αγορές για μεμονωμένους τίτλους στην πραγματικότητα δεν είναι διακριτές μεταξύ τους, καθεμία με τη δική της ροή προσφοράς και ζήτησης αναγκάζει την τιμή να μεταβάλλεται. Οι κερδοσκόποι ενώνουν τις ξεχωριστές αγορές σε μια ενιαία αγορά, και πράττοντας αυτό </w:t>
      </w:r>
      <w:r w:rsidR="009926F1">
        <w:t xml:space="preserve">έχουν σαν αποτέλεσμα αυτό που ονομάζουμε </w:t>
      </w:r>
      <w:r w:rsidR="000B3097">
        <w:t>ρευστότητα. Η κερδοσκοπική αγοραπωλησία και η ρευστότητα είναι υπό αυτή την έννοια δύο πλευρές του ίδιου νομίσματος.</w:t>
      </w:r>
    </w:p>
    <w:p w:rsidR="0080195D" w:rsidRDefault="000B3097" w:rsidP="0080195D">
      <w:pPr>
        <w:spacing w:line="360" w:lineRule="auto"/>
        <w:ind w:firstLine="720"/>
        <w:jc w:val="both"/>
      </w:pPr>
      <w:r>
        <w:t>Στη χρηματοοικονομική θεωρία, αποτελεί κοινή πρακτική το να υποθέτουμε τέλεια κερδοσκοπική αγοραπωλησία, και επομένως επίσης πλήρη ρευστότητα. Τα στοιχεία του ενεργητικού υποθέτουμε ότι υφίστανται διαπραγμάτευση στη θεμελιώδη αξία τους καθώς οποιαδήποτε άλλη τιμή θα δημιουργούσε μια ευκαιρία κέρδους μέσω κερδοσκοπικής αγοραπωλησίας. Στην πραγματικότητα</w:t>
      </w:r>
      <w:r w:rsidR="009926F1">
        <w:t xml:space="preserve"> όμως</w:t>
      </w:r>
      <w:r>
        <w:t xml:space="preserve">, ο κόσμος που φαντάζονται οι θεωρητικοί των χρηματοοικονομικών είναι ένας κόσμος στον οποίο το </w:t>
      </w:r>
      <w:r w:rsidRPr="0035004E">
        <w:t>εξωτερικό περιθώριο</w:t>
      </w:r>
      <w:r w:rsidR="009926F1">
        <w:t xml:space="preserve"> του βασισμένου στην θεμελιώδη αξία </w:t>
      </w:r>
      <w:r>
        <w:t xml:space="preserve"> είναι πολύ στενό</w:t>
      </w:r>
      <w:r w:rsidR="009926F1">
        <w:t xml:space="preserve"> </w:t>
      </w:r>
      <w:r>
        <w:t xml:space="preserve">επομένως δεν υπάρχει ανάγκη ούτε χώρος για διαπραγματευτές. Στον πραγματικό κόσμο, </w:t>
      </w:r>
      <w:r w:rsidR="009926F1">
        <w:t>οι συναλλαγές</w:t>
      </w:r>
      <w:r>
        <w:t xml:space="preserve"> εκ</w:t>
      </w:r>
      <w:r w:rsidR="000E5541">
        <w:t>τός περιθωρίου είναι αρκετά ευρείς</w:t>
      </w:r>
      <w:r>
        <w:t xml:space="preserve">, οι διαπραγματευτές προσφέρουν τιμές μέσα σε αυτό το περιθώριο αλλά οι τιμές μπορούν να αποκλίνουν πολύ μακριά από τη θεμελιώδη αξία. </w:t>
      </w:r>
    </w:p>
    <w:p w:rsidR="000B3097" w:rsidRDefault="0068732F" w:rsidP="0080195D">
      <w:pPr>
        <w:spacing w:line="360" w:lineRule="auto"/>
        <w:ind w:firstLine="720"/>
        <w:jc w:val="both"/>
      </w:pPr>
      <w:r>
        <w:t xml:space="preserve">Σύμφωνα με το υπόδειγμα του </w:t>
      </w:r>
      <w:proofErr w:type="spellStart"/>
      <w:r w:rsidR="000B3097">
        <w:rPr>
          <w:lang w:val="en-US"/>
        </w:rPr>
        <w:t>Treynor</w:t>
      </w:r>
      <w:proofErr w:type="spellEnd"/>
      <w:r>
        <w:t xml:space="preserve"> μπορούμε να υποθέσουμε </w:t>
      </w:r>
      <w:r w:rsidR="000B3097">
        <w:t xml:space="preserve">ότι η θεμελιώδης αξία είναι η τιμή που οι διαπραγματευτές θα παρέθεταν εάν τα αποθέματα τους ήταν ακριβώς μηδέν, επομένως δεν εκτίθενται σε οποιονδήποτε κίνδυνο που σχετίζεται με τις τιμές. </w:t>
      </w:r>
      <w:r>
        <w:t>Έτσι τ</w:t>
      </w:r>
      <w:r w:rsidR="000B3097">
        <w:t>ο</w:t>
      </w:r>
      <w:r w:rsidR="000B3097" w:rsidRPr="00CA2F22">
        <w:t xml:space="preserve"> </w:t>
      </w:r>
      <w:r w:rsidR="000B3097">
        <w:t xml:space="preserve">υπόδειγμα δείχνει τον τρόπο με τον οποίο η διαμόρφωση της αγοράς από τους διαπραγματευτές ωθεί την τιμή μακριά από τη θεμελιώδη αξία της, στη μία ή την άλλη πλευρά, κατά περισσότερο ή λιγότερο εξαρτώμενη από το μέγεθος του περιθωρίου εκτός αγοράς και τα μέγιστα όρια του διαπραγματευτή στις θέσεις </w:t>
      </w:r>
      <w:r w:rsidR="000B3097">
        <w:rPr>
          <w:lang w:val="en-US"/>
        </w:rPr>
        <w:t>long</w:t>
      </w:r>
      <w:r w:rsidR="000B3097" w:rsidRPr="00CA2F22">
        <w:t xml:space="preserve"> </w:t>
      </w:r>
      <w:r w:rsidR="000B3097">
        <w:t xml:space="preserve">και </w:t>
      </w:r>
      <w:r w:rsidR="000B3097">
        <w:rPr>
          <w:lang w:val="en-US"/>
        </w:rPr>
        <w:t>short</w:t>
      </w:r>
      <w:r w:rsidR="000B3097" w:rsidRPr="00CA2F22">
        <w:t xml:space="preserve">. </w:t>
      </w:r>
    </w:p>
    <w:p w:rsidR="000E5541" w:rsidRDefault="000E5541" w:rsidP="000E5541">
      <w:pPr>
        <w:jc w:val="both"/>
        <w:rPr>
          <w:i/>
        </w:rPr>
      </w:pPr>
    </w:p>
    <w:p w:rsidR="003150CE" w:rsidRDefault="0040797E" w:rsidP="0040797E">
      <w:pPr>
        <w:pStyle w:val="2"/>
        <w:spacing w:before="0" w:after="0" w:line="360" w:lineRule="auto"/>
        <w:jc w:val="both"/>
        <w:rPr>
          <w:rFonts w:ascii="Times New Roman" w:hAnsi="Times New Roman" w:cs="Times New Roman"/>
          <w:i w:val="0"/>
        </w:rPr>
      </w:pPr>
      <w:bookmarkStart w:id="14" w:name="_Toc393111071"/>
      <w:r>
        <w:rPr>
          <w:rFonts w:ascii="Times New Roman" w:hAnsi="Times New Roman" w:cs="Times New Roman"/>
          <w:i w:val="0"/>
        </w:rPr>
        <w:t>4</w:t>
      </w:r>
      <w:r w:rsidRPr="00390868">
        <w:rPr>
          <w:rFonts w:ascii="Times New Roman" w:hAnsi="Times New Roman" w:cs="Times New Roman"/>
          <w:i w:val="0"/>
        </w:rPr>
        <w:t>.</w:t>
      </w:r>
      <w:r w:rsidR="005B6B87">
        <w:rPr>
          <w:rFonts w:ascii="Times New Roman" w:hAnsi="Times New Roman" w:cs="Times New Roman"/>
          <w:i w:val="0"/>
        </w:rPr>
        <w:t>11</w:t>
      </w:r>
      <w:r w:rsidRPr="00390868">
        <w:rPr>
          <w:rFonts w:ascii="Times New Roman" w:hAnsi="Times New Roman" w:cs="Times New Roman"/>
          <w:i w:val="0"/>
        </w:rPr>
        <w:t xml:space="preserve"> </w:t>
      </w:r>
      <w:r w:rsidR="00527BAA">
        <w:rPr>
          <w:rFonts w:ascii="Times New Roman" w:hAnsi="Times New Roman" w:cs="Times New Roman"/>
          <w:i w:val="0"/>
        </w:rPr>
        <w:t>Μελέτ</w:t>
      </w:r>
      <w:r w:rsidR="003150CE">
        <w:rPr>
          <w:rFonts w:ascii="Times New Roman" w:hAnsi="Times New Roman" w:cs="Times New Roman"/>
          <w:i w:val="0"/>
        </w:rPr>
        <w:t>ες</w:t>
      </w:r>
      <w:r w:rsidR="00527BAA">
        <w:rPr>
          <w:rFonts w:ascii="Times New Roman" w:hAnsi="Times New Roman" w:cs="Times New Roman"/>
          <w:i w:val="0"/>
        </w:rPr>
        <w:t xml:space="preserve"> περίπτωσης</w:t>
      </w:r>
      <w:r w:rsidR="0053507D">
        <w:rPr>
          <w:rFonts w:ascii="Times New Roman" w:hAnsi="Times New Roman" w:cs="Times New Roman"/>
          <w:i w:val="0"/>
        </w:rPr>
        <w:t xml:space="preserve"> Τραπεζικών Σ</w:t>
      </w:r>
      <w:r w:rsidR="003150CE">
        <w:rPr>
          <w:rFonts w:ascii="Times New Roman" w:hAnsi="Times New Roman" w:cs="Times New Roman"/>
          <w:i w:val="0"/>
        </w:rPr>
        <w:t>υστημάτων</w:t>
      </w:r>
      <w:bookmarkEnd w:id="14"/>
    </w:p>
    <w:p w:rsidR="000B3097" w:rsidRPr="000B3097" w:rsidRDefault="000B3097" w:rsidP="0080195D">
      <w:pPr>
        <w:spacing w:line="360" w:lineRule="auto"/>
        <w:ind w:firstLine="720"/>
        <w:jc w:val="both"/>
      </w:pPr>
      <w:r>
        <w:t>Στην παρούσα ενότητα θα παρουσιάσουμε βασικά στοιχεία τόσο του Ευρωπαϊκο</w:t>
      </w:r>
      <w:r w:rsidR="007B4754">
        <w:t>ύ, του Αμερικάνικού όσο και του Ελληνικού τραπεζικού συστήματος προκειμένου να δούμε σημαντικές διαφορές και ομοιότητες.</w:t>
      </w:r>
      <w:r>
        <w:t xml:space="preserve"> </w:t>
      </w:r>
    </w:p>
    <w:p w:rsidR="00777193" w:rsidRDefault="00777193" w:rsidP="003150CE">
      <w:pPr>
        <w:pStyle w:val="2"/>
        <w:spacing w:before="0" w:after="0" w:line="360" w:lineRule="auto"/>
        <w:jc w:val="both"/>
        <w:rPr>
          <w:rFonts w:ascii="Times New Roman" w:hAnsi="Times New Roman" w:cs="Times New Roman"/>
          <w:i w:val="0"/>
        </w:rPr>
      </w:pPr>
      <w:bookmarkStart w:id="15" w:name="_Toc393111072"/>
    </w:p>
    <w:p w:rsidR="003150CE" w:rsidRPr="003150CE" w:rsidRDefault="003150CE" w:rsidP="003150CE">
      <w:pPr>
        <w:pStyle w:val="2"/>
        <w:spacing w:before="0" w:after="0" w:line="360" w:lineRule="auto"/>
        <w:jc w:val="both"/>
        <w:rPr>
          <w:rFonts w:ascii="Times New Roman" w:hAnsi="Times New Roman" w:cs="Times New Roman"/>
          <w:i w:val="0"/>
        </w:rPr>
      </w:pPr>
      <w:r>
        <w:rPr>
          <w:rFonts w:ascii="Times New Roman" w:hAnsi="Times New Roman" w:cs="Times New Roman"/>
          <w:i w:val="0"/>
        </w:rPr>
        <w:t xml:space="preserve">4.11.1 Το </w:t>
      </w:r>
      <w:r w:rsidR="000414F6">
        <w:rPr>
          <w:rFonts w:ascii="Times New Roman" w:hAnsi="Times New Roman" w:cs="Times New Roman"/>
          <w:i w:val="0"/>
        </w:rPr>
        <w:t>Ευρωπαϊκό τραπεζικό σ</w:t>
      </w:r>
      <w:r w:rsidRPr="0040797E">
        <w:rPr>
          <w:rFonts w:ascii="Times New Roman" w:hAnsi="Times New Roman" w:cs="Times New Roman"/>
          <w:i w:val="0"/>
        </w:rPr>
        <w:t>ύστημα</w:t>
      </w:r>
      <w:bookmarkEnd w:id="15"/>
    </w:p>
    <w:p w:rsidR="0080195D" w:rsidRDefault="002A2D12" w:rsidP="00197BFD">
      <w:pPr>
        <w:spacing w:line="360" w:lineRule="auto"/>
        <w:jc w:val="both"/>
      </w:pPr>
      <w:r>
        <w:tab/>
      </w:r>
      <w:r w:rsidR="00912911" w:rsidRPr="00253FCF">
        <w:t>Οι τράπεζες έχουν έναν ιδιαίτερα σημαντικό ρόλο στην οικονομική ανάπτυξη</w:t>
      </w:r>
      <w:r w:rsidR="00912911" w:rsidRPr="00912911">
        <w:t xml:space="preserve"> </w:t>
      </w:r>
      <w:r w:rsidR="00912911">
        <w:t>μέσα από την χρηματοδότηση των επενδύσεων</w:t>
      </w:r>
      <w:r w:rsidR="00912911" w:rsidRPr="00253FCF">
        <w:t>.</w:t>
      </w:r>
      <w:r w:rsidR="00912911">
        <w:t xml:space="preserve"> Στην Ευρώπη </w:t>
      </w:r>
      <w:r w:rsidR="00912911" w:rsidRPr="00253FCF">
        <w:t>οι χρηματοδοτήσεις των επενδύσεων διενεργούνται κυρίως μέσω της διαμεσολάβησης των τραπεζών.</w:t>
      </w:r>
      <w:r>
        <w:t xml:space="preserve"> </w:t>
      </w:r>
      <w:r w:rsidR="00912911">
        <w:t>Μ</w:t>
      </w:r>
      <w:r w:rsidR="00912911" w:rsidRPr="00253FCF">
        <w:t xml:space="preserve">ια εθνική </w:t>
      </w:r>
      <w:r w:rsidR="00912911">
        <w:t xml:space="preserve">ευρωπαϊκή τράπεζα </w:t>
      </w:r>
      <w:r w:rsidR="00912911" w:rsidRPr="00253FCF">
        <w:t>μπορεί να λειτουργήσει εκτός των εθνικών της σ</w:t>
      </w:r>
      <w:r w:rsidR="00912911">
        <w:t xml:space="preserve">υνόρων στο πλαίσια μιας </w:t>
      </w:r>
      <w:r w:rsidR="00912911" w:rsidRPr="00253FCF">
        <w:t>ενιαία</w:t>
      </w:r>
      <w:r w:rsidR="00912911">
        <w:t>ς</w:t>
      </w:r>
      <w:r w:rsidR="00912911" w:rsidRPr="00253FCF">
        <w:t xml:space="preserve"> ευρωπαϊκή</w:t>
      </w:r>
      <w:r w:rsidR="00912911">
        <w:t>ς</w:t>
      </w:r>
      <w:r w:rsidR="00912911" w:rsidRPr="00253FCF">
        <w:t xml:space="preserve"> τραπεζική</w:t>
      </w:r>
      <w:r w:rsidR="00912911">
        <w:t>ς</w:t>
      </w:r>
      <w:r w:rsidR="00912911" w:rsidRPr="00253FCF">
        <w:t xml:space="preserve"> αγορά</w:t>
      </w:r>
      <w:r w:rsidR="00912911">
        <w:t>ς. Στο πλαίσιο μιας ενιαίας ευρωπαϊκής τραπεζ</w:t>
      </w:r>
      <w:r w:rsidR="00197BFD">
        <w:t>ικής αγοράς, μια τράπεζα μπορεί</w:t>
      </w:r>
      <w:r w:rsidR="0080195D">
        <w:t>:</w:t>
      </w:r>
    </w:p>
    <w:p w:rsidR="0080195D" w:rsidRDefault="00777193" w:rsidP="002E12D2">
      <w:pPr>
        <w:pStyle w:val="ae"/>
        <w:numPr>
          <w:ilvl w:val="0"/>
          <w:numId w:val="13"/>
        </w:numPr>
        <w:spacing w:line="360" w:lineRule="auto"/>
        <w:jc w:val="both"/>
      </w:pPr>
      <w:r>
        <w:t>Ν</w:t>
      </w:r>
      <w:r w:rsidR="00912911">
        <w:t xml:space="preserve">α εγκαταστήσει </w:t>
      </w:r>
      <w:r w:rsidR="00197BFD">
        <w:t>ένα υποκατάστημα ή</w:t>
      </w:r>
      <w:r w:rsidR="00912911">
        <w:t xml:space="preserve"> μια θυγατρι</w:t>
      </w:r>
      <w:r w:rsidR="00197BFD">
        <w:t xml:space="preserve">κή σε ένα άλλο </w:t>
      </w:r>
      <w:r w:rsidR="00EC0BFE">
        <w:t>ε</w:t>
      </w:r>
      <w:r w:rsidR="00197BFD">
        <w:t xml:space="preserve">υρωπαϊκό κράτος. </w:t>
      </w:r>
    </w:p>
    <w:p w:rsidR="0080195D" w:rsidRDefault="00777193" w:rsidP="002E12D2">
      <w:pPr>
        <w:pStyle w:val="ae"/>
        <w:numPr>
          <w:ilvl w:val="0"/>
          <w:numId w:val="13"/>
        </w:numPr>
        <w:spacing w:line="360" w:lineRule="auto"/>
        <w:jc w:val="both"/>
      </w:pPr>
      <w:r>
        <w:t>Ν</w:t>
      </w:r>
      <w:r w:rsidR="00912911">
        <w:t>α π</w:t>
      </w:r>
      <w:r w:rsidR="00197BFD">
        <w:t>ροσφέρει</w:t>
      </w:r>
      <w:r w:rsidR="00912911">
        <w:t xml:space="preserve"> τραπεζικές υπηρεσίες απευθείας πέρα από τα εθνικά της σύνορα σε αλλά κράτη της Ευρώπης</w:t>
      </w:r>
      <w:r w:rsidR="00197BFD">
        <w:t xml:space="preserve">. </w:t>
      </w:r>
    </w:p>
    <w:p w:rsidR="0080195D" w:rsidRDefault="00777193" w:rsidP="002E12D2">
      <w:pPr>
        <w:pStyle w:val="ae"/>
        <w:numPr>
          <w:ilvl w:val="0"/>
          <w:numId w:val="13"/>
        </w:numPr>
        <w:spacing w:line="360" w:lineRule="auto"/>
        <w:jc w:val="both"/>
      </w:pPr>
      <w:r>
        <w:t>Ν</w:t>
      </w:r>
      <w:r w:rsidR="00912911">
        <w:t>α θέσει μια στρατηγική σχέση</w:t>
      </w:r>
      <w:r w:rsidR="00197BFD">
        <w:t xml:space="preserve"> συνεργασίας</w:t>
      </w:r>
      <w:r w:rsidR="00912911">
        <w:t xml:space="preserve"> με έναν οργανισμό σε ένα άλλο κράτος.</w:t>
      </w:r>
      <w:r w:rsidR="00197BFD">
        <w:t xml:space="preserve"> </w:t>
      </w:r>
    </w:p>
    <w:p w:rsidR="00912911" w:rsidRDefault="00777193" w:rsidP="002E12D2">
      <w:pPr>
        <w:pStyle w:val="ae"/>
        <w:numPr>
          <w:ilvl w:val="0"/>
          <w:numId w:val="13"/>
        </w:numPr>
        <w:spacing w:line="360" w:lineRule="auto"/>
        <w:jc w:val="both"/>
      </w:pPr>
      <w:r>
        <w:t>Ν</w:t>
      </w:r>
      <w:r w:rsidR="00912911">
        <w:t>α εγκαταστήσει διαφορετικές υπηρεσίες σε διάφορα κράτη της Ευρώπης.</w:t>
      </w:r>
    </w:p>
    <w:p w:rsidR="00912911" w:rsidRDefault="008B3E21" w:rsidP="002A2D12">
      <w:pPr>
        <w:spacing w:line="360" w:lineRule="auto"/>
        <w:ind w:firstLine="720"/>
        <w:jc w:val="both"/>
      </w:pPr>
      <w:r>
        <w:t>Όμως η</w:t>
      </w:r>
      <w:r w:rsidR="00912911" w:rsidRPr="00FD4E18">
        <w:t xml:space="preserve"> ενοποίηση των </w:t>
      </w:r>
      <w:r w:rsidR="00EC0BFE">
        <w:t>ε</w:t>
      </w:r>
      <w:r w:rsidR="00912911" w:rsidRPr="00FD4E18">
        <w:t>υρωπαϊκών τραπεζικών αγορών δημιουργεί πολλά προβλήματα στην εποπτεία των τραπεζών</w:t>
      </w:r>
      <w:r w:rsidR="009F54A4" w:rsidRPr="009F54A4">
        <w:t xml:space="preserve"> (</w:t>
      </w:r>
      <w:r w:rsidR="009F54A4">
        <w:rPr>
          <w:lang w:val="en-US"/>
        </w:rPr>
        <w:t>Goddard</w:t>
      </w:r>
      <w:r w:rsidR="009F54A4" w:rsidRPr="009F54A4">
        <w:t xml:space="preserve"> </w:t>
      </w:r>
      <w:r w:rsidR="009F54A4">
        <w:rPr>
          <w:lang w:val="en-US"/>
        </w:rPr>
        <w:t>et</w:t>
      </w:r>
      <w:r w:rsidR="009F54A4" w:rsidRPr="009F54A4">
        <w:t xml:space="preserve"> </w:t>
      </w:r>
      <w:r w:rsidR="009F54A4">
        <w:rPr>
          <w:lang w:val="en-US"/>
        </w:rPr>
        <w:t>al</w:t>
      </w:r>
      <w:r w:rsidR="009F54A4" w:rsidRPr="009F54A4">
        <w:t>., 2007)</w:t>
      </w:r>
      <w:r w:rsidR="00912911" w:rsidRPr="00FD4E18">
        <w:t xml:space="preserve">. Η ανάπτυξη των πανευρωπαϊκών τραπεζών θέτει πιέσεις κατά κύριο λόγο στις εθνικές αρμοδιότητες. </w:t>
      </w:r>
      <w:r w:rsidR="00912911">
        <w:t>Γ</w:t>
      </w:r>
      <w:r w:rsidR="00912911" w:rsidRPr="00FD4E18">
        <w:t xml:space="preserve">ια παράδειγμα, όταν κλείνει μια τράπεζα που λειτούργει σε πολλές </w:t>
      </w:r>
      <w:r w:rsidR="00912911">
        <w:t>χώρες, ο</w:t>
      </w:r>
      <w:r w:rsidR="00912911" w:rsidRPr="00FD4E18">
        <w:t>ι μικρές χώρες δυσκολεύονται να αναλάβουν το κόστος της διάσωσης μιας μεγάλης διεθνούς τράπεζας.</w:t>
      </w:r>
      <w:r>
        <w:t xml:space="preserve"> Ένα ακόμα σημαντικό ζήτημα είναι ότι </w:t>
      </w:r>
      <w:r w:rsidR="00912911" w:rsidRPr="00FD4E18">
        <w:t>η εποπτεία από την χώρα υποδοχής δημιουργεί δυσκολίες για τις διεθνείς τράπεζες όσον αφόρα την συμμόρφωση με τα διαφορετικά πρότυπα τ</w:t>
      </w:r>
      <w:r w:rsidR="00912911">
        <w:t>ων διαφόρων χωρώ</w:t>
      </w:r>
      <w:r w:rsidR="00912911" w:rsidRPr="00FD4E18">
        <w:t xml:space="preserve">ν. </w:t>
      </w:r>
    </w:p>
    <w:p w:rsidR="00912911" w:rsidRDefault="00912911" w:rsidP="002A2D12">
      <w:pPr>
        <w:spacing w:line="360" w:lineRule="auto"/>
        <w:ind w:firstLine="720"/>
        <w:jc w:val="both"/>
      </w:pPr>
      <w:r w:rsidRPr="00FD4E18">
        <w:t xml:space="preserve">Πάρα το γεγονός ότι οι διεθνείς τράπεζες υποδηλώνουν την ανάγκη για δημιουργία ενός πανευρωπαϊκού ρυθμιστικού και εποπτικού πλαισίου, η πραγματοποίηση της </w:t>
      </w:r>
      <w:r w:rsidR="00C909C9">
        <w:t>φαίνεται αρκετά δύσκολη</w:t>
      </w:r>
      <w:r>
        <w:t xml:space="preserve">. </w:t>
      </w:r>
      <w:proofErr w:type="spellStart"/>
      <w:r>
        <w:t>Α</w:t>
      </w:r>
      <w:r w:rsidRPr="00FD4E18">
        <w:t>ντ</w:t>
      </w:r>
      <w:proofErr w:type="spellEnd"/>
      <w:r w:rsidRPr="00FD4E18">
        <w:t>'</w:t>
      </w:r>
      <w:r>
        <w:t xml:space="preserve"> </w:t>
      </w:r>
      <w:r w:rsidRPr="00FD4E18">
        <w:t xml:space="preserve">αυτού, η δημιουργία ενός ενιαίου εποπτικού φορέα για τους διεθνείς τραπεζικούς ομίλους έχει προταθεί. </w:t>
      </w:r>
      <w:r w:rsidRPr="00FD4E18">
        <w:lastRenderedPageBreak/>
        <w:t xml:space="preserve">Σύμφωνα με την αρχή της επικουρικότητας, λαμβάνεται δράση σε ευρωπαϊκό επίπεδο μόνο όταν η εθνική δράση είναι αναποτελεσματική. Για αυτό μόνο ένα μικρό ποσοστό των τραπεζών της Ευρώπης είναι διεθνείς, ενώ υπάρχει ποικιλία σε εθνικό, περιφερειακό και τοπικό επίπεδο, ειδικά στη λιανική τραπεζική. </w:t>
      </w:r>
    </w:p>
    <w:p w:rsidR="00A4011C" w:rsidRDefault="00C909C9" w:rsidP="002A2D12">
      <w:pPr>
        <w:spacing w:line="360" w:lineRule="auto"/>
        <w:ind w:firstLine="720"/>
        <w:jc w:val="both"/>
      </w:pPr>
      <w:r>
        <w:t xml:space="preserve">Οι πιο βασικές </w:t>
      </w:r>
      <w:r w:rsidR="00A4011C" w:rsidRPr="007A104F">
        <w:t>νομοθετικές αλλαγές που</w:t>
      </w:r>
      <w:r w:rsidR="00A4011C">
        <w:t xml:space="preserve"> πραγματοποιήθηκαν από το 1977 στην Ευρωπαϊκή Ένωση </w:t>
      </w:r>
      <w:r w:rsidRPr="00253FCF">
        <w:t>που ήταν ζωτικής σημασίας για την πορεία της ενιαία</w:t>
      </w:r>
      <w:r>
        <w:t>ς τραπεζικής αγοράς παρουσιάζονται στον ακόλουθο πίνακα.</w:t>
      </w:r>
    </w:p>
    <w:p w:rsidR="002A2D12" w:rsidRDefault="002A2D12" w:rsidP="00A4011C">
      <w:pPr>
        <w:spacing w:line="360" w:lineRule="auto"/>
        <w:jc w:val="both"/>
      </w:pPr>
    </w:p>
    <w:p w:rsidR="00C909C9" w:rsidRPr="00777193" w:rsidRDefault="00C909C9" w:rsidP="00AC5FBF">
      <w:pPr>
        <w:spacing w:line="360" w:lineRule="auto"/>
        <w:jc w:val="center"/>
        <w:rPr>
          <w:sz w:val="22"/>
          <w:szCs w:val="22"/>
        </w:rPr>
      </w:pPr>
      <w:r w:rsidRPr="00777193">
        <w:rPr>
          <w:b/>
          <w:sz w:val="22"/>
          <w:szCs w:val="22"/>
        </w:rPr>
        <w:t>Πίνακας</w:t>
      </w:r>
      <w:r w:rsidR="00DC7EB8" w:rsidRPr="00777193">
        <w:rPr>
          <w:b/>
          <w:sz w:val="22"/>
          <w:szCs w:val="22"/>
        </w:rPr>
        <w:t xml:space="preserve"> 4.2</w:t>
      </w:r>
      <w:r w:rsidR="00613B48">
        <w:rPr>
          <w:b/>
          <w:sz w:val="22"/>
          <w:szCs w:val="22"/>
        </w:rPr>
        <w:t>6</w:t>
      </w:r>
      <w:r w:rsidR="00DC7EB8" w:rsidRPr="00777193">
        <w:rPr>
          <w:b/>
          <w:sz w:val="22"/>
          <w:szCs w:val="22"/>
        </w:rPr>
        <w:t xml:space="preserve"> </w:t>
      </w:r>
      <w:r w:rsidRPr="00777193">
        <w:rPr>
          <w:sz w:val="22"/>
          <w:szCs w:val="22"/>
        </w:rPr>
        <w:t>Βασικές Νομοθετικές εξελίξεις στην ΕΕ σχετικά με τις τράπεζες 1977-2008</w:t>
      </w:r>
    </w:p>
    <w:tbl>
      <w:tblPr>
        <w:tblStyle w:val="af3"/>
        <w:tblW w:w="0" w:type="auto"/>
        <w:tblInd w:w="720" w:type="dxa"/>
        <w:tblLook w:val="04A0" w:firstRow="1" w:lastRow="0" w:firstColumn="1" w:lastColumn="0" w:noHBand="0" w:noVBand="1"/>
      </w:tblPr>
      <w:tblGrid>
        <w:gridCol w:w="3978"/>
        <w:gridCol w:w="3830"/>
      </w:tblGrid>
      <w:tr w:rsidR="00197BFD" w:rsidRPr="002A2D12" w:rsidTr="00AC5FBF">
        <w:tc>
          <w:tcPr>
            <w:tcW w:w="3978" w:type="dxa"/>
          </w:tcPr>
          <w:p w:rsidR="00197BFD"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1977: 1</w:t>
            </w:r>
            <w:r w:rsidRPr="002A2D12">
              <w:rPr>
                <w:rFonts w:ascii="Times New Roman" w:hAnsi="Times New Roman"/>
                <w:sz w:val="20"/>
                <w:szCs w:val="20"/>
                <w:vertAlign w:val="superscript"/>
              </w:rPr>
              <w:t>η</w:t>
            </w:r>
            <w:r w:rsidRPr="002A2D12">
              <w:rPr>
                <w:rFonts w:ascii="Times New Roman" w:hAnsi="Times New Roman"/>
                <w:sz w:val="20"/>
                <w:szCs w:val="20"/>
              </w:rPr>
              <w:t xml:space="preserve"> Τραπεζική Οδηγία:</w:t>
            </w:r>
          </w:p>
          <w:p w:rsidR="00AA50BB" w:rsidRPr="002A2D12" w:rsidRDefault="00197BFD"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Άρση των εμποδίων για την εγκατάσταση υποκαταστημάτων περάν των συνόρων της Ευρω</w:t>
            </w:r>
            <w:r w:rsidR="00AA50BB" w:rsidRPr="002A2D12">
              <w:rPr>
                <w:rFonts w:ascii="Times New Roman" w:hAnsi="Times New Roman"/>
                <w:sz w:val="20"/>
                <w:szCs w:val="20"/>
              </w:rPr>
              <w:t>παϊκής Ένωσης.</w:t>
            </w:r>
          </w:p>
          <w:p w:rsidR="00AA50BB" w:rsidRPr="002A2D12" w:rsidRDefault="00197BFD"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Εναρμονισμένοι κανόνες γι</w:t>
            </w:r>
            <w:r w:rsidR="00AA50BB" w:rsidRPr="002A2D12">
              <w:rPr>
                <w:rFonts w:ascii="Times New Roman" w:hAnsi="Times New Roman"/>
                <w:sz w:val="20"/>
                <w:szCs w:val="20"/>
              </w:rPr>
              <w:t xml:space="preserve">α την </w:t>
            </w:r>
            <w:proofErr w:type="spellStart"/>
            <w:r w:rsidR="00AA50BB" w:rsidRPr="002A2D12">
              <w:rPr>
                <w:rFonts w:ascii="Times New Roman" w:hAnsi="Times New Roman"/>
                <w:sz w:val="20"/>
                <w:szCs w:val="20"/>
              </w:rPr>
              <w:t>αδειοδότηση</w:t>
            </w:r>
            <w:proofErr w:type="spellEnd"/>
            <w:r w:rsidR="00AA50BB" w:rsidRPr="002A2D12">
              <w:rPr>
                <w:rFonts w:ascii="Times New Roman" w:hAnsi="Times New Roman"/>
                <w:sz w:val="20"/>
                <w:szCs w:val="20"/>
              </w:rPr>
              <w:t xml:space="preserve"> των τραπεζών.</w:t>
            </w:r>
          </w:p>
          <w:p w:rsidR="00197BFD" w:rsidRPr="002A2D12" w:rsidRDefault="00AA50BB"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Βασικές ρυθμίσεις</w:t>
            </w:r>
            <w:r w:rsidR="00197BFD" w:rsidRPr="002A2D12">
              <w:rPr>
                <w:rFonts w:ascii="Times New Roman" w:hAnsi="Times New Roman"/>
                <w:sz w:val="20"/>
                <w:szCs w:val="20"/>
              </w:rPr>
              <w:t xml:space="preserve"> εποπτείας τραπεζών σε Ευρωπαϊκό επίπεδο.</w:t>
            </w:r>
          </w:p>
        </w:tc>
        <w:tc>
          <w:tcPr>
            <w:tcW w:w="3830" w:type="dxa"/>
          </w:tcPr>
          <w:p w:rsidR="00197BFD"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t>2000: Οδηγία Εδραίωσης των προηγούμενων ρυθμίσεων του τραπεζικού συστήματος.</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1988:</w:t>
            </w:r>
            <w:r w:rsidR="00AA50BB" w:rsidRPr="002A2D12">
              <w:rPr>
                <w:rFonts w:ascii="Times New Roman" w:hAnsi="Times New Roman"/>
                <w:sz w:val="20"/>
                <w:szCs w:val="20"/>
              </w:rPr>
              <w:t xml:space="preserve"> </w:t>
            </w:r>
            <w:r w:rsidR="00EC0BFE">
              <w:rPr>
                <w:rFonts w:ascii="Times New Roman" w:hAnsi="Times New Roman"/>
                <w:sz w:val="20"/>
                <w:szCs w:val="20"/>
              </w:rPr>
              <w:t>Βασιλεία</w:t>
            </w:r>
            <w:r w:rsidRPr="002A2D12">
              <w:rPr>
                <w:rFonts w:ascii="Times New Roman" w:hAnsi="Times New Roman"/>
                <w:sz w:val="20"/>
                <w:szCs w:val="20"/>
              </w:rPr>
              <w:t xml:space="preserve">, Ρύθμιση Κεφαλαιακής Επάρκειας: </w:t>
            </w:r>
          </w:p>
          <w:p w:rsidR="00AA50BB" w:rsidRPr="002A2D12" w:rsidRDefault="00197BFD"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 xml:space="preserve">Απαιτήσεις ελάχιστης κεφαλαιακής επάρκειας για τις  τράπεζες (8%). </w:t>
            </w:r>
          </w:p>
          <w:p w:rsidR="00197BFD" w:rsidRPr="002A2D12" w:rsidRDefault="00197BFD"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Σταθμίσεις ρίσκου με βάση τον τραπεζικό πιστωτικό κίνδυνο.</w:t>
            </w:r>
          </w:p>
        </w:tc>
        <w:tc>
          <w:tcPr>
            <w:tcW w:w="3830" w:type="dxa"/>
          </w:tcPr>
          <w:p w:rsidR="002A2D12"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t xml:space="preserve">2000: Οδηγία για το ηλεκτρονικό χρήμα: </w:t>
            </w:r>
          </w:p>
          <w:p w:rsidR="00197BFD" w:rsidRPr="002A2D12" w:rsidRDefault="008B3E21" w:rsidP="002E12D2">
            <w:pPr>
              <w:pStyle w:val="ae"/>
              <w:numPr>
                <w:ilvl w:val="0"/>
                <w:numId w:val="6"/>
              </w:numPr>
              <w:spacing w:after="200"/>
              <w:contextualSpacing/>
              <w:rPr>
                <w:rFonts w:ascii="Times New Roman" w:hAnsi="Times New Roman"/>
                <w:sz w:val="20"/>
                <w:szCs w:val="20"/>
              </w:rPr>
            </w:pPr>
            <w:r w:rsidRPr="002A2D12">
              <w:rPr>
                <w:rFonts w:ascii="Times New Roman" w:hAnsi="Times New Roman"/>
                <w:sz w:val="20"/>
                <w:szCs w:val="20"/>
              </w:rPr>
              <w:t>Πρόσβαση των μη-πιστωτικών οργανισμών στις χορηγήσεις του ηλεκτρονικού χρήματος.</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 xml:space="preserve">1988: Οδηγία για την απελευθέρωση των ροών κεφαλαίων: </w:t>
            </w:r>
          </w:p>
          <w:p w:rsidR="00197BFD" w:rsidRPr="002A2D12" w:rsidRDefault="00AA50BB" w:rsidP="002E12D2">
            <w:pPr>
              <w:pStyle w:val="ae"/>
              <w:numPr>
                <w:ilvl w:val="0"/>
                <w:numId w:val="4"/>
              </w:numPr>
              <w:spacing w:after="200"/>
              <w:contextualSpacing/>
              <w:rPr>
                <w:rFonts w:ascii="Times New Roman" w:hAnsi="Times New Roman"/>
                <w:sz w:val="20"/>
                <w:szCs w:val="20"/>
              </w:rPr>
            </w:pPr>
            <w:r w:rsidRPr="002A2D12">
              <w:rPr>
                <w:rFonts w:ascii="Times New Roman" w:hAnsi="Times New Roman"/>
                <w:sz w:val="20"/>
                <w:szCs w:val="20"/>
              </w:rPr>
              <w:t>Ρ</w:t>
            </w:r>
            <w:r w:rsidR="00197BFD" w:rsidRPr="002A2D12">
              <w:rPr>
                <w:rFonts w:ascii="Times New Roman" w:hAnsi="Times New Roman"/>
                <w:sz w:val="20"/>
                <w:szCs w:val="20"/>
              </w:rPr>
              <w:t>οές κεφαλαίων με εγγυήσεις για τις χώρες με προβλήματα στο ισοζύγιο πληρωμών.</w:t>
            </w:r>
          </w:p>
        </w:tc>
        <w:tc>
          <w:tcPr>
            <w:tcW w:w="3830" w:type="dxa"/>
          </w:tcPr>
          <w:p w:rsidR="00197BFD" w:rsidRPr="002A2D12" w:rsidRDefault="002A2D12" w:rsidP="002A2D12">
            <w:pPr>
              <w:spacing w:after="200"/>
              <w:contextualSpacing/>
              <w:rPr>
                <w:rFonts w:ascii="Times New Roman" w:hAnsi="Times New Roman"/>
                <w:sz w:val="20"/>
                <w:szCs w:val="20"/>
              </w:rPr>
            </w:pPr>
            <w:r w:rsidRPr="002A2D12">
              <w:rPr>
                <w:rFonts w:ascii="Times New Roman" w:hAnsi="Times New Roman"/>
                <w:sz w:val="20"/>
                <w:szCs w:val="20"/>
              </w:rPr>
              <w:t>2001: Οδηγία για την α</w:t>
            </w:r>
            <w:r w:rsidR="008B3E21" w:rsidRPr="002A2D12">
              <w:rPr>
                <w:rFonts w:ascii="Times New Roman" w:hAnsi="Times New Roman"/>
                <w:sz w:val="20"/>
                <w:szCs w:val="20"/>
              </w:rPr>
              <w:t>ναδιοργάνωση και την Εκκαθάριση των πιστωτικών ιδρυμάτων από το κράτος μέλος προέλευσης.</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 xml:space="preserve">1989: </w:t>
            </w:r>
            <w:r w:rsidR="00AA50BB" w:rsidRPr="002A2D12">
              <w:rPr>
                <w:rFonts w:ascii="Times New Roman" w:hAnsi="Times New Roman"/>
                <w:sz w:val="20"/>
                <w:szCs w:val="20"/>
              </w:rPr>
              <w:t>2</w:t>
            </w:r>
            <w:r w:rsidR="00AA50BB" w:rsidRPr="002A2D12">
              <w:rPr>
                <w:rFonts w:ascii="Times New Roman" w:hAnsi="Times New Roman"/>
                <w:sz w:val="20"/>
                <w:szCs w:val="20"/>
                <w:vertAlign w:val="superscript"/>
              </w:rPr>
              <w:t>η</w:t>
            </w:r>
            <w:r w:rsidR="00AA50BB" w:rsidRPr="002A2D12">
              <w:rPr>
                <w:rFonts w:ascii="Times New Roman" w:hAnsi="Times New Roman"/>
                <w:sz w:val="20"/>
                <w:szCs w:val="20"/>
              </w:rPr>
              <w:t xml:space="preserve"> </w:t>
            </w:r>
            <w:r w:rsidRPr="002A2D12">
              <w:rPr>
                <w:rFonts w:ascii="Times New Roman" w:hAnsi="Times New Roman"/>
                <w:sz w:val="20"/>
                <w:szCs w:val="20"/>
              </w:rPr>
              <w:t xml:space="preserve">Τραπεζική Οδηγία, </w:t>
            </w:r>
          </w:p>
          <w:p w:rsidR="00AA50BB" w:rsidRPr="002A2D12" w:rsidRDefault="00197BFD" w:rsidP="002E12D2">
            <w:pPr>
              <w:pStyle w:val="ae"/>
              <w:numPr>
                <w:ilvl w:val="0"/>
                <w:numId w:val="3"/>
              </w:numPr>
              <w:spacing w:after="200"/>
              <w:contextualSpacing/>
              <w:rPr>
                <w:rFonts w:ascii="Times New Roman" w:hAnsi="Times New Roman"/>
                <w:sz w:val="20"/>
                <w:szCs w:val="20"/>
              </w:rPr>
            </w:pPr>
            <w:r w:rsidRPr="002A2D12">
              <w:rPr>
                <w:rFonts w:ascii="Times New Roman" w:hAnsi="Times New Roman"/>
                <w:sz w:val="20"/>
                <w:szCs w:val="20"/>
              </w:rPr>
              <w:t xml:space="preserve">Ενιαία Ευρωπαϊκή τραπεζική αδεία </w:t>
            </w:r>
          </w:p>
          <w:p w:rsidR="00197BFD" w:rsidRPr="002A2D12" w:rsidRDefault="00EC0BFE" w:rsidP="002E12D2">
            <w:pPr>
              <w:pStyle w:val="ae"/>
              <w:numPr>
                <w:ilvl w:val="0"/>
                <w:numId w:val="3"/>
              </w:numPr>
              <w:spacing w:after="200"/>
              <w:contextualSpacing/>
              <w:rPr>
                <w:rFonts w:ascii="Times New Roman" w:hAnsi="Times New Roman"/>
                <w:sz w:val="20"/>
                <w:szCs w:val="20"/>
              </w:rPr>
            </w:pPr>
            <w:r>
              <w:rPr>
                <w:rFonts w:ascii="Times New Roman" w:hAnsi="Times New Roman"/>
                <w:sz w:val="20"/>
                <w:szCs w:val="20"/>
              </w:rPr>
              <w:t>Αρχές ελέ</w:t>
            </w:r>
            <w:r w:rsidR="00197BFD" w:rsidRPr="002A2D12">
              <w:rPr>
                <w:rFonts w:ascii="Times New Roman" w:hAnsi="Times New Roman"/>
                <w:sz w:val="20"/>
                <w:szCs w:val="20"/>
              </w:rPr>
              <w:t xml:space="preserve">γχου χώρας προέλευσης </w:t>
            </w:r>
            <w:r w:rsidR="00AA50BB" w:rsidRPr="002A2D12">
              <w:rPr>
                <w:rFonts w:ascii="Times New Roman" w:hAnsi="Times New Roman"/>
                <w:sz w:val="20"/>
                <w:szCs w:val="20"/>
              </w:rPr>
              <w:t>την</w:t>
            </w:r>
            <w:r w:rsidR="00197BFD" w:rsidRPr="002A2D12">
              <w:rPr>
                <w:rFonts w:ascii="Times New Roman" w:hAnsi="Times New Roman"/>
                <w:sz w:val="20"/>
                <w:szCs w:val="20"/>
              </w:rPr>
              <w:t xml:space="preserve"> τελική εποπτική εξουσία για την δραστηριότητα των τραπεζών τους έξω από την χώρα</w:t>
            </w:r>
            <w:r w:rsidR="00AA50BB" w:rsidRPr="002A2D12">
              <w:rPr>
                <w:rFonts w:ascii="Times New Roman" w:hAnsi="Times New Roman"/>
                <w:sz w:val="20"/>
                <w:szCs w:val="20"/>
              </w:rPr>
              <w:t xml:space="preserve"> </w:t>
            </w:r>
          </w:p>
        </w:tc>
        <w:tc>
          <w:tcPr>
            <w:tcW w:w="3830" w:type="dxa"/>
          </w:tcPr>
          <w:p w:rsidR="002A2D12"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t xml:space="preserve">2001: Ρύθμιση για το Καταστατικό μιας Ευρωπαϊκής Εταιρείας: </w:t>
            </w:r>
          </w:p>
          <w:p w:rsidR="00197BFD" w:rsidRPr="002A2D12" w:rsidRDefault="008B3E21" w:rsidP="002E12D2">
            <w:pPr>
              <w:pStyle w:val="ae"/>
              <w:numPr>
                <w:ilvl w:val="0"/>
                <w:numId w:val="7"/>
              </w:numPr>
              <w:spacing w:after="200"/>
              <w:contextualSpacing/>
              <w:rPr>
                <w:rFonts w:ascii="Times New Roman" w:hAnsi="Times New Roman"/>
                <w:sz w:val="20"/>
                <w:szCs w:val="20"/>
              </w:rPr>
            </w:pPr>
            <w:r w:rsidRPr="002A2D12">
              <w:rPr>
                <w:rFonts w:ascii="Times New Roman" w:hAnsi="Times New Roman"/>
                <w:sz w:val="20"/>
                <w:szCs w:val="20"/>
              </w:rPr>
              <w:t>Τυπικοί κανόνες για την δημιουργία επιχειρήσεων σε όλη την Ευρώπη.</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1992: Οδηγία Μεγάλων Χρηματοδοτικών</w:t>
            </w:r>
            <w:r w:rsidR="00AA50BB" w:rsidRPr="002A2D12">
              <w:rPr>
                <w:rFonts w:ascii="Times New Roman" w:hAnsi="Times New Roman"/>
                <w:sz w:val="20"/>
                <w:szCs w:val="20"/>
              </w:rPr>
              <w:t xml:space="preserve"> </w:t>
            </w:r>
            <w:r w:rsidRPr="002A2D12">
              <w:rPr>
                <w:rFonts w:ascii="Times New Roman" w:hAnsi="Times New Roman"/>
                <w:sz w:val="20"/>
                <w:szCs w:val="20"/>
              </w:rPr>
              <w:t xml:space="preserve">Ανοιγμάτων: </w:t>
            </w:r>
          </w:p>
          <w:p w:rsidR="00AA50BB" w:rsidRPr="002A2D12" w:rsidRDefault="00197BFD" w:rsidP="002E12D2">
            <w:pPr>
              <w:pStyle w:val="ae"/>
              <w:numPr>
                <w:ilvl w:val="0"/>
                <w:numId w:val="5"/>
              </w:numPr>
              <w:spacing w:after="200"/>
              <w:contextualSpacing/>
              <w:rPr>
                <w:rFonts w:ascii="Times New Roman" w:hAnsi="Times New Roman"/>
                <w:sz w:val="20"/>
                <w:szCs w:val="20"/>
              </w:rPr>
            </w:pPr>
            <w:r w:rsidRPr="002A2D12">
              <w:rPr>
                <w:rFonts w:ascii="Times New Roman" w:hAnsi="Times New Roman"/>
                <w:sz w:val="20"/>
                <w:szCs w:val="20"/>
              </w:rPr>
              <w:t xml:space="preserve">Οι τράπεζες δεν πρέπει να δεσμεύουν περισσότερο του 25% </w:t>
            </w:r>
            <w:r w:rsidRPr="002A2D12">
              <w:rPr>
                <w:rFonts w:ascii="Times New Roman" w:hAnsi="Times New Roman"/>
                <w:sz w:val="20"/>
                <w:szCs w:val="20"/>
              </w:rPr>
              <w:lastRenderedPageBreak/>
              <w:t>των Ίδιων Κεφαλαίων τους σε μια μόνο επένδυση</w:t>
            </w:r>
            <w:r w:rsidR="00AA50BB" w:rsidRPr="002A2D12">
              <w:rPr>
                <w:rFonts w:ascii="Times New Roman" w:hAnsi="Times New Roman"/>
                <w:sz w:val="20"/>
                <w:szCs w:val="20"/>
              </w:rPr>
              <w:t>.</w:t>
            </w:r>
          </w:p>
          <w:p w:rsidR="00197BFD" w:rsidRPr="002A2D12" w:rsidRDefault="00AA50BB" w:rsidP="002E12D2">
            <w:pPr>
              <w:pStyle w:val="ae"/>
              <w:numPr>
                <w:ilvl w:val="0"/>
                <w:numId w:val="5"/>
              </w:numPr>
              <w:spacing w:after="200"/>
              <w:contextualSpacing/>
              <w:rPr>
                <w:rFonts w:ascii="Times New Roman" w:hAnsi="Times New Roman"/>
                <w:sz w:val="20"/>
                <w:szCs w:val="20"/>
              </w:rPr>
            </w:pPr>
            <w:r w:rsidRPr="002A2D12">
              <w:rPr>
                <w:rFonts w:ascii="Times New Roman" w:hAnsi="Times New Roman"/>
                <w:sz w:val="20"/>
                <w:szCs w:val="20"/>
              </w:rPr>
              <w:t>Ο</w:t>
            </w:r>
            <w:r w:rsidR="00197BFD" w:rsidRPr="002A2D12">
              <w:rPr>
                <w:rFonts w:ascii="Times New Roman" w:hAnsi="Times New Roman"/>
                <w:sz w:val="20"/>
                <w:szCs w:val="20"/>
              </w:rPr>
              <w:t>ι συνολικοί πόροι που διατίθενται δεν πρέπει να υπερβαίνουν το 800% των ίδιων κεφαλαίων.</w:t>
            </w:r>
          </w:p>
        </w:tc>
        <w:tc>
          <w:tcPr>
            <w:tcW w:w="3830" w:type="dxa"/>
          </w:tcPr>
          <w:p w:rsidR="002A2D12"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lastRenderedPageBreak/>
              <w:t xml:space="preserve">2002: Οδηγία Χρηματοπιστωτικών Ομίλων: </w:t>
            </w:r>
          </w:p>
          <w:p w:rsidR="00197BFD" w:rsidRPr="002A2D12" w:rsidRDefault="008B3E21"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 xml:space="preserve">Εποπτικό πλαίσιο για μια ομάδα χρηματοπιστωτικών οντοτήτων που ασκούν </w:t>
            </w:r>
            <w:proofErr w:type="spellStart"/>
            <w:r w:rsidRPr="002A2D12">
              <w:rPr>
                <w:rFonts w:ascii="Times New Roman" w:hAnsi="Times New Roman"/>
                <w:sz w:val="20"/>
                <w:szCs w:val="20"/>
              </w:rPr>
              <w:t>διατομεακές</w:t>
            </w:r>
            <w:proofErr w:type="spellEnd"/>
            <w:r w:rsidRPr="002A2D12">
              <w:rPr>
                <w:rFonts w:ascii="Times New Roman" w:hAnsi="Times New Roman"/>
                <w:sz w:val="20"/>
                <w:szCs w:val="20"/>
              </w:rPr>
              <w:t xml:space="preserve"> </w:t>
            </w:r>
            <w:r w:rsidRPr="002A2D12">
              <w:rPr>
                <w:rFonts w:ascii="Times New Roman" w:hAnsi="Times New Roman"/>
                <w:sz w:val="20"/>
                <w:szCs w:val="20"/>
              </w:rPr>
              <w:lastRenderedPageBreak/>
              <w:t>δραστηριότητες (τράπεζες, ασφάλειες, χρεόγραφα).</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lastRenderedPageBreak/>
              <w:t xml:space="preserve">1993: Οδηγία για  τις Επενδυτικές Υπηρεσίες: </w:t>
            </w:r>
          </w:p>
          <w:p w:rsidR="00197BFD" w:rsidRPr="002A2D12" w:rsidRDefault="00197BFD" w:rsidP="002E12D2">
            <w:pPr>
              <w:pStyle w:val="ae"/>
              <w:numPr>
                <w:ilvl w:val="0"/>
                <w:numId w:val="5"/>
              </w:numPr>
              <w:spacing w:after="200"/>
              <w:contextualSpacing/>
              <w:rPr>
                <w:rFonts w:ascii="Times New Roman" w:hAnsi="Times New Roman"/>
                <w:sz w:val="20"/>
                <w:szCs w:val="20"/>
              </w:rPr>
            </w:pPr>
            <w:r w:rsidRPr="002A2D12">
              <w:rPr>
                <w:rFonts w:ascii="Times New Roman" w:hAnsi="Times New Roman"/>
                <w:sz w:val="20"/>
                <w:szCs w:val="20"/>
              </w:rPr>
              <w:t>Νομοθετικό πλαίσιο για τις επιχειρήσεις επενδύσεων το οποίο προβλέπει ενιαίο διαβατήριο επενδυτικών υπηρεσιών.</w:t>
            </w:r>
          </w:p>
        </w:tc>
        <w:tc>
          <w:tcPr>
            <w:tcW w:w="3830" w:type="dxa"/>
          </w:tcPr>
          <w:p w:rsidR="002A2D12"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t xml:space="preserve">2004: Νέα Οδηγία Εξαγοράς στην Ευρώπη: </w:t>
            </w:r>
          </w:p>
          <w:p w:rsidR="00197BFD" w:rsidRPr="002A2D12" w:rsidRDefault="008B3E21"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Κοινό πλαίσιο για διασυνοριακές προσφορές εξαγοράς.</w:t>
            </w:r>
          </w:p>
        </w:tc>
      </w:tr>
      <w:tr w:rsidR="00197BFD" w:rsidRPr="002A2D12" w:rsidTr="00AC5FBF">
        <w:tc>
          <w:tcPr>
            <w:tcW w:w="3978" w:type="dxa"/>
          </w:tcPr>
          <w:p w:rsidR="00AA50BB" w:rsidRPr="002A2D12" w:rsidRDefault="00197BFD" w:rsidP="00AA50BB">
            <w:pPr>
              <w:spacing w:after="200"/>
              <w:contextualSpacing/>
              <w:rPr>
                <w:rFonts w:ascii="Times New Roman" w:hAnsi="Times New Roman"/>
                <w:sz w:val="20"/>
                <w:szCs w:val="20"/>
              </w:rPr>
            </w:pPr>
            <w:r w:rsidRPr="002A2D12">
              <w:rPr>
                <w:rFonts w:ascii="Times New Roman" w:hAnsi="Times New Roman"/>
                <w:sz w:val="20"/>
                <w:szCs w:val="20"/>
              </w:rPr>
              <w:t xml:space="preserve">1994: Οδηγία πάνω στα Συστήματα Εγγύησης Καταθέσεων: </w:t>
            </w:r>
          </w:p>
          <w:p w:rsidR="00197BFD" w:rsidRPr="002A2D12" w:rsidRDefault="00197BFD" w:rsidP="002E12D2">
            <w:pPr>
              <w:pStyle w:val="ae"/>
              <w:numPr>
                <w:ilvl w:val="0"/>
                <w:numId w:val="5"/>
              </w:numPr>
              <w:spacing w:after="200"/>
              <w:contextualSpacing/>
              <w:rPr>
                <w:rFonts w:ascii="Times New Roman" w:hAnsi="Times New Roman"/>
                <w:sz w:val="20"/>
                <w:szCs w:val="20"/>
              </w:rPr>
            </w:pPr>
            <w:r w:rsidRPr="002A2D12">
              <w:rPr>
                <w:rFonts w:ascii="Times New Roman" w:hAnsi="Times New Roman"/>
                <w:sz w:val="20"/>
                <w:szCs w:val="20"/>
              </w:rPr>
              <w:t>Ελάχιστη εγγυημένη προστασία του επενδυτή σε περίπτωση χρεοκοπίας τράπεζας.</w:t>
            </w:r>
          </w:p>
        </w:tc>
        <w:tc>
          <w:tcPr>
            <w:tcW w:w="3830" w:type="dxa"/>
          </w:tcPr>
          <w:p w:rsidR="002A2D12" w:rsidRPr="00EC0BFE" w:rsidRDefault="008B3E21" w:rsidP="00EC0BFE">
            <w:pPr>
              <w:spacing w:after="200"/>
              <w:contextualSpacing/>
              <w:rPr>
                <w:rFonts w:ascii="Times New Roman" w:hAnsi="Times New Roman"/>
                <w:sz w:val="20"/>
                <w:szCs w:val="20"/>
              </w:rPr>
            </w:pPr>
            <w:r w:rsidRPr="00EC0BFE">
              <w:rPr>
                <w:rFonts w:ascii="Times New Roman" w:hAnsi="Times New Roman"/>
                <w:sz w:val="20"/>
                <w:szCs w:val="20"/>
              </w:rPr>
              <w:t xml:space="preserve">2005-2010: Λευκή Βίβλος για την Πολιτική Χρηματοπιστωτικών Υπηρεσιών: </w:t>
            </w:r>
          </w:p>
          <w:p w:rsidR="00197BFD" w:rsidRPr="002A2D12" w:rsidRDefault="002A2D12"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Ε</w:t>
            </w:r>
            <w:r w:rsidR="008B3E21" w:rsidRPr="002A2D12">
              <w:rPr>
                <w:rFonts w:ascii="Times New Roman" w:hAnsi="Times New Roman"/>
                <w:sz w:val="20"/>
                <w:szCs w:val="20"/>
              </w:rPr>
              <w:t>δραίωση των ρυθμίσεων και της εποπτείας των χρηματοπιστωτικών υπηρεσιών.</w:t>
            </w:r>
          </w:p>
        </w:tc>
      </w:tr>
      <w:tr w:rsidR="00197BFD" w:rsidRPr="002A2D12" w:rsidTr="00AC5FBF">
        <w:tc>
          <w:tcPr>
            <w:tcW w:w="3978" w:type="dxa"/>
          </w:tcPr>
          <w:p w:rsidR="00197BFD" w:rsidRPr="002A2D12" w:rsidRDefault="008B3E21" w:rsidP="00AA50BB">
            <w:pPr>
              <w:spacing w:after="200"/>
              <w:ind w:left="360"/>
              <w:contextualSpacing/>
              <w:rPr>
                <w:rFonts w:ascii="Times New Roman" w:hAnsi="Times New Roman"/>
                <w:sz w:val="20"/>
                <w:szCs w:val="20"/>
              </w:rPr>
            </w:pPr>
            <w:r w:rsidRPr="002A2D12">
              <w:rPr>
                <w:rFonts w:ascii="Times New Roman" w:hAnsi="Times New Roman"/>
                <w:sz w:val="20"/>
                <w:szCs w:val="20"/>
              </w:rPr>
              <w:t>1999: Σχέδιο Δράσης  για τις Χρηματοπιστωτικές Υπηρεσίες (</w:t>
            </w:r>
            <w:r w:rsidRPr="002A2D12">
              <w:rPr>
                <w:rFonts w:ascii="Times New Roman" w:hAnsi="Times New Roman"/>
                <w:sz w:val="20"/>
                <w:szCs w:val="20"/>
                <w:lang w:val="en-US"/>
              </w:rPr>
              <w:t>FSAP</w:t>
            </w:r>
            <w:r w:rsidRPr="002A2D12">
              <w:rPr>
                <w:rFonts w:ascii="Times New Roman" w:hAnsi="Times New Roman"/>
                <w:sz w:val="20"/>
                <w:szCs w:val="20"/>
              </w:rPr>
              <w:t>): Νομοθετικό πλαίσιο για την Ενιαία Αγορά στον τομέα των χρηματοπιστωτικών υπηρεσιών.</w:t>
            </w:r>
          </w:p>
        </w:tc>
        <w:tc>
          <w:tcPr>
            <w:tcW w:w="3830" w:type="dxa"/>
          </w:tcPr>
          <w:p w:rsidR="002A2D12" w:rsidRPr="002A2D12" w:rsidRDefault="008B3E21" w:rsidP="002A2D12">
            <w:pPr>
              <w:spacing w:after="200"/>
              <w:contextualSpacing/>
              <w:rPr>
                <w:rFonts w:ascii="Times New Roman" w:hAnsi="Times New Roman"/>
                <w:sz w:val="20"/>
                <w:szCs w:val="20"/>
              </w:rPr>
            </w:pPr>
            <w:r w:rsidRPr="002A2D12">
              <w:rPr>
                <w:rFonts w:ascii="Times New Roman" w:hAnsi="Times New Roman"/>
                <w:sz w:val="20"/>
                <w:szCs w:val="20"/>
              </w:rPr>
              <w:t>2006-2008: Οδηγία Κεφαλαιακών Απαιτήσεων:</w:t>
            </w:r>
          </w:p>
          <w:p w:rsidR="002A2D12" w:rsidRPr="002A2D12" w:rsidRDefault="008B3E21"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Ενημερώσεις της Βασιλείας Ι και ενσωμάτωση μέτρων προτεινόμενων στην Βασιλεία ΙΙ.</w:t>
            </w:r>
          </w:p>
          <w:p w:rsidR="002A2D12" w:rsidRPr="002A2D12" w:rsidRDefault="008B3E21"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Βελτιωμένη συνοχή των διεθνών κανονισμών κεφαλαίου. Βελτιωμένη ευαισθησία στον κίνδυνο των ρυθμισμένων κεφαλαίων.</w:t>
            </w:r>
          </w:p>
          <w:p w:rsidR="00197BFD" w:rsidRPr="002A2D12" w:rsidRDefault="008B3E21" w:rsidP="002E12D2">
            <w:pPr>
              <w:pStyle w:val="ae"/>
              <w:numPr>
                <w:ilvl w:val="0"/>
                <w:numId w:val="8"/>
              </w:numPr>
              <w:spacing w:after="200"/>
              <w:contextualSpacing/>
              <w:rPr>
                <w:rFonts w:ascii="Times New Roman" w:hAnsi="Times New Roman"/>
                <w:sz w:val="20"/>
                <w:szCs w:val="20"/>
              </w:rPr>
            </w:pPr>
            <w:r w:rsidRPr="002A2D12">
              <w:rPr>
                <w:rFonts w:ascii="Times New Roman" w:hAnsi="Times New Roman"/>
                <w:sz w:val="20"/>
                <w:szCs w:val="20"/>
              </w:rPr>
              <w:t>Προώθηση βελτιωμένων πρακτικών διαχείρισης κινδύνων μεταξύ των διεθνών τραπεζών.</w:t>
            </w:r>
          </w:p>
        </w:tc>
      </w:tr>
    </w:tbl>
    <w:p w:rsidR="008B3E21" w:rsidRDefault="008B3E21" w:rsidP="00A4011C">
      <w:pPr>
        <w:spacing w:line="360" w:lineRule="auto"/>
      </w:pPr>
    </w:p>
    <w:p w:rsidR="00047D68" w:rsidRDefault="00A4011C" w:rsidP="00047D68">
      <w:pPr>
        <w:spacing w:line="360" w:lineRule="auto"/>
        <w:ind w:firstLine="720"/>
        <w:jc w:val="both"/>
      </w:pPr>
      <w:r w:rsidRPr="0007761D">
        <w:t>Κατά τα έτη 1995-2004, ο τραπεζικός τομέας αναπτύχθηκε ραγδαία στην Ευρωπαϊκή Ένωση.</w:t>
      </w:r>
      <w:r w:rsidRPr="0007761D">
        <w:rPr>
          <w:lang w:val="en-US"/>
        </w:rPr>
        <w:t>T</w:t>
      </w:r>
      <w:r w:rsidRPr="0007761D">
        <w:t xml:space="preserve">ο Λουξεμβούργο έχει ένα από τα </w:t>
      </w:r>
      <w:r w:rsidR="00047D68">
        <w:t xml:space="preserve">πιο αναπτυγμένα </w:t>
      </w:r>
      <w:r w:rsidRPr="0007761D">
        <w:t>τραπεζικά συστήματα ωστόσο, υπέστη μια μεί</w:t>
      </w:r>
      <w:r>
        <w:t xml:space="preserve">ωση τα τελευταία χρόνια. </w:t>
      </w:r>
      <w:r w:rsidRPr="0007761D">
        <w:t xml:space="preserve">Η Κύπρος και η Μάλτα </w:t>
      </w:r>
      <w:r w:rsidR="00047D68">
        <w:t>παρουσιάζουν συγκριτικά με τους υπόλοιπους</w:t>
      </w:r>
      <w:r w:rsidRPr="0007761D">
        <w:t xml:space="preserve"> ένα</w:t>
      </w:r>
      <w:r w:rsidR="00047D68">
        <w:t xml:space="preserve"> πιο</w:t>
      </w:r>
      <w:r w:rsidRPr="0007761D">
        <w:t xml:space="preserve"> αδύναμο τραπεζικό σύστημα.</w:t>
      </w:r>
      <w:r w:rsidR="00047D68">
        <w:t xml:space="preserve"> Αυτό δυστυχώς έγινε ιδιαίτερα </w:t>
      </w:r>
      <w:proofErr w:type="spellStart"/>
      <w:r w:rsidR="00047D68">
        <w:t>αντιλυπτό</w:t>
      </w:r>
      <w:proofErr w:type="spellEnd"/>
      <w:r w:rsidR="00047D68">
        <w:t xml:space="preserve"> στη περίπτωση της Κύπρου με το κούρεμα των καταθέσεων μετά την κατάρρευση μεγάλων κυπριακών τραπεζών.</w:t>
      </w:r>
      <w:r w:rsidRPr="0007761D">
        <w:t xml:space="preserve"> Η Τσεχική Δημοκρατία και η Σλοβακία ξεχωρίζουν ως οι δύο οικονομίες με τα ισχυρότερα τραπεζικά συστήματα που είναι αποτέλεσμα της ύπαρξης ενός σημαντικού τραπεζικού συστήματος υπό το προηγούμενο σοσιαλιστικό καθεστώς. </w:t>
      </w:r>
      <w:r w:rsidR="00047D68">
        <w:t xml:space="preserve">Σύμφωνα με τους </w:t>
      </w:r>
      <w:proofErr w:type="spellStart"/>
      <w:r w:rsidR="009F54A4">
        <w:rPr>
          <w:lang w:val="en-US"/>
        </w:rPr>
        <w:t>Bartiloro</w:t>
      </w:r>
      <w:proofErr w:type="spellEnd"/>
      <w:r w:rsidR="009F54A4" w:rsidRPr="009F54A4">
        <w:t xml:space="preserve"> </w:t>
      </w:r>
      <w:r w:rsidR="00047D68">
        <w:rPr>
          <w:lang w:val="en-US"/>
        </w:rPr>
        <w:t>et</w:t>
      </w:r>
      <w:r w:rsidR="00047D68" w:rsidRPr="00A677DF">
        <w:t xml:space="preserve"> </w:t>
      </w:r>
      <w:r w:rsidR="00047D68">
        <w:rPr>
          <w:lang w:val="en-US"/>
        </w:rPr>
        <w:t>al</w:t>
      </w:r>
      <w:r w:rsidR="00047D68" w:rsidRPr="00A677DF">
        <w:t>.,</w:t>
      </w:r>
      <w:r w:rsidR="00EC0BFE">
        <w:t xml:space="preserve"> </w:t>
      </w:r>
      <w:r w:rsidR="00047D68">
        <w:t>(</w:t>
      </w:r>
      <w:r w:rsidR="00047D68" w:rsidRPr="00A677DF">
        <w:t>2005</w:t>
      </w:r>
      <w:r w:rsidR="00047D68">
        <w:t>) στ</w:t>
      </w:r>
      <w:r w:rsidRPr="0007761D">
        <w:t xml:space="preserve">ις δύο αυτές χώρες, μαζί με το Λουξεμβούργο, παρατηρείται μια μείωση των τραπεζικών περιουσιακών στοιχείων, η μείωση μπορεί </w:t>
      </w:r>
      <w:r w:rsidRPr="0007761D">
        <w:lastRenderedPageBreak/>
        <w:t>να εξηγηθεί από την αύξηση του ανταγωνισμού στο εσωτερικό τ</w:t>
      </w:r>
      <w:r w:rsidR="00047D68">
        <w:t xml:space="preserve">ου χρηματοπιστωτικού συστήματος. </w:t>
      </w:r>
      <w:r w:rsidRPr="0007761D">
        <w:t>Στο άλλο άκρο</w:t>
      </w:r>
      <w:r w:rsidR="00047D68">
        <w:t xml:space="preserve"> από πλευράς ανταγωνισμού</w:t>
      </w:r>
      <w:r w:rsidRPr="0007761D">
        <w:t xml:space="preserve"> είναι η Λιθουανία και χώρες όπως η Πολωνία και η Ουγγαρία.</w:t>
      </w:r>
    </w:p>
    <w:p w:rsidR="00047D68" w:rsidRDefault="00A4011C" w:rsidP="00047D68">
      <w:pPr>
        <w:spacing w:line="360" w:lineRule="auto"/>
        <w:ind w:firstLine="720"/>
        <w:jc w:val="both"/>
      </w:pPr>
      <w:r w:rsidRPr="0007761D">
        <w:t>Σε όλα τα κράτη μέλη της ΕΕ υπήρξε μια αύξηση των δανείων</w:t>
      </w:r>
      <w:r w:rsidR="00EC0BFE">
        <w:t xml:space="preserve"> το διάστημα από το 1994 έως το </w:t>
      </w:r>
      <w:r w:rsidR="00047D68">
        <w:t>2005</w:t>
      </w:r>
      <w:r w:rsidRPr="0007761D">
        <w:t>. Το υψηλότερο επίπεδο τραπεζικού δανεισμού παρατηρήθηκε στο Λουξεμβούργο και στην Ιρλανδία.  Υψηλό επίπεδο δανεισμού παρατηρήθηκε, επίσης, στη Γερμανία και στις Κάτω Χώρες. Στις μεταβατικές οικονομίες είναι πολύ χαμηλό, ακόμη κ</w:t>
      </w:r>
      <w:r>
        <w:t>αι στην Τσεχική Δημοκρατία, όπου</w:t>
      </w:r>
      <w:r w:rsidRPr="0007761D">
        <w:t xml:space="preserve"> οφείλεται στην έντονη οικονομική ύφεση.</w:t>
      </w:r>
    </w:p>
    <w:p w:rsidR="007577C9" w:rsidRDefault="00A4011C" w:rsidP="007577C9">
      <w:pPr>
        <w:spacing w:line="360" w:lineRule="auto"/>
        <w:ind w:firstLine="720"/>
        <w:jc w:val="both"/>
      </w:pPr>
      <w:r w:rsidRPr="0007761D">
        <w:t>Η αύξηση των καταθέσεων από 58% το 1995 σε 116% το 2004 προϋποθέτει την ισχυροποίηση του τραπεζικού τομέα στην Ευρωπαϊκή Ένωση. Το Λουξεμβούργο και η Δανία ήταν οι χώρες, όπου η αναλογία μειώθηκε. Στην περίπτωση της Δανίας, η κατάσταση σταθεροποιήθηκε το 2002. Ενώ στην περίπτωση του Λουξεμβούργου, η μείωση των τραπεζικών καταθέσεων μπορεί να εξηγηθεί από την αλλαγή της φορολογικής νομοθεσίας. Αύξηση των καταθέσεων παρατηρήθηκε στις ταχέως αναπτυσσόμενες οικονομίες, όπως η Ιρλανδία, η Ελλάδα και η Ισπανία. Στην περίπτωση της Πολωνίας, μόνο το 60% του πληθυσμού είχε έναν τραπεζικό λογαριασμό το 2004. Αντιθέτως η Τσεχική Δημοκρατία εμφανίζει υψηλές κ</w:t>
      </w:r>
      <w:r>
        <w:t>αταθέσεις</w:t>
      </w:r>
      <w:r w:rsidRPr="0007761D">
        <w:t>.</w:t>
      </w:r>
      <w:r w:rsidR="00047D68">
        <w:t xml:space="preserve"> Χαρακτηριστικό όμως ήταν το γεγονός της ραγδαίας απόσυρσης  των καταθέσεων από το Ελληνικό τραπεζικό σύστημα με το ξέσπασμα της Ελληνικής κρίσης δείχνοντας πόσο γρήγορα μπορεί να αλλάξει μια εικόνα λόγω άρσης της εμπιστοσύνης.</w:t>
      </w:r>
    </w:p>
    <w:p w:rsidR="00AC5FBF" w:rsidRDefault="00047D68" w:rsidP="00AC5FBF">
      <w:pPr>
        <w:spacing w:line="360" w:lineRule="auto"/>
        <w:ind w:firstLine="720"/>
        <w:jc w:val="both"/>
      </w:pPr>
      <w:r>
        <w:t>Στην Ευρωπαϊκή Ένωση ο</w:t>
      </w:r>
      <w:r w:rsidR="00A4011C" w:rsidRPr="0007761D">
        <w:t xml:space="preserve"> αριθμός των πιστωτικών ιδρυμάτων έχει μειωθεί κατά τις τελευταίες δεκαετίες περισσότερο από 27%. Ο μεγάλος αριθμός των πιστωτικών ιδρυμάτων βρίσκεται μεταξύ των τραπεζών της Γερμανίας, της Γαλλίας και της Ιταλίας. Οι σημαντικότερες μειώσεις σημειώθηκαν στη Γερμανία και το Ηνωμένο Βασίλειο. </w:t>
      </w:r>
      <w:r>
        <w:t>Ο</w:t>
      </w:r>
      <w:r w:rsidRPr="0007761D">
        <w:t xml:space="preserve"> αριθμός μειώθηκε</w:t>
      </w:r>
      <w:r>
        <w:t xml:space="preserve"> λόγω τ</w:t>
      </w:r>
      <w:r w:rsidRPr="0007761D">
        <w:t>η</w:t>
      </w:r>
      <w:r>
        <w:t>ς</w:t>
      </w:r>
      <w:r w:rsidRPr="0007761D">
        <w:t xml:space="preserve"> εξαγορά</w:t>
      </w:r>
      <w:r>
        <w:t>ς</w:t>
      </w:r>
      <w:r w:rsidRPr="0007761D">
        <w:t xml:space="preserve"> των εγχώριων εμπορικών τραπεζών από ξένους επενδυτές ή </w:t>
      </w:r>
      <w:r>
        <w:t>των συγχωνεύσεων</w:t>
      </w:r>
      <w:r w:rsidRPr="0007761D">
        <w:t xml:space="preserve"> μεταξύ των περιφερειακών τ</w:t>
      </w:r>
      <w:r>
        <w:t>ραπεζών</w:t>
      </w:r>
      <w:r w:rsidR="00EC0BFE">
        <w:t>.</w:t>
      </w:r>
      <w:r w:rsidRPr="0007761D">
        <w:t xml:space="preserve"> </w:t>
      </w:r>
      <w:r w:rsidR="00A4011C" w:rsidRPr="0007761D">
        <w:t>Ωστόσο, την ίδια στιγμή η Σουηδία και η Ιρλανδία αναφέρουν μια σημαντική αύξηση του αριθμού των πιστωτικών ιδρυμάτων, ενώ παραμένει σταθερός στη Δανία και τη Φινλανδία.</w:t>
      </w:r>
      <w:r w:rsidR="00A36583">
        <w:t xml:space="preserve"> </w:t>
      </w:r>
      <w:r w:rsidR="00A4011C" w:rsidRPr="0007761D">
        <w:t xml:space="preserve"> Σε άλλες χώρες, ο αριθμός των πιστωτικών ιδρυμάτων μειώθηκε με σημαντικές μειώσεις περίπου 50% στην </w:t>
      </w:r>
      <w:r w:rsidR="00A4011C" w:rsidRPr="0007761D">
        <w:lastRenderedPageBreak/>
        <w:t>Πολωνία, την Εσθονία, τη Σλοβενία και τη Λετονία. Παρά την πτωτική τάση στην ΕΕ, ο αριθμός των πιστωτικών ιδρυμάτων παραμένει μεγάλος σε σύγκριση με τις ΗΠΑ ή την Ιαπωνία.</w:t>
      </w:r>
      <w:r w:rsidR="00A4011C">
        <w:t xml:space="preserve"> </w:t>
      </w:r>
      <w:r w:rsidR="00A4011C" w:rsidRPr="0007761D">
        <w:t xml:space="preserve">Οι κυβερνήσεις ενθαρρύνουν τις εγχώριες τράπεζες να συγχωνευθούν ιδιαίτερα αν υπάρχει απειλή από ξένους επενδυτές. </w:t>
      </w:r>
      <w:r w:rsidR="00A36583">
        <w:t xml:space="preserve">Κατά τους </w:t>
      </w:r>
      <w:proofErr w:type="spellStart"/>
      <w:r w:rsidR="009F54A4">
        <w:rPr>
          <w:lang w:val="en-US"/>
        </w:rPr>
        <w:t>Bartiloro</w:t>
      </w:r>
      <w:proofErr w:type="spellEnd"/>
      <w:r w:rsidR="009F54A4" w:rsidRPr="009F54A4">
        <w:t xml:space="preserve"> </w:t>
      </w:r>
      <w:r w:rsidR="00A4011C">
        <w:rPr>
          <w:lang w:val="en-US"/>
        </w:rPr>
        <w:t>et</w:t>
      </w:r>
      <w:r w:rsidR="00A4011C" w:rsidRPr="00A677DF">
        <w:t xml:space="preserve"> </w:t>
      </w:r>
      <w:r w:rsidR="00A4011C">
        <w:rPr>
          <w:lang w:val="en-US"/>
        </w:rPr>
        <w:t>al</w:t>
      </w:r>
      <w:r w:rsidR="00A4011C" w:rsidRPr="00A677DF">
        <w:t>.,</w:t>
      </w:r>
      <w:r w:rsidR="0023719B">
        <w:t xml:space="preserve"> </w:t>
      </w:r>
      <w:r w:rsidR="00A36583">
        <w:t>(</w:t>
      </w:r>
      <w:r w:rsidR="00A4011C" w:rsidRPr="00A677DF">
        <w:t>2005)</w:t>
      </w:r>
      <w:r w:rsidR="00A36583">
        <w:t xml:space="preserve"> τ</w:t>
      </w:r>
      <w:r w:rsidR="00A4011C" w:rsidRPr="0007761D">
        <w:t xml:space="preserve">ο επίπεδο ξένης ιδιοκτησίας το 2004 </w:t>
      </w:r>
      <w:r w:rsidR="00EC0BFE">
        <w:t>ήταν</w:t>
      </w:r>
      <w:r w:rsidR="00A4011C" w:rsidRPr="0007761D">
        <w:t xml:space="preserve"> πολύ υψηλό στην Εσθονία, την Τσεχική Δημοκρατία, τη Σλοβακία, την Ουγγαρία και το Λουξεμβούργο, ενώ είναι περίπου 50% στη Κύπρο, το Ηνωμένο Βασίλειο και μόνο  6% στη Γερμανία. </w:t>
      </w:r>
    </w:p>
    <w:p w:rsidR="00EC0BFE" w:rsidRDefault="00A36583" w:rsidP="00EC0BFE">
      <w:pPr>
        <w:spacing w:line="360" w:lineRule="auto"/>
        <w:ind w:firstLine="720"/>
        <w:jc w:val="both"/>
      </w:pPr>
      <w:r>
        <w:t xml:space="preserve">Προχωρώντας χρονικά στα πρόσφατα έτη μετά το ξέσπασμα της κρίσης της δευτερογενούς αγοράς στεγαστικών δανείων στην Αμερική το καλοκαίρι του 2007,  οι Ευρωπαϊκές τράπεζες επηρεάστηκαν έντονα λόγω του γεγονότος ότι μέσω της </w:t>
      </w:r>
      <w:proofErr w:type="spellStart"/>
      <w:r>
        <w:t>τιτλοποίησης</w:t>
      </w:r>
      <w:proofErr w:type="spellEnd"/>
      <w:r w:rsidR="00A4011C">
        <w:t xml:space="preserve">   </w:t>
      </w:r>
      <w:r>
        <w:t xml:space="preserve">συγκεντρώθηκαν </w:t>
      </w:r>
      <w:r w:rsidR="00A4011C" w:rsidRPr="00F40304">
        <w:t xml:space="preserve">οι ιδιωτικοί τίτλοι των ΗΠΑ στα χρηματοπιστωτικά ιδρύματα </w:t>
      </w:r>
      <w:r>
        <w:t>χωρών</w:t>
      </w:r>
      <w:r w:rsidR="00A4011C" w:rsidRPr="00F40304">
        <w:t xml:space="preserve"> όπως η Γερμα</w:t>
      </w:r>
      <w:r w:rsidR="00A4011C">
        <w:t>νία</w:t>
      </w:r>
      <w:r w:rsidR="00A4011C" w:rsidRPr="00F40304">
        <w:t>, η Γαλλία, η Ελβετία και το Ηνωμένο Βασίλειο. Έτσι, οι παγκόσμιες ευρωπαϊκές τράπεζες επέκτ</w:t>
      </w:r>
      <w:r w:rsidR="00A4011C">
        <w:t>ειναν τους ισολογισμούς τους και</w:t>
      </w:r>
      <w:r w:rsidR="00A4011C" w:rsidRPr="00F40304">
        <w:t xml:space="preserve"> αύξησαν τον δ</w:t>
      </w:r>
      <w:r>
        <w:t xml:space="preserve">ανεισμό εντός και εκτός Ευρώπης </w:t>
      </w:r>
      <w:r w:rsidR="00A4011C" w:rsidRPr="00A677DF">
        <w:t>(</w:t>
      </w:r>
      <w:proofErr w:type="spellStart"/>
      <w:r w:rsidR="00A4011C">
        <w:rPr>
          <w:lang w:val="en-US"/>
        </w:rPr>
        <w:t>Noeth</w:t>
      </w:r>
      <w:proofErr w:type="spellEnd"/>
      <w:r w:rsidR="00A4011C" w:rsidRPr="00A677DF">
        <w:t xml:space="preserve"> </w:t>
      </w:r>
      <w:r>
        <w:t xml:space="preserve">&amp; </w:t>
      </w:r>
      <w:proofErr w:type="spellStart"/>
      <w:r w:rsidR="00A4011C">
        <w:rPr>
          <w:lang w:val="en-US"/>
        </w:rPr>
        <w:t>Sengupta</w:t>
      </w:r>
      <w:proofErr w:type="spellEnd"/>
      <w:r w:rsidR="00A4011C" w:rsidRPr="00A677DF">
        <w:t>,</w:t>
      </w:r>
      <w:r>
        <w:t xml:space="preserve"> </w:t>
      </w:r>
      <w:r w:rsidR="00A4011C" w:rsidRPr="00A677DF">
        <w:t>2012)</w:t>
      </w:r>
      <w:r>
        <w:t>.</w:t>
      </w:r>
      <w:r w:rsidR="00A4011C">
        <w:t xml:space="preserve"> </w:t>
      </w:r>
      <w:r w:rsidR="00A4011C" w:rsidRPr="00F40304">
        <w:t>Στις περιφερει</w:t>
      </w:r>
      <w:r w:rsidR="00EC0BFE">
        <w:t xml:space="preserve">ακές χώρες της ζώνης του ευρώ (Ελλάδα,  Ιρλανδία, </w:t>
      </w:r>
      <w:r w:rsidR="00A4011C" w:rsidRPr="00F40304">
        <w:t xml:space="preserve"> Ιταλία, </w:t>
      </w:r>
      <w:r w:rsidR="00EC0BFE">
        <w:t xml:space="preserve"> Πορτογαλία και</w:t>
      </w:r>
      <w:r w:rsidR="00A4011C" w:rsidRPr="00F40304">
        <w:t xml:space="preserve"> Ισπανία) παρατηρήθηκε αύξηση των εισροών κεφαλαίων από τράπεζες άλλων χωρών (δηλαδή τη Γαλλία, τη Γερμανία, το Ηνωμένο Βασίλειο και την Ελβετία), την εποχή της οικονομικής κρίσης στις ΗΠΑ. Έτσι μετά την κατάρρευση, οι ευρωπαϊκές τράπεζες δεν γλίτωσαν από την ταχεία </w:t>
      </w:r>
      <w:proofErr w:type="spellStart"/>
      <w:r w:rsidR="00A4011C" w:rsidRPr="00F40304">
        <w:t>απομόχλευση</w:t>
      </w:r>
      <w:proofErr w:type="spellEnd"/>
      <w:r w:rsidR="00A4011C" w:rsidRPr="00F40304">
        <w:t xml:space="preserve"> που ακολούθησε.</w:t>
      </w:r>
      <w:r>
        <w:t xml:space="preserve"> </w:t>
      </w:r>
    </w:p>
    <w:p w:rsidR="00A4011C" w:rsidRPr="00B60301" w:rsidRDefault="00A4011C" w:rsidP="00EC0BFE">
      <w:pPr>
        <w:spacing w:line="360" w:lineRule="auto"/>
        <w:ind w:firstLine="720"/>
        <w:jc w:val="both"/>
      </w:pPr>
      <w:r w:rsidRPr="00F40304">
        <w:t xml:space="preserve">Για κάθε ευρωπαϊκό έθνος, περισσότερο από το ήμισυ των εταιρικών χρεών </w:t>
      </w:r>
      <w:r w:rsidR="00A36583">
        <w:t>εμφανίζεται</w:t>
      </w:r>
      <w:r w:rsidRPr="00F40304">
        <w:t xml:space="preserve"> υπό τη μορφή επιχειρηματικών δανείων από τις τράπεζες. Σε σύγκριση, ο ίδιος αριθμός για τις ΗΠΑ είναι μικρότερος</w:t>
      </w:r>
      <w:r>
        <w:t xml:space="preserve"> από 20%. </w:t>
      </w:r>
      <w:r w:rsidRPr="00F40304">
        <w:t>Ενώ οι αμερικανικές εταιρείες έχουν συνήθως άμεση πρόσβαση στις κεφαλαιαγορές, οι ευρωπαϊκές επιχειρήσεις εξαρτ</w:t>
      </w:r>
      <w:r w:rsidR="00A36583">
        <w:t>ώνται από τη χρηματοδότηση μέσω τραπεζικής διαμεσολάβησης</w:t>
      </w:r>
      <w:r w:rsidRPr="00F40304">
        <w:t xml:space="preserve">. Αυτό το </w:t>
      </w:r>
      <w:r>
        <w:t>χαρακτηριστικό συνεπάγεται ότι οι</w:t>
      </w:r>
      <w:r w:rsidRPr="00F40304">
        <w:t xml:space="preserve"> επιπτώσεις της </w:t>
      </w:r>
      <w:proofErr w:type="spellStart"/>
      <w:r w:rsidRPr="00F40304">
        <w:t>απομόχλευσης</w:t>
      </w:r>
      <w:proofErr w:type="spellEnd"/>
      <w:r w:rsidRPr="00F40304">
        <w:t xml:space="preserve"> του τραπεζικού τομέα είναι μεγαλύτερες στην Ευρώπη από τις ΗΠΑ.</w:t>
      </w:r>
      <w:r>
        <w:t xml:space="preserve"> </w:t>
      </w:r>
      <w:r w:rsidRPr="00F40304">
        <w:t xml:space="preserve">Ορισμένες ευρωπαϊκές τράπεζες έχουν περιουσιακά στοιχεία μεγαλύτερα από το ΑΕΠ της χώρας τους. Αυτό έρχεται σε αντίθεση με τις τράπεζες των ΗΠΑ, όπου η αναλογία αυτή </w:t>
      </w:r>
      <w:r>
        <w:t>είναι μικρή. Έτσι, ο</w:t>
      </w:r>
      <w:r w:rsidRPr="00F40304">
        <w:t>ι επενδυτές βλ</w:t>
      </w:r>
      <w:r>
        <w:t>έπουν ότι</w:t>
      </w:r>
      <w:r w:rsidRPr="00F40304">
        <w:t xml:space="preserve"> η εθνική εγγύηση διάσωσης δεν είναι πλέον αξιόπιστη.</w:t>
      </w:r>
      <w:r w:rsidR="00A36583">
        <w:t xml:space="preserve"> Αυτό όμως άρχισε να επηρεάζει την χρηματοδότηση στην διατραπεζική με αποτέλεσμα να επηρεάζονται αρνητικά οι τράπεζες των μικρότερων χωρών όπως για παράδειγμα οι </w:t>
      </w:r>
      <w:r w:rsidR="00A36583">
        <w:lastRenderedPageBreak/>
        <w:t>Ελληνικές. Το κόστος χρηματοδότησης τους άρχισε να αυξάνεται και να εμφανίζεται το λεγόμενο Ελληνικό πρόβλημα το οποίο γρήγορα εξελίχθηκε σε κρίση χρέους χωρών Ευρωζώνης.</w:t>
      </w:r>
      <w:r w:rsidR="005B1618">
        <w:t xml:space="preserve"> Στα έτη 2010-2012</w:t>
      </w:r>
      <w:r w:rsidRPr="00F40304">
        <w:t xml:space="preserve">, η Ευρώπη </w:t>
      </w:r>
      <w:r w:rsidR="005B1618">
        <w:t>χαρακτηρίζεται από</w:t>
      </w:r>
      <w:r w:rsidRPr="00F40304">
        <w:t xml:space="preserve"> εκροές από τις τράπεζες στην Ιρλανδία, την Ιταλία, την Ελλάδα και Ισπανία </w:t>
      </w:r>
      <w:r w:rsidR="005B1618">
        <w:t xml:space="preserve"> προς </w:t>
      </w:r>
      <w:r w:rsidRPr="00F40304">
        <w:t>σε εκείνες στη Γερμανία και τη Γαλλία. Η πληγείσα χώρα βρίσκεται αντιμέτωπη με μια έλλειψη σε πηγές χρηματοδότησης που συνοδεύεται από τη φυγή κεφαλαίων</w:t>
      </w:r>
      <w:r w:rsidR="005B1618">
        <w:t xml:space="preserve"> και εδώ ήταν καταλυτική η παρέμβαση της ΕΚΤ. </w:t>
      </w:r>
      <w:r w:rsidRPr="00F40304">
        <w:t xml:space="preserve">Στον απόηχο της κρίσης, η ΕΚΤ άλλαξε τον τρόπο με τον οποίο διεξήγαγε τις πράξεις </w:t>
      </w:r>
      <w:r w:rsidR="005B1618" w:rsidRPr="005B1618">
        <w:t xml:space="preserve">επαναγοράς </w:t>
      </w:r>
      <w:r w:rsidR="005B1618">
        <w:t>(</w:t>
      </w:r>
      <w:proofErr w:type="spellStart"/>
      <w:r w:rsidRPr="00F40304">
        <w:t>repo</w:t>
      </w:r>
      <w:proofErr w:type="spellEnd"/>
      <w:r w:rsidRPr="00F40304">
        <w:rPr>
          <w:lang w:val="en-US"/>
        </w:rPr>
        <w:t>s</w:t>
      </w:r>
      <w:r w:rsidR="005B1618">
        <w:t>)</w:t>
      </w:r>
      <w:r w:rsidRPr="00F40304">
        <w:t xml:space="preserve"> ώστε να επεκτείνει μεγάλες ποσότητες ρευστότητας στο τραπεζικό σύστημα.</w:t>
      </w:r>
      <w:r>
        <w:t xml:space="preserve"> </w:t>
      </w:r>
      <w:r w:rsidRPr="00F40304">
        <w:t>Η ΕΚΤ επεκτάθηκε επίσης στο σύνολο των ενεχύρων για τις μα</w:t>
      </w:r>
      <w:r>
        <w:t xml:space="preserve">κροπρόθεσμες πράξεις επαναγοράς. </w:t>
      </w:r>
      <w:r w:rsidRPr="00F40304">
        <w:t xml:space="preserve">Οι τράπεζες που κατέχουν δημόσιο χρέος </w:t>
      </w:r>
      <w:r w:rsidR="005B1618">
        <w:t>απέκτησαν</w:t>
      </w:r>
      <w:r w:rsidRPr="00F40304">
        <w:t xml:space="preserve"> σ</w:t>
      </w:r>
      <w:r>
        <w:t>ημαντική πρόσβαση σε ρευστότητα</w:t>
      </w:r>
      <w:r w:rsidR="005B1618">
        <w:t>,</w:t>
      </w:r>
      <w:r w:rsidRPr="00A677DF">
        <w:t xml:space="preserve"> </w:t>
      </w:r>
      <w:r w:rsidR="005B1618">
        <w:t xml:space="preserve">αλλά και </w:t>
      </w:r>
      <w:r w:rsidRPr="00F40304">
        <w:t>η πολιτική</w:t>
      </w:r>
      <w:r w:rsidR="005B1618">
        <w:t xml:space="preserve"> αυτή στόχο είχε</w:t>
      </w:r>
      <w:r w:rsidRPr="00F40304">
        <w:t xml:space="preserve"> να δώσει κίνητρα για τις ευρωπαϊκές τράπεζες να κατέχουν περισσότερα κρατικά ομόλογα</w:t>
      </w:r>
      <w:r w:rsidR="005B1618">
        <w:t xml:space="preserve"> </w:t>
      </w:r>
      <w:r w:rsidR="005B1618" w:rsidRPr="00B60301">
        <w:t>(</w:t>
      </w:r>
      <w:proofErr w:type="spellStart"/>
      <w:r w:rsidR="005B1618" w:rsidRPr="009F7E1A">
        <w:rPr>
          <w:lang w:val="en-US"/>
        </w:rPr>
        <w:t>Noeth</w:t>
      </w:r>
      <w:proofErr w:type="spellEnd"/>
      <w:r w:rsidR="005B1618" w:rsidRPr="00B60301">
        <w:t xml:space="preserve"> </w:t>
      </w:r>
      <w:r w:rsidR="00777193">
        <w:t>&amp;</w:t>
      </w:r>
      <w:proofErr w:type="spellStart"/>
      <w:r w:rsidR="005B1618" w:rsidRPr="009F7E1A">
        <w:rPr>
          <w:lang w:val="en-US"/>
        </w:rPr>
        <w:t>Sengupta</w:t>
      </w:r>
      <w:proofErr w:type="spellEnd"/>
      <w:r w:rsidR="005B1618" w:rsidRPr="00B60301">
        <w:t>,</w:t>
      </w:r>
      <w:r w:rsidR="00EC0BFE">
        <w:t xml:space="preserve"> </w:t>
      </w:r>
      <w:r w:rsidR="005B1618" w:rsidRPr="00B60301">
        <w:t>2012)</w:t>
      </w:r>
      <w:r w:rsidR="00EC0BFE">
        <w:t>.</w:t>
      </w:r>
      <w:r w:rsidR="005B1618" w:rsidRPr="00B60301">
        <w:t xml:space="preserve">  </w:t>
      </w:r>
    </w:p>
    <w:p w:rsidR="005B1618" w:rsidRPr="007E5AEB" w:rsidRDefault="005B1618" w:rsidP="002A2D12">
      <w:pPr>
        <w:spacing w:line="360" w:lineRule="auto"/>
        <w:jc w:val="both"/>
        <w:rPr>
          <w:b/>
        </w:rPr>
      </w:pPr>
    </w:p>
    <w:p w:rsidR="0040797E" w:rsidRDefault="00CC0245" w:rsidP="0040797E">
      <w:pPr>
        <w:pStyle w:val="2"/>
        <w:spacing w:before="0" w:after="0" w:line="360" w:lineRule="auto"/>
        <w:jc w:val="both"/>
        <w:rPr>
          <w:rFonts w:ascii="Times New Roman" w:hAnsi="Times New Roman" w:cs="Times New Roman"/>
          <w:i w:val="0"/>
        </w:rPr>
      </w:pPr>
      <w:bookmarkStart w:id="16" w:name="_Toc393111073"/>
      <w:r>
        <w:rPr>
          <w:rFonts w:ascii="Times New Roman" w:hAnsi="Times New Roman" w:cs="Times New Roman"/>
          <w:i w:val="0"/>
        </w:rPr>
        <w:t>4.11.2 Το</w:t>
      </w:r>
      <w:r w:rsidR="00527BAA">
        <w:rPr>
          <w:rFonts w:ascii="Times New Roman" w:hAnsi="Times New Roman" w:cs="Times New Roman"/>
          <w:i w:val="0"/>
        </w:rPr>
        <w:t xml:space="preserve"> </w:t>
      </w:r>
      <w:r w:rsidR="000414F6">
        <w:rPr>
          <w:rFonts w:ascii="Times New Roman" w:hAnsi="Times New Roman" w:cs="Times New Roman"/>
          <w:i w:val="0"/>
        </w:rPr>
        <w:t>Αμερικανικό τ</w:t>
      </w:r>
      <w:r w:rsidR="0040797E" w:rsidRPr="0040797E">
        <w:rPr>
          <w:rFonts w:ascii="Times New Roman" w:hAnsi="Times New Roman" w:cs="Times New Roman"/>
          <w:i w:val="0"/>
        </w:rPr>
        <w:t>ραπεζικό σύστημα</w:t>
      </w:r>
      <w:bookmarkEnd w:id="16"/>
    </w:p>
    <w:p w:rsidR="009F54A4" w:rsidRPr="009F54A4" w:rsidRDefault="000A076C" w:rsidP="00777193">
      <w:pPr>
        <w:spacing w:line="360" w:lineRule="auto"/>
        <w:ind w:firstLine="720"/>
        <w:jc w:val="both"/>
      </w:pPr>
      <w:r w:rsidRPr="00500100">
        <w:rPr>
          <w:rFonts w:eastAsiaTheme="minorHAnsi"/>
          <w:lang w:eastAsia="en-US"/>
        </w:rPr>
        <w:t xml:space="preserve">Το αμερικάνικο  τραπεζικό σύστημα είναι το μεγαλύτερο στον κόσμο, αφού διαθέτει περίπου 90.000 υποκαταστήματα και 371.000 </w:t>
      </w:r>
      <w:r w:rsidRPr="00500100">
        <w:rPr>
          <w:rFonts w:eastAsiaTheme="minorHAnsi"/>
          <w:lang w:val="en-US" w:eastAsia="en-US"/>
        </w:rPr>
        <w:t>ATMs</w:t>
      </w:r>
      <w:r w:rsidRPr="00500100">
        <w:rPr>
          <w:rFonts w:eastAsiaTheme="minorHAnsi"/>
          <w:lang w:eastAsia="en-US"/>
        </w:rPr>
        <w:t xml:space="preserve">, ενώ είναι και αρκετά διαφορετικό σε σχέση με τις περισσότερες δυτικές χώρες. </w:t>
      </w:r>
      <w:r w:rsidR="009F54A4" w:rsidRPr="009F54A4">
        <w:t>Ξεκινώντας μια σ</w:t>
      </w:r>
      <w:r w:rsidR="00500100" w:rsidRPr="009F54A4">
        <w:t xml:space="preserve">ύντομη ιστορική ανασκόπηση του Αμερικανικού τραπεζικού συστήματος </w:t>
      </w:r>
      <w:r w:rsidR="009F54A4" w:rsidRPr="009F54A4">
        <w:t>σ</w:t>
      </w:r>
      <w:r w:rsidR="00500100" w:rsidRPr="009F54A4">
        <w:t xml:space="preserve">τις περισσότερες πολιτείες της πρώιμης ομοσπονδιακής ένωσης, οι τράπεζες χρειάζονταν ειδική άδεια απ’ την κυβέρνηση της εκάστοτε πολιτείας έτσι ώστε να μπορούν να ανοίξουν και να λειτουργήσουν. Η πρώτη κεντρική τράπεζα ιδρύθηκε το 1791 με πρωτοβουλία του πρώτου Υπουργού Οικονομικών των Η.Π.Α. </w:t>
      </w:r>
      <w:proofErr w:type="spellStart"/>
      <w:r w:rsidR="00500100" w:rsidRPr="009F54A4">
        <w:t>Alexander</w:t>
      </w:r>
      <w:proofErr w:type="spellEnd"/>
      <w:r w:rsidR="00500100" w:rsidRPr="009F54A4">
        <w:t xml:space="preserve"> </w:t>
      </w:r>
      <w:proofErr w:type="spellStart"/>
      <w:r w:rsidR="00500100" w:rsidRPr="009F54A4">
        <w:t>Hamilton</w:t>
      </w:r>
      <w:proofErr w:type="spellEnd"/>
      <w:r w:rsidR="00500100" w:rsidRPr="009F54A4">
        <w:t>.</w:t>
      </w:r>
      <w:r w:rsidR="0023719B" w:rsidRPr="009F54A4">
        <w:t xml:space="preserve"> </w:t>
      </w:r>
      <w:r w:rsidR="00500100" w:rsidRPr="009F54A4">
        <w:t xml:space="preserve">Ακόμη μια δεύτερη τράπεζα ιδρύθηκε το 1816 </w:t>
      </w:r>
      <w:r w:rsidR="0023719B" w:rsidRPr="009F54A4">
        <w:t>αλλά</w:t>
      </w:r>
      <w:r w:rsidR="00500100" w:rsidRPr="009F54A4">
        <w:t xml:space="preserve"> σταμάτησε την λειτουργία της το 1832</w:t>
      </w:r>
      <w:r w:rsidR="0023719B" w:rsidRPr="009F54A4">
        <w:t xml:space="preserve"> αναλαμβάνοντας την εποπτεία των τραπεζών οι κυβερνήσεις των πολιτειών</w:t>
      </w:r>
      <w:r w:rsidR="00500100" w:rsidRPr="009F54A4">
        <w:t>. Εκείνη την εποχή οι τραπεζίτες στις πόλεις ήταν αρκετά επιφυλακτικοί όσον αφορά τους δανειστές και το διάστημα δανεισμού. Συνήθως πραγματοποιούσαν μόνο βραχυπρόθεσμους δανεισμούς. Το ίδιο όμως δεν συνέβαινε και σε αγροτικές περιοχές όπου πραγματοποιούνταν και μακροπρόθεσμοι δανεισμοί.</w:t>
      </w:r>
      <w:r w:rsidR="009F54A4" w:rsidRPr="009F54A4">
        <w:t xml:space="preserve"> </w:t>
      </w:r>
    </w:p>
    <w:p w:rsidR="000A076C" w:rsidRDefault="00500100" w:rsidP="009F54A4">
      <w:pPr>
        <w:spacing w:line="360" w:lineRule="auto"/>
        <w:ind w:firstLine="720"/>
        <w:jc w:val="both"/>
        <w:rPr>
          <w:rFonts w:eastAsiaTheme="minorHAnsi"/>
          <w:lang w:eastAsia="en-US"/>
        </w:rPr>
      </w:pPr>
      <w:r w:rsidRPr="009F54A4">
        <w:t>Τα τραπεζογραμμάτια ήταν μετατρέψιμα σε μετρητά, χρυσό ή ασήμι ανάλογα με την προτίμηση του πελάτη.</w:t>
      </w:r>
      <w:r w:rsidRPr="00500100">
        <w:rPr>
          <w:rFonts w:eastAsiaTheme="minorHAnsi"/>
          <w:lang w:eastAsia="en-US"/>
        </w:rPr>
        <w:t xml:space="preserve"> Το πρόβλημα όμως των τραπεζών ήταν ότι πολλές εξ αυτών δεν είχαν αρκετά μετρητά για να εξαγοράσουν το συνάλλαγμα τους και οι </w:t>
      </w:r>
      <w:r w:rsidRPr="00500100">
        <w:rPr>
          <w:rFonts w:eastAsiaTheme="minorHAnsi"/>
          <w:lang w:eastAsia="en-US"/>
        </w:rPr>
        <w:lastRenderedPageBreak/>
        <w:t xml:space="preserve">κάτοχοι των τραπεζογραμματίων στην ουσία κατείχαν άχρηστα γραμμάτια. Σαν αποτέλεσμα, εκατοντάδες τραπεζών είχαν πτωχεύσει και υπήρχε έντονη απαίτηση για την δημιουργία ενός ενιαίου εθνικού νομίσματος. Το 1864 ο Πρόεδρος </w:t>
      </w:r>
      <w:r w:rsidRPr="00500100">
        <w:rPr>
          <w:rFonts w:eastAsiaTheme="minorHAnsi"/>
          <w:lang w:val="fr-FR" w:eastAsia="en-US"/>
        </w:rPr>
        <w:t>Lincoln</w:t>
      </w:r>
      <w:r w:rsidRPr="00500100">
        <w:rPr>
          <w:rFonts w:eastAsiaTheme="minorHAnsi"/>
          <w:lang w:eastAsia="en-US"/>
        </w:rPr>
        <w:t xml:space="preserve"> αναθεωρώντας το νόμο του εθνικού νομίσματος του 1863 εγκαθίδρυσε ένα νέο τραπεζικό σύστημα με την χρησιμοποίηση ενός Χρηματοοικονομικού Υπεύθυνου του Νομίσματος που οργάνωνε και επιτηρούσε το σύστημα μέσω εξετάσεων και κανονισμών.</w:t>
      </w:r>
      <w:r w:rsidRPr="00500100">
        <w:rPr>
          <w:rFonts w:eastAsiaTheme="minorHAnsi"/>
          <w:b/>
          <w:lang w:eastAsia="en-US"/>
        </w:rPr>
        <w:t xml:space="preserve"> </w:t>
      </w:r>
      <w:r w:rsidRPr="00500100">
        <w:rPr>
          <w:rFonts w:eastAsiaTheme="minorHAnsi"/>
          <w:lang w:eastAsia="en-US"/>
        </w:rPr>
        <w:t>Οι εθνικές τράπεζες αγόραζαν χρεόγραφα της αμερικανικής κυβέρνησης και τα κατέθεταν στον Χρηματοοικονομικό Υπεύθυνο για να λάβουν τραπεζογραμμάτια. Έτσι τα γραμμάτια κυκλοφορούσαν στην οικονομία. Στην σπάνια περίπτωση που μία τράπεζα πτώχευε, η κυβέρνηση πουλούσε χρεόγραφα που είχε σαν απόθεμα και αποζημίωνε τους κατόχους των γραμματίων</w:t>
      </w:r>
      <w:r w:rsidR="00044E48">
        <w:rPr>
          <w:rFonts w:eastAsiaTheme="minorHAnsi"/>
          <w:lang w:eastAsia="en-US"/>
        </w:rPr>
        <w:t>.</w:t>
      </w:r>
    </w:p>
    <w:p w:rsidR="009F54A4" w:rsidRDefault="000A076C" w:rsidP="009F54A4">
      <w:pPr>
        <w:spacing w:after="200" w:line="360" w:lineRule="auto"/>
        <w:ind w:firstLine="720"/>
        <w:jc w:val="both"/>
        <w:rPr>
          <w:rFonts w:eastAsiaTheme="minorHAnsi"/>
          <w:lang w:eastAsia="en-US"/>
        </w:rPr>
      </w:pPr>
      <w:r w:rsidRPr="00601751">
        <w:t>Η Ομοσπονδιακή Τράπεζα των ΗΠΑ (</w:t>
      </w:r>
      <w:proofErr w:type="spellStart"/>
      <w:r w:rsidRPr="00601751">
        <w:t>Federal</w:t>
      </w:r>
      <w:proofErr w:type="spellEnd"/>
      <w:r w:rsidRPr="00601751">
        <w:t xml:space="preserve"> </w:t>
      </w:r>
      <w:proofErr w:type="spellStart"/>
      <w:r w:rsidRPr="00601751">
        <w:t>Reserve</w:t>
      </w:r>
      <w:proofErr w:type="spellEnd"/>
      <w:r w:rsidRPr="00601751">
        <w:t xml:space="preserve"> </w:t>
      </w:r>
      <w:proofErr w:type="spellStart"/>
      <w:r w:rsidRPr="00601751">
        <w:t>System</w:t>
      </w:r>
      <w:proofErr w:type="spellEnd"/>
      <w:r w:rsidRPr="00601751">
        <w:t xml:space="preserve"> ή </w:t>
      </w:r>
      <w:proofErr w:type="spellStart"/>
      <w:r w:rsidRPr="00601751">
        <w:t>Federal</w:t>
      </w:r>
      <w:proofErr w:type="spellEnd"/>
      <w:r w:rsidRPr="00601751">
        <w:t xml:space="preserve"> </w:t>
      </w:r>
      <w:proofErr w:type="spellStart"/>
      <w:r w:rsidRPr="00601751">
        <w:t>Reserve</w:t>
      </w:r>
      <w:proofErr w:type="spellEnd"/>
      <w:r w:rsidRPr="00601751">
        <w:t xml:space="preserve"> ή γνωστή ανεπίσημα και ως </w:t>
      </w:r>
      <w:proofErr w:type="spellStart"/>
      <w:r w:rsidRPr="00601751">
        <w:t>Fed</w:t>
      </w:r>
      <w:proofErr w:type="spellEnd"/>
      <w:r w:rsidRPr="00601751">
        <w:t xml:space="preserve"> </w:t>
      </w:r>
      <w:r>
        <w:t>)</w:t>
      </w:r>
      <w:r w:rsidRPr="00601751">
        <w:t>,</w:t>
      </w:r>
      <w:r>
        <w:t xml:space="preserve"> </w:t>
      </w:r>
      <w:r w:rsidRPr="00601751">
        <w:t>είναι το κεντρικό τραπεζικό σύστημα των Ηνωμένων Πολιτειών.</w:t>
      </w:r>
      <w:r>
        <w:t xml:space="preserve"> </w:t>
      </w:r>
      <w:r w:rsidRPr="00601751">
        <w:t>Ιδρύθηκε στις 23 Δεκεμβρίου 1913 με την ψήφισ</w:t>
      </w:r>
      <w:r>
        <w:t xml:space="preserve">η του νόμου </w:t>
      </w:r>
      <w:proofErr w:type="spellStart"/>
      <w:r>
        <w:t>Federal</w:t>
      </w:r>
      <w:proofErr w:type="spellEnd"/>
      <w:r>
        <w:t xml:space="preserve"> </w:t>
      </w:r>
      <w:proofErr w:type="spellStart"/>
      <w:r>
        <w:t>Reserve</w:t>
      </w:r>
      <w:proofErr w:type="spellEnd"/>
      <w:r>
        <w:t xml:space="preserve"> </w:t>
      </w:r>
      <w:proofErr w:type="spellStart"/>
      <w:r>
        <w:t>Act</w:t>
      </w:r>
      <w:proofErr w:type="spellEnd"/>
      <w:r>
        <w:t xml:space="preserve">. Με αυτόν τον νόμο το κογκρέσο καθιέρωσε ένα κεντρικό τραπεζικό σύστημα, που βοήθα να διαχειριστεί καλύτερα το έθνος τα χρήματα του και να αναπτυχθεί παγκοσμίως. </w:t>
      </w:r>
      <w:r w:rsidRPr="00601751">
        <w:t>Πρόεδρος ήταν</w:t>
      </w:r>
      <w:r>
        <w:t xml:space="preserve"> τότε ο </w:t>
      </w:r>
      <w:proofErr w:type="spellStart"/>
      <w:r>
        <w:t>Woodrow</w:t>
      </w:r>
      <w:proofErr w:type="spellEnd"/>
      <w:r>
        <w:t xml:space="preserve"> </w:t>
      </w:r>
      <w:proofErr w:type="spellStart"/>
      <w:r>
        <w:t>Wilson</w:t>
      </w:r>
      <w:proofErr w:type="spellEnd"/>
      <w:r w:rsidRPr="00601751">
        <w:t>.</w:t>
      </w:r>
      <w:r>
        <w:t xml:space="preserve"> Το κεντρικό κτίριο της </w:t>
      </w:r>
      <w:r w:rsidRPr="00601751">
        <w:t>Ομοσπονδιακής Τράπεζας,</w:t>
      </w:r>
      <w:r>
        <w:t xml:space="preserve"> είναι</w:t>
      </w:r>
      <w:r w:rsidRPr="00601751">
        <w:t xml:space="preserve"> </w:t>
      </w:r>
      <w:r>
        <w:t>στην</w:t>
      </w:r>
      <w:r w:rsidRPr="00601751">
        <w:t xml:space="preserve"> </w:t>
      </w:r>
      <w:proofErr w:type="spellStart"/>
      <w:r w:rsidRPr="00601751">
        <w:t>Washington</w:t>
      </w:r>
      <w:proofErr w:type="spellEnd"/>
      <w:r w:rsidRPr="00601751">
        <w:t>, D.C</w:t>
      </w:r>
      <w:r>
        <w:t>. Τ</w:t>
      </w:r>
      <w:r w:rsidRPr="00500100">
        <w:rPr>
          <w:rFonts w:eastAsiaTheme="minorHAnsi"/>
          <w:lang w:eastAsia="en-US"/>
        </w:rPr>
        <w:t>α καθήκοντα της</w:t>
      </w:r>
      <w:r>
        <w:rPr>
          <w:rFonts w:eastAsiaTheme="minorHAnsi"/>
          <w:lang w:eastAsia="en-US"/>
        </w:rPr>
        <w:t xml:space="preserve"> </w:t>
      </w:r>
      <w:r w:rsidRPr="00500100">
        <w:rPr>
          <w:rFonts w:eastAsiaTheme="minorHAnsi"/>
          <w:lang w:eastAsia="en-US"/>
        </w:rPr>
        <w:t>εκτείνονται σε τέσσερις τομείς:</w:t>
      </w:r>
    </w:p>
    <w:p w:rsidR="000A076C" w:rsidRPr="00500100" w:rsidRDefault="000A076C" w:rsidP="002E12D2">
      <w:pPr>
        <w:numPr>
          <w:ilvl w:val="0"/>
          <w:numId w:val="10"/>
        </w:numPr>
        <w:spacing w:after="200" w:line="360" w:lineRule="auto"/>
        <w:contextualSpacing/>
        <w:jc w:val="both"/>
        <w:rPr>
          <w:rFonts w:eastAsiaTheme="minorHAnsi"/>
          <w:lang w:eastAsia="en-US"/>
        </w:rPr>
      </w:pPr>
      <w:r w:rsidRPr="00500100">
        <w:rPr>
          <w:rFonts w:eastAsiaTheme="minorHAnsi"/>
          <w:lang w:eastAsia="en-US"/>
        </w:rPr>
        <w:t>Να συγκροτεί τη νομισματική πολιτική του κράτους επιδιώκοντας μέγ</w:t>
      </w:r>
      <w:r>
        <w:rPr>
          <w:rFonts w:eastAsiaTheme="minorHAnsi"/>
          <w:lang w:eastAsia="en-US"/>
        </w:rPr>
        <w:t>ιστη απασχόληση, σταθερές τιμές</w:t>
      </w:r>
      <w:r w:rsidRPr="00500100">
        <w:rPr>
          <w:rFonts w:eastAsiaTheme="minorHAnsi"/>
          <w:lang w:eastAsia="en-US"/>
        </w:rPr>
        <w:t>.</w:t>
      </w:r>
    </w:p>
    <w:p w:rsidR="000A076C" w:rsidRPr="00500100" w:rsidRDefault="000A076C" w:rsidP="002E12D2">
      <w:pPr>
        <w:numPr>
          <w:ilvl w:val="0"/>
          <w:numId w:val="10"/>
        </w:numPr>
        <w:spacing w:after="200" w:line="360" w:lineRule="auto"/>
        <w:contextualSpacing/>
        <w:jc w:val="both"/>
        <w:rPr>
          <w:rFonts w:eastAsiaTheme="minorHAnsi"/>
          <w:lang w:eastAsia="en-US"/>
        </w:rPr>
      </w:pPr>
      <w:r w:rsidRPr="00500100">
        <w:rPr>
          <w:rFonts w:eastAsiaTheme="minorHAnsi"/>
          <w:lang w:eastAsia="en-US"/>
        </w:rPr>
        <w:t>Να επιτηρεί και να ρυθμίζει τα τραπεζικά ιδρύματα και να διασφαλίζει την ασφάλεια και την ορθότητα του εθνικού τραπεζικού και οικονομικού συστήματος.</w:t>
      </w:r>
    </w:p>
    <w:p w:rsidR="000A076C" w:rsidRPr="00500100" w:rsidRDefault="000A076C" w:rsidP="002E12D2">
      <w:pPr>
        <w:numPr>
          <w:ilvl w:val="0"/>
          <w:numId w:val="10"/>
        </w:numPr>
        <w:spacing w:after="200" w:line="360" w:lineRule="auto"/>
        <w:contextualSpacing/>
        <w:jc w:val="both"/>
        <w:rPr>
          <w:rFonts w:eastAsiaTheme="minorHAnsi"/>
          <w:lang w:eastAsia="en-US"/>
        </w:rPr>
      </w:pPr>
      <w:r w:rsidRPr="00500100">
        <w:rPr>
          <w:rFonts w:eastAsiaTheme="minorHAnsi"/>
          <w:lang w:eastAsia="en-US"/>
        </w:rPr>
        <w:t xml:space="preserve">Να διατηρεί την σταθερότητα του οικονομικού συστήματος </w:t>
      </w:r>
      <w:r>
        <w:rPr>
          <w:rFonts w:eastAsiaTheme="minorHAnsi"/>
          <w:lang w:eastAsia="en-US"/>
        </w:rPr>
        <w:t>αντιμετωπίζοντας αποτελεσματικά</w:t>
      </w:r>
      <w:r w:rsidRPr="00500100">
        <w:rPr>
          <w:rFonts w:eastAsiaTheme="minorHAnsi"/>
          <w:lang w:eastAsia="en-US"/>
        </w:rPr>
        <w:t xml:space="preserve"> κινδύνου</w:t>
      </w:r>
      <w:r>
        <w:rPr>
          <w:rFonts w:eastAsiaTheme="minorHAnsi"/>
          <w:lang w:eastAsia="en-US"/>
        </w:rPr>
        <w:t>ς που μπορεί να προκύψουν</w:t>
      </w:r>
      <w:r w:rsidRPr="00500100">
        <w:rPr>
          <w:rFonts w:eastAsiaTheme="minorHAnsi"/>
          <w:lang w:eastAsia="en-US"/>
        </w:rPr>
        <w:t xml:space="preserve"> </w:t>
      </w:r>
      <w:r>
        <w:rPr>
          <w:rFonts w:eastAsiaTheme="minorHAnsi"/>
          <w:lang w:eastAsia="en-US"/>
        </w:rPr>
        <w:t xml:space="preserve">από </w:t>
      </w:r>
      <w:r w:rsidRPr="00500100">
        <w:rPr>
          <w:rFonts w:eastAsiaTheme="minorHAnsi"/>
          <w:lang w:eastAsia="en-US"/>
        </w:rPr>
        <w:t>τις αγορές.</w:t>
      </w:r>
    </w:p>
    <w:p w:rsidR="000A076C" w:rsidRPr="00500100" w:rsidRDefault="000A076C" w:rsidP="002E12D2">
      <w:pPr>
        <w:numPr>
          <w:ilvl w:val="0"/>
          <w:numId w:val="10"/>
        </w:numPr>
        <w:spacing w:after="200" w:line="360" w:lineRule="auto"/>
        <w:contextualSpacing/>
        <w:jc w:val="both"/>
        <w:rPr>
          <w:rFonts w:eastAsiaTheme="minorHAnsi"/>
          <w:lang w:eastAsia="en-US"/>
        </w:rPr>
      </w:pPr>
      <w:r w:rsidRPr="00500100">
        <w:rPr>
          <w:rFonts w:eastAsiaTheme="minorHAnsi"/>
          <w:lang w:eastAsia="en-US"/>
        </w:rPr>
        <w:t>Να παρέχει οικονομικές υπηρεσίες σε ιδρύματα καταθέσεων, στην αμερικανική κυβέρνηση, σε επίσημα ξένα ιδρύματα καθώς και να διαδραματίζει κυρίαρχο ρόλο στην λειτουργία του εθνικού συστήματος πληρωμών.</w:t>
      </w:r>
    </w:p>
    <w:p w:rsidR="00A17D95" w:rsidRDefault="00A17D95" w:rsidP="008A7D2C">
      <w:pPr>
        <w:spacing w:after="200" w:line="360" w:lineRule="auto"/>
        <w:ind w:firstLine="720"/>
        <w:jc w:val="both"/>
        <w:rPr>
          <w:rFonts w:eastAsiaTheme="minorHAnsi"/>
          <w:lang w:eastAsia="en-US"/>
        </w:rPr>
      </w:pPr>
      <w:r w:rsidRPr="00500100">
        <w:rPr>
          <w:rFonts w:eastAsiaTheme="minorHAnsi"/>
          <w:lang w:eastAsia="en-US"/>
        </w:rPr>
        <w:lastRenderedPageBreak/>
        <w:t xml:space="preserve">Υπάρχουν 12 Ομοσπονδιακές Κεντρικές Τράπεζες και τα υποκαταστήματά τους, απ’ τις οποίες, η καθεμία είναι υπεύθυνη για μία συγκεκριμένη γεωγραφική περιοχή </w:t>
      </w:r>
      <w:r w:rsidR="008A7D2C">
        <w:rPr>
          <w:rFonts w:eastAsiaTheme="minorHAnsi"/>
          <w:lang w:eastAsia="en-US"/>
        </w:rPr>
        <w:t xml:space="preserve">(γράφημα 4.11) </w:t>
      </w:r>
      <w:r w:rsidRPr="00500100">
        <w:rPr>
          <w:rFonts w:eastAsiaTheme="minorHAnsi"/>
          <w:lang w:eastAsia="en-US"/>
        </w:rPr>
        <w:t>και όλες μαζί διενεργούν μια σειρά θεμάτων όπως η διανομή του νομίσματος και ο ρόλο</w:t>
      </w:r>
      <w:r>
        <w:rPr>
          <w:rFonts w:eastAsiaTheme="minorHAnsi"/>
          <w:lang w:eastAsia="en-US"/>
        </w:rPr>
        <w:t>ς του τραπεζίτη του υπουργείου ο</w:t>
      </w:r>
      <w:r w:rsidRPr="00500100">
        <w:rPr>
          <w:rFonts w:eastAsiaTheme="minorHAnsi"/>
          <w:lang w:eastAsia="en-US"/>
        </w:rPr>
        <w:t>ικονομικών.</w:t>
      </w:r>
    </w:p>
    <w:p w:rsidR="008A7D2C" w:rsidRPr="009F20A0" w:rsidRDefault="008A7D2C" w:rsidP="008A7D2C">
      <w:pPr>
        <w:ind w:left="130"/>
        <w:jc w:val="center"/>
        <w:rPr>
          <w:rFonts w:eastAsiaTheme="minorHAnsi"/>
          <w:lang w:eastAsia="en-US"/>
        </w:rPr>
      </w:pPr>
      <w:r w:rsidRPr="00DC7EB8">
        <w:rPr>
          <w:rFonts w:eastAsiaTheme="minorHAnsi"/>
          <w:b/>
          <w:lang w:eastAsia="en-US"/>
        </w:rPr>
        <w:t xml:space="preserve">Γράφημα </w:t>
      </w:r>
      <w:r>
        <w:rPr>
          <w:rFonts w:eastAsiaTheme="minorHAnsi"/>
          <w:b/>
          <w:lang w:eastAsia="en-US"/>
        </w:rPr>
        <w:t xml:space="preserve">4.11 </w:t>
      </w:r>
      <w:r>
        <w:rPr>
          <w:rFonts w:eastAsiaTheme="minorHAnsi"/>
          <w:lang w:eastAsia="en-US"/>
        </w:rPr>
        <w:t>Οι 12 ομοσπονδιακές τράπεζες</w:t>
      </w:r>
    </w:p>
    <w:p w:rsidR="008A7D2C" w:rsidRPr="000A076C" w:rsidRDefault="008A7D2C" w:rsidP="008A7D2C">
      <w:pPr>
        <w:tabs>
          <w:tab w:val="left" w:pos="3010"/>
        </w:tabs>
        <w:spacing w:line="360" w:lineRule="auto"/>
        <w:jc w:val="center"/>
      </w:pPr>
      <w:r>
        <w:rPr>
          <w:noProof/>
        </w:rPr>
        <w:drawing>
          <wp:inline distT="0" distB="0" distL="0" distR="0" wp14:anchorId="0767FE30" wp14:editId="3B8F3D7F">
            <wp:extent cx="4312692" cy="1910686"/>
            <wp:effectExtent l="19050" t="19050" r="12065" b="13970"/>
            <wp:docPr id="78886" name="Picture 4" descr="C:\Users\Αντώνης\Documents\Πανεπιστήμιο\3o έτος\α' εξάμηνο\Νομισματική Θεωρία &amp; Πολιτική\Εργασία\article-144-1.jpg"/>
            <wp:cNvGraphicFramePr/>
            <a:graphic xmlns:a="http://schemas.openxmlformats.org/drawingml/2006/main">
              <a:graphicData uri="http://schemas.openxmlformats.org/drawingml/2006/picture">
                <pic:pic xmlns:pic="http://schemas.openxmlformats.org/drawingml/2006/picture">
                  <pic:nvPicPr>
                    <pic:cNvPr id="4" name="Picture 4" descr="C:\Users\Αντώνης\Documents\Πανεπιστήμιο\3o έτος\α' εξάμηνο\Νομισματική Θεωρία &amp; Πολιτική\Εργασία\article-144-1.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9783" cy="1909397"/>
                    </a:xfrm>
                    <a:prstGeom prst="rect">
                      <a:avLst/>
                    </a:prstGeom>
                    <a:noFill/>
                    <a:ln>
                      <a:solidFill>
                        <a:schemeClr val="tx1"/>
                      </a:solidFill>
                    </a:ln>
                  </pic:spPr>
                </pic:pic>
              </a:graphicData>
            </a:graphic>
          </wp:inline>
        </w:drawing>
      </w:r>
    </w:p>
    <w:p w:rsidR="000A076C" w:rsidRPr="00E8757A" w:rsidRDefault="00A17D95" w:rsidP="00777193">
      <w:pPr>
        <w:spacing w:before="120" w:after="200" w:line="360" w:lineRule="auto"/>
        <w:ind w:firstLine="720"/>
        <w:jc w:val="both"/>
        <w:rPr>
          <w:rFonts w:eastAsiaTheme="minorHAnsi"/>
          <w:lang w:eastAsia="en-US"/>
        </w:rPr>
      </w:pPr>
      <w:r>
        <w:t xml:space="preserve">Η </w:t>
      </w:r>
      <w:r w:rsidR="0087420C">
        <w:t>αρχιτεκτονική του τραπεζικού συστήματος των ΗΠΑ</w:t>
      </w:r>
      <w:r>
        <w:t xml:space="preserve"> παρουσιάζεται στο ακόλουθο γράφημα</w:t>
      </w:r>
      <w:r w:rsidR="0087420C">
        <w:t>.</w:t>
      </w:r>
      <w:r w:rsidRPr="00A17D95">
        <w:rPr>
          <w:rFonts w:eastAsiaTheme="minorHAnsi"/>
          <w:lang w:eastAsia="en-US"/>
        </w:rPr>
        <w:t xml:space="preserve"> </w:t>
      </w:r>
      <w:r>
        <w:rPr>
          <w:rFonts w:eastAsiaTheme="minorHAnsi"/>
          <w:lang w:eastAsia="en-US"/>
        </w:rPr>
        <w:t xml:space="preserve">Το λεγόμενο </w:t>
      </w:r>
      <w:r w:rsidR="00BB212E">
        <w:rPr>
          <w:rFonts w:eastAsiaTheme="minorHAnsi"/>
          <w:lang w:eastAsia="en-US"/>
        </w:rPr>
        <w:t>«</w:t>
      </w:r>
      <w:r>
        <w:rPr>
          <w:rFonts w:eastAsiaTheme="minorHAnsi"/>
          <w:lang w:val="en-US" w:eastAsia="en-US"/>
        </w:rPr>
        <w:t>Board</w:t>
      </w:r>
      <w:r w:rsidRPr="000D2250">
        <w:rPr>
          <w:rFonts w:eastAsiaTheme="minorHAnsi"/>
          <w:lang w:eastAsia="en-US"/>
        </w:rPr>
        <w:t xml:space="preserve"> </w:t>
      </w:r>
      <w:r>
        <w:rPr>
          <w:rFonts w:eastAsiaTheme="minorHAnsi"/>
          <w:lang w:val="en-US" w:eastAsia="en-US"/>
        </w:rPr>
        <w:t>of</w:t>
      </w:r>
      <w:r w:rsidRPr="000D2250">
        <w:rPr>
          <w:rFonts w:eastAsiaTheme="minorHAnsi"/>
          <w:lang w:eastAsia="en-US"/>
        </w:rPr>
        <w:t xml:space="preserve"> </w:t>
      </w:r>
      <w:r>
        <w:rPr>
          <w:rFonts w:eastAsiaTheme="minorHAnsi"/>
          <w:lang w:val="en-US" w:eastAsia="en-US"/>
        </w:rPr>
        <w:t>Governors</w:t>
      </w:r>
      <w:r w:rsidR="00BB212E">
        <w:rPr>
          <w:rFonts w:eastAsiaTheme="minorHAnsi"/>
          <w:lang w:eastAsia="en-US"/>
        </w:rPr>
        <w:t>»</w:t>
      </w:r>
      <w:r w:rsidRPr="000D2250">
        <w:rPr>
          <w:rFonts w:eastAsiaTheme="minorHAnsi"/>
          <w:lang w:eastAsia="en-US"/>
        </w:rPr>
        <w:t xml:space="preserve"> </w:t>
      </w:r>
      <w:r>
        <w:rPr>
          <w:rFonts w:eastAsiaTheme="minorHAnsi"/>
          <w:lang w:eastAsia="en-US"/>
        </w:rPr>
        <w:t xml:space="preserve">είναι επταμελές σώμα που ορίζεται από τον πρόεδρο των Ηνωμένων πολιτειών και εγκρίνεται από την γερουσία. Καθορίζει το </w:t>
      </w:r>
      <w:r w:rsidR="008A7D2C">
        <w:rPr>
          <w:rFonts w:eastAsiaTheme="minorHAnsi"/>
          <w:lang w:eastAsia="en-US"/>
        </w:rPr>
        <w:t>ποσοστό</w:t>
      </w:r>
      <w:r>
        <w:rPr>
          <w:rFonts w:eastAsiaTheme="minorHAnsi"/>
          <w:lang w:eastAsia="en-US"/>
        </w:rPr>
        <w:t xml:space="preserve"> των υποχρεωτικών ρευστών διαθεσίμων και εγκρίνει το επιτόκιο νομισματικής πολιτικής που θέτουν οι 12 μελής ομοσπονδιακές τράπεζες.</w:t>
      </w:r>
    </w:p>
    <w:p w:rsidR="000A076C" w:rsidRPr="000A076C" w:rsidRDefault="000A076C" w:rsidP="00E8757A">
      <w:pPr>
        <w:tabs>
          <w:tab w:val="left" w:pos="3010"/>
        </w:tabs>
        <w:jc w:val="center"/>
      </w:pPr>
      <w:r w:rsidRPr="00DC7EB8">
        <w:rPr>
          <w:b/>
        </w:rPr>
        <w:t xml:space="preserve">Γράφημα </w:t>
      </w:r>
      <w:r w:rsidR="00DC7EB8">
        <w:rPr>
          <w:b/>
        </w:rPr>
        <w:t>4.12</w:t>
      </w:r>
      <w:r>
        <w:t xml:space="preserve"> Η αρχιτεκτονική του τραπεζικού συστήματος των ΗΠΑ</w:t>
      </w:r>
    </w:p>
    <w:p w:rsidR="000A076C" w:rsidRDefault="000A076C" w:rsidP="00777193">
      <w:pPr>
        <w:ind w:left="720"/>
        <w:jc w:val="center"/>
        <w:rPr>
          <w:rFonts w:asciiTheme="minorHAnsi" w:eastAsia="Calibri" w:hAnsiTheme="minorHAnsi" w:cs="AdvT207"/>
          <w:sz w:val="20"/>
          <w:szCs w:val="20"/>
          <w:lang w:eastAsia="en-US"/>
        </w:rPr>
      </w:pPr>
      <w:r>
        <w:rPr>
          <w:rFonts w:ascii="AdvT207" w:eastAsia="Calibri" w:hAnsi="AdvT207" w:cs="AdvT207"/>
          <w:noProof/>
          <w:sz w:val="20"/>
          <w:szCs w:val="20"/>
        </w:rPr>
        <w:drawing>
          <wp:inline distT="0" distB="0" distL="0" distR="0" wp14:anchorId="50DE12A2" wp14:editId="727DBE52">
            <wp:extent cx="3743325" cy="3038475"/>
            <wp:effectExtent l="19050" t="19050" r="28575" b="28575"/>
            <wp:docPr id="78880" name="Εικόνα 7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structure.png"/>
                    <pic:cNvPicPr/>
                  </pic:nvPicPr>
                  <pic:blipFill>
                    <a:blip r:embed="rId41">
                      <a:extLst>
                        <a:ext uri="{28A0092B-C50C-407E-A947-70E740481C1C}">
                          <a14:useLocalDpi xmlns:a14="http://schemas.microsoft.com/office/drawing/2010/main" val="0"/>
                        </a:ext>
                      </a:extLst>
                    </a:blip>
                    <a:stretch>
                      <a:fillRect/>
                    </a:stretch>
                  </pic:blipFill>
                  <pic:spPr>
                    <a:xfrm>
                      <a:off x="0" y="0"/>
                      <a:ext cx="3743325" cy="3038475"/>
                    </a:xfrm>
                    <a:prstGeom prst="rect">
                      <a:avLst/>
                    </a:prstGeom>
                    <a:ln>
                      <a:solidFill>
                        <a:sysClr val="windowText" lastClr="000000"/>
                      </a:solidFill>
                    </a:ln>
                  </pic:spPr>
                </pic:pic>
              </a:graphicData>
            </a:graphic>
          </wp:inline>
        </w:drawing>
      </w:r>
    </w:p>
    <w:p w:rsidR="008A7D2C" w:rsidRPr="008A7D2C" w:rsidRDefault="008A7D2C" w:rsidP="00777193">
      <w:pPr>
        <w:ind w:left="720" w:firstLine="720"/>
        <w:rPr>
          <w:rFonts w:eastAsia="Calibri"/>
          <w:sz w:val="20"/>
          <w:szCs w:val="20"/>
          <w:lang w:val="en-US" w:eastAsia="en-US"/>
        </w:rPr>
      </w:pPr>
      <w:r w:rsidRPr="008A7D2C">
        <w:rPr>
          <w:rFonts w:eastAsia="Calibri"/>
          <w:sz w:val="20"/>
          <w:szCs w:val="20"/>
          <w:lang w:val="en-US" w:eastAsia="en-US"/>
        </w:rPr>
        <w:t xml:space="preserve">  </w:t>
      </w:r>
      <w:r w:rsidRPr="008A7D2C">
        <w:rPr>
          <w:rFonts w:eastAsia="Calibri"/>
          <w:b/>
          <w:sz w:val="20"/>
          <w:szCs w:val="20"/>
          <w:lang w:eastAsia="en-US"/>
        </w:rPr>
        <w:t>Πηγή</w:t>
      </w:r>
      <w:r w:rsidRPr="008A7D2C">
        <w:rPr>
          <w:rFonts w:eastAsia="Calibri"/>
          <w:b/>
          <w:sz w:val="20"/>
          <w:szCs w:val="20"/>
          <w:lang w:val="en-US" w:eastAsia="en-US"/>
        </w:rPr>
        <w:t>:</w:t>
      </w:r>
      <w:r w:rsidRPr="008A7D2C">
        <w:rPr>
          <w:rFonts w:eastAsia="Calibri"/>
          <w:sz w:val="20"/>
          <w:szCs w:val="20"/>
          <w:lang w:val="en-US" w:eastAsia="en-US"/>
        </w:rPr>
        <w:t xml:space="preserve"> Federal Reserve of St. Louis</w:t>
      </w:r>
    </w:p>
    <w:p w:rsidR="00BB212E" w:rsidRDefault="000D2250" w:rsidP="00BB212E">
      <w:pPr>
        <w:spacing w:line="360" w:lineRule="auto"/>
        <w:ind w:firstLine="720"/>
        <w:jc w:val="both"/>
      </w:pPr>
      <w:r>
        <w:rPr>
          <w:rFonts w:eastAsiaTheme="minorHAnsi"/>
          <w:lang w:eastAsia="en-US"/>
        </w:rPr>
        <w:lastRenderedPageBreak/>
        <w:t>Επίσης τα μέλη του μαζί με τους διοικητές της ομοσπονδιακής τράπεζας της Νέας Υόρκης και τεσσάρων ακόμα ομοσπονδιακών τραπεζών κάνουν την επιτροπή ανοικτής αγοράς (</w:t>
      </w:r>
      <w:r>
        <w:rPr>
          <w:rFonts w:eastAsiaTheme="minorHAnsi"/>
          <w:lang w:val="en-US" w:eastAsia="en-US"/>
        </w:rPr>
        <w:t>Federal</w:t>
      </w:r>
      <w:r w:rsidRPr="000D2250">
        <w:rPr>
          <w:rFonts w:eastAsiaTheme="minorHAnsi"/>
          <w:lang w:eastAsia="en-US"/>
        </w:rPr>
        <w:t xml:space="preserve"> </w:t>
      </w:r>
      <w:r>
        <w:rPr>
          <w:rFonts w:eastAsiaTheme="minorHAnsi"/>
          <w:lang w:val="en-US" w:eastAsia="en-US"/>
        </w:rPr>
        <w:t>open</w:t>
      </w:r>
      <w:r w:rsidRPr="000D2250">
        <w:rPr>
          <w:rFonts w:eastAsiaTheme="minorHAnsi"/>
          <w:lang w:eastAsia="en-US"/>
        </w:rPr>
        <w:t xml:space="preserve"> </w:t>
      </w:r>
      <w:r>
        <w:rPr>
          <w:rFonts w:eastAsiaTheme="minorHAnsi"/>
          <w:lang w:val="en-US" w:eastAsia="en-US"/>
        </w:rPr>
        <w:t>market</w:t>
      </w:r>
      <w:r w:rsidRPr="000D2250">
        <w:rPr>
          <w:rFonts w:eastAsiaTheme="minorHAnsi"/>
          <w:lang w:eastAsia="en-US"/>
        </w:rPr>
        <w:t xml:space="preserve"> </w:t>
      </w:r>
      <w:r>
        <w:rPr>
          <w:rFonts w:eastAsiaTheme="minorHAnsi"/>
          <w:lang w:val="en-US" w:eastAsia="en-US"/>
        </w:rPr>
        <w:t>committee</w:t>
      </w:r>
      <w:r w:rsidRPr="000D2250">
        <w:rPr>
          <w:rFonts w:eastAsiaTheme="minorHAnsi"/>
          <w:lang w:eastAsia="en-US"/>
        </w:rPr>
        <w:t xml:space="preserve">, </w:t>
      </w:r>
      <w:r>
        <w:rPr>
          <w:rFonts w:eastAsiaTheme="minorHAnsi"/>
          <w:lang w:val="en-US" w:eastAsia="en-US"/>
        </w:rPr>
        <w:t>FOMC</w:t>
      </w:r>
      <w:r w:rsidRPr="000D2250">
        <w:rPr>
          <w:rFonts w:eastAsiaTheme="minorHAnsi"/>
          <w:lang w:eastAsia="en-US"/>
        </w:rPr>
        <w:t>)</w:t>
      </w:r>
      <w:r>
        <w:rPr>
          <w:rFonts w:eastAsiaTheme="minorHAnsi"/>
          <w:lang w:eastAsia="en-US"/>
        </w:rPr>
        <w:t xml:space="preserve"> η οποία αγοράζει και πουλάει ομόλογα επηρεάζοντας την ποσότητα του χρήματος στην οικονομία. Οι διοικητέ</w:t>
      </w:r>
      <w:r w:rsidRPr="00BB212E">
        <w:t xml:space="preserve">ς των </w:t>
      </w:r>
      <w:r w:rsidR="00E8757A">
        <w:t>δώδεκα</w:t>
      </w:r>
      <w:r w:rsidRPr="00BB212E">
        <w:t xml:space="preserve"> ομοσπονδιακών τραπεζών καθορ</w:t>
      </w:r>
      <w:r w:rsidR="00D3213A" w:rsidRPr="00BB212E">
        <w:t xml:space="preserve">ίζονται </w:t>
      </w:r>
      <w:r w:rsidR="00E8757A">
        <w:t>τρεις</w:t>
      </w:r>
      <w:r w:rsidRPr="00BB212E">
        <w:t xml:space="preserve"> α</w:t>
      </w:r>
      <w:r w:rsidR="00E8757A">
        <w:t>πό το “</w:t>
      </w:r>
      <w:proofErr w:type="spellStart"/>
      <w:r w:rsidR="00E8757A">
        <w:t>Board</w:t>
      </w:r>
      <w:proofErr w:type="spellEnd"/>
      <w:r w:rsidR="00E8757A">
        <w:t xml:space="preserve"> of </w:t>
      </w:r>
      <w:proofErr w:type="spellStart"/>
      <w:r w:rsidR="00E8757A">
        <w:t>Governors</w:t>
      </w:r>
      <w:proofErr w:type="spellEnd"/>
      <w:r w:rsidR="00E8757A">
        <w:t>” και εννέα</w:t>
      </w:r>
      <w:r w:rsidRPr="00BB212E">
        <w:t xml:space="preserve"> από περίπου 4800 μέλη εμπορικών τραπεζών.</w:t>
      </w:r>
      <w:r w:rsidR="00D3213A" w:rsidRPr="00BB212E">
        <w:t xml:space="preserve"> </w:t>
      </w:r>
      <w:r w:rsidRPr="00BB212E">
        <w:t xml:space="preserve">Εκτός από τα μέλη του ομοσπονδιακού συστήματος υπάρχουν και </w:t>
      </w:r>
      <w:r w:rsidR="00D3213A" w:rsidRPr="00BB212E">
        <w:t>άλλοι χρηματοπιστωτικοί οργανισμοί.</w:t>
      </w:r>
    </w:p>
    <w:p w:rsidR="00D3213A" w:rsidRPr="00BB212E" w:rsidRDefault="00BB212E" w:rsidP="00E8757A">
      <w:pPr>
        <w:spacing w:line="360" w:lineRule="auto"/>
        <w:ind w:firstLine="720"/>
        <w:jc w:val="both"/>
      </w:pPr>
      <w:r>
        <w:rPr>
          <w:rFonts w:eastAsiaTheme="minorHAnsi"/>
          <w:lang w:eastAsia="en-US"/>
        </w:rPr>
        <w:t>Ο</w:t>
      </w:r>
      <w:r w:rsidR="00D3213A" w:rsidRPr="00500100">
        <w:rPr>
          <w:rFonts w:eastAsiaTheme="minorHAnsi"/>
          <w:lang w:eastAsia="en-US"/>
        </w:rPr>
        <w:t xml:space="preserve">ι εμπορικές </w:t>
      </w:r>
      <w:r w:rsidR="00D3213A">
        <w:rPr>
          <w:rFonts w:eastAsiaTheme="minorHAnsi"/>
          <w:lang w:eastAsia="en-US"/>
        </w:rPr>
        <w:t xml:space="preserve"> </w:t>
      </w:r>
      <w:r w:rsidR="00D3213A" w:rsidRPr="00500100">
        <w:rPr>
          <w:rFonts w:eastAsiaTheme="minorHAnsi"/>
          <w:lang w:eastAsia="en-US"/>
        </w:rPr>
        <w:t xml:space="preserve">τράπεζες μπορούν να χωριστούν σε τρεις κατηγορίες ανάλογα με το </w:t>
      </w:r>
      <w:r w:rsidR="00D3213A">
        <w:rPr>
          <w:rFonts w:eastAsiaTheme="minorHAnsi"/>
          <w:lang w:eastAsia="en-US"/>
        </w:rPr>
        <w:t xml:space="preserve">σε </w:t>
      </w:r>
      <w:r w:rsidR="00D3213A" w:rsidRPr="00500100">
        <w:rPr>
          <w:rFonts w:eastAsiaTheme="minorHAnsi"/>
          <w:lang w:eastAsia="en-US"/>
        </w:rPr>
        <w:t>ποιο κυβερνητικό σώμα ανήκουν και με το αν είναι μέλη του Ομοσπονδιακού Τραπεζικού Συστήματος. Αυτές που ανήκουν στην κυβέρνηση είναι εθνικές τράπεζες και είναι μέλη του Ομοσπονδιακού Τραπεζικού Συστήματος. Εκείνες που ανήκουν στις πολιτείες χωρίζονται σε αυτές που είναι μέλη του Ομοσπονδιακού Τραπεζικού Συστήματος και σε αυτές που δεν είναι</w:t>
      </w:r>
      <w:r w:rsidR="00E8757A" w:rsidRPr="00E8757A">
        <w:rPr>
          <w:rFonts w:eastAsiaTheme="minorHAnsi"/>
          <w:lang w:eastAsia="en-US"/>
        </w:rPr>
        <w:t xml:space="preserve"> (</w:t>
      </w:r>
      <w:r w:rsidR="00E8757A">
        <w:rPr>
          <w:rFonts w:eastAsiaTheme="minorHAnsi"/>
          <w:lang w:eastAsia="en-US"/>
        </w:rPr>
        <w:t>γράφημα 4.12)</w:t>
      </w:r>
      <w:r w:rsidR="00D3213A" w:rsidRPr="00500100">
        <w:rPr>
          <w:rFonts w:eastAsiaTheme="minorHAnsi"/>
          <w:lang w:eastAsia="en-US"/>
        </w:rPr>
        <w:t>. Οι τράπεζες που ανήκουν στις πολιτείες δεν είναι απαραίτητο να ενταχθούν στο Ομοσπονδιακό Τραπεζικό Σύστημα αλλά μπορούν να ε</w:t>
      </w:r>
      <w:r w:rsidR="00D3213A">
        <w:rPr>
          <w:rFonts w:eastAsiaTheme="minorHAnsi"/>
          <w:lang w:eastAsia="en-US"/>
        </w:rPr>
        <w:t>πιλεγούν ε</w:t>
      </w:r>
      <w:r w:rsidR="00D3213A" w:rsidRPr="00500100">
        <w:rPr>
          <w:rFonts w:eastAsiaTheme="minorHAnsi"/>
          <w:lang w:eastAsia="en-US"/>
        </w:rPr>
        <w:t>φόσον πληρούν τις προϋποθέσεις που έχει θέσει το κυβερνητικό συμβούλιο. Είναι υποχρέωση των μελών του Ομοσπονδιακού Τραπεζικού Συστήματος το σύνολο των μετοχών να μην πωληθούν ή να χρησιμοποιηθούν σαν εγγύηση σε δάνειο. Οι τράπεζες-μέλη λαμβάνουν ένα ετήσιο μερίδιο της τάξεως του 6% στο σύνολο των μετοχών</w:t>
      </w:r>
      <w:r w:rsidR="00D3213A">
        <w:rPr>
          <w:rFonts w:eastAsiaTheme="minorHAnsi"/>
          <w:lang w:eastAsia="en-US"/>
        </w:rPr>
        <w:t xml:space="preserve"> τους. </w:t>
      </w:r>
      <w:r w:rsidR="00D3213A" w:rsidRPr="00500100">
        <w:rPr>
          <w:rFonts w:eastAsiaTheme="minorHAnsi"/>
          <w:lang w:eastAsia="en-US"/>
        </w:rPr>
        <w:t>Οι μετοχές δεν είναι διαθέσιμες προς πώληση σε άτομα ή επιχειρήσεις.</w:t>
      </w:r>
    </w:p>
    <w:p w:rsidR="00BB212E" w:rsidRDefault="00BB212E" w:rsidP="00BB212E">
      <w:pPr>
        <w:spacing w:after="200" w:line="360" w:lineRule="auto"/>
        <w:ind w:firstLine="720"/>
        <w:jc w:val="both"/>
        <w:rPr>
          <w:rFonts w:eastAsiaTheme="minorHAnsi"/>
          <w:lang w:eastAsia="en-US"/>
        </w:rPr>
      </w:pPr>
      <w:r>
        <w:rPr>
          <w:rFonts w:eastAsiaTheme="minorHAnsi"/>
          <w:lang w:eastAsia="en-US"/>
        </w:rPr>
        <w:t xml:space="preserve">Το επιτόκιο στο οποίο στοχεύει η κεντρική τράπεζα των ΗΠΑ είναι το λεγόμενο </w:t>
      </w:r>
      <w:r>
        <w:rPr>
          <w:rFonts w:eastAsiaTheme="minorHAnsi"/>
          <w:lang w:val="en-US" w:eastAsia="en-US"/>
        </w:rPr>
        <w:t>Effective</w:t>
      </w:r>
      <w:r w:rsidRPr="00D3213A">
        <w:rPr>
          <w:rFonts w:eastAsiaTheme="minorHAnsi"/>
          <w:lang w:eastAsia="en-US"/>
        </w:rPr>
        <w:t xml:space="preserve"> </w:t>
      </w:r>
      <w:r>
        <w:rPr>
          <w:rFonts w:eastAsiaTheme="minorHAnsi"/>
          <w:lang w:val="en-US" w:eastAsia="en-US"/>
        </w:rPr>
        <w:t>Federal</w:t>
      </w:r>
      <w:r w:rsidRPr="00D3213A">
        <w:rPr>
          <w:rFonts w:eastAsiaTheme="minorHAnsi"/>
          <w:lang w:eastAsia="en-US"/>
        </w:rPr>
        <w:t xml:space="preserve"> </w:t>
      </w:r>
      <w:r>
        <w:rPr>
          <w:rFonts w:eastAsiaTheme="minorHAnsi"/>
          <w:lang w:val="en-US" w:eastAsia="en-US"/>
        </w:rPr>
        <w:t>Fund</w:t>
      </w:r>
      <w:r w:rsidRPr="00D3213A">
        <w:rPr>
          <w:rFonts w:eastAsiaTheme="minorHAnsi"/>
          <w:lang w:eastAsia="en-US"/>
        </w:rPr>
        <w:t xml:space="preserve"> </w:t>
      </w:r>
      <w:r>
        <w:rPr>
          <w:rFonts w:eastAsiaTheme="minorHAnsi"/>
          <w:lang w:val="en-US" w:eastAsia="en-US"/>
        </w:rPr>
        <w:t>Rate</w:t>
      </w:r>
      <w:r w:rsidRPr="00D3213A">
        <w:rPr>
          <w:rFonts w:eastAsiaTheme="minorHAnsi"/>
          <w:lang w:eastAsia="en-US"/>
        </w:rPr>
        <w:t xml:space="preserve"> </w:t>
      </w:r>
      <w:r>
        <w:rPr>
          <w:rFonts w:eastAsiaTheme="minorHAnsi"/>
          <w:lang w:eastAsia="en-US"/>
        </w:rPr>
        <w:t xml:space="preserve">η χρονική εξέλιξη του οποίου παρουσιάζεται μαζί με τις περιόδους υφέσεων όπως ορίζονται από το </w:t>
      </w:r>
      <w:r>
        <w:rPr>
          <w:rFonts w:eastAsiaTheme="minorHAnsi"/>
          <w:lang w:val="en-US" w:eastAsia="en-US"/>
        </w:rPr>
        <w:t>NBER</w:t>
      </w:r>
      <w:r w:rsidRPr="008A7D2C">
        <w:rPr>
          <w:rFonts w:eastAsiaTheme="minorHAnsi"/>
          <w:lang w:eastAsia="en-US"/>
        </w:rPr>
        <w:t xml:space="preserve"> </w:t>
      </w:r>
      <w:r>
        <w:rPr>
          <w:rFonts w:eastAsiaTheme="minorHAnsi"/>
          <w:lang w:eastAsia="en-US"/>
        </w:rPr>
        <w:t>(γκρι σκίαση) στο ακόλουθο γράφημα.</w:t>
      </w:r>
    </w:p>
    <w:p w:rsidR="00BB212E" w:rsidRPr="008737CA" w:rsidRDefault="00BB212E" w:rsidP="00E8757A">
      <w:pPr>
        <w:jc w:val="center"/>
        <w:rPr>
          <w:rFonts w:eastAsiaTheme="minorHAnsi"/>
          <w:lang w:eastAsia="en-US"/>
        </w:rPr>
      </w:pPr>
      <w:r w:rsidRPr="00DC7EB8">
        <w:rPr>
          <w:rFonts w:eastAsiaTheme="minorHAnsi"/>
          <w:b/>
          <w:lang w:eastAsia="en-US"/>
        </w:rPr>
        <w:t xml:space="preserve">Γράφημα </w:t>
      </w:r>
      <w:r>
        <w:rPr>
          <w:rFonts w:eastAsiaTheme="minorHAnsi"/>
          <w:b/>
          <w:lang w:eastAsia="en-US"/>
        </w:rPr>
        <w:t>4.13</w:t>
      </w:r>
      <w:r>
        <w:rPr>
          <w:rFonts w:eastAsiaTheme="minorHAnsi"/>
          <w:lang w:eastAsia="en-US"/>
        </w:rPr>
        <w:t xml:space="preserve"> Το επιτόκιο στόχευσης της </w:t>
      </w:r>
      <w:r>
        <w:rPr>
          <w:rFonts w:eastAsiaTheme="minorHAnsi"/>
          <w:lang w:val="en-US" w:eastAsia="en-US"/>
        </w:rPr>
        <w:t>Fed</w:t>
      </w:r>
    </w:p>
    <w:p w:rsidR="00BB212E" w:rsidRDefault="00BB212E" w:rsidP="00E8757A">
      <w:pPr>
        <w:jc w:val="center"/>
        <w:rPr>
          <w:rFonts w:eastAsiaTheme="minorHAnsi"/>
          <w:lang w:eastAsia="en-US"/>
        </w:rPr>
      </w:pPr>
      <w:r>
        <w:rPr>
          <w:rFonts w:eastAsiaTheme="minorHAnsi"/>
          <w:noProof/>
        </w:rPr>
        <w:drawing>
          <wp:inline distT="0" distB="0" distL="0" distR="0" wp14:anchorId="42050BAB" wp14:editId="569D694D">
            <wp:extent cx="4263241" cy="1555667"/>
            <wp:effectExtent l="19050" t="19050" r="23495" b="26035"/>
            <wp:docPr id="78882" name="Εικόνα 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42">
                      <a:extLst>
                        <a:ext uri="{28A0092B-C50C-407E-A947-70E740481C1C}">
                          <a14:useLocalDpi xmlns:a14="http://schemas.microsoft.com/office/drawing/2010/main" val="0"/>
                        </a:ext>
                      </a:extLst>
                    </a:blip>
                    <a:srcRect l="2866" t="10843" r="3615" b="10241"/>
                    <a:stretch/>
                  </pic:blipFill>
                  <pic:spPr bwMode="auto">
                    <a:xfrm>
                      <a:off x="0" y="0"/>
                      <a:ext cx="4279054" cy="15614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B212E" w:rsidRPr="00FF62DF" w:rsidRDefault="00BB212E" w:rsidP="00E8757A">
      <w:pPr>
        <w:ind w:firstLine="720"/>
        <w:rPr>
          <w:rFonts w:eastAsiaTheme="minorHAnsi"/>
          <w:sz w:val="20"/>
          <w:szCs w:val="20"/>
          <w:lang w:eastAsia="en-US"/>
        </w:rPr>
      </w:pPr>
      <w:r w:rsidRPr="0087420C">
        <w:rPr>
          <w:rFonts w:eastAsiaTheme="minorHAnsi"/>
          <w:b/>
          <w:sz w:val="20"/>
          <w:szCs w:val="20"/>
          <w:lang w:eastAsia="en-US"/>
        </w:rPr>
        <w:lastRenderedPageBreak/>
        <w:t>Πηγή</w:t>
      </w:r>
      <w:r w:rsidRPr="00FF62DF">
        <w:rPr>
          <w:rFonts w:eastAsiaTheme="minorHAnsi"/>
          <w:b/>
          <w:sz w:val="20"/>
          <w:szCs w:val="20"/>
          <w:lang w:eastAsia="en-US"/>
        </w:rPr>
        <w:t>:</w:t>
      </w:r>
      <w:r w:rsidRPr="00FF62DF">
        <w:rPr>
          <w:rFonts w:eastAsiaTheme="minorHAnsi"/>
          <w:sz w:val="20"/>
          <w:szCs w:val="20"/>
          <w:lang w:eastAsia="en-US"/>
        </w:rPr>
        <w:t xml:space="preserve"> </w:t>
      </w:r>
      <w:r w:rsidRPr="0087420C">
        <w:rPr>
          <w:rFonts w:eastAsiaTheme="minorHAnsi"/>
          <w:sz w:val="20"/>
          <w:szCs w:val="20"/>
          <w:lang w:val="en-US" w:eastAsia="en-US"/>
        </w:rPr>
        <w:t>Fed</w:t>
      </w:r>
      <w:r w:rsidRPr="00FF62DF">
        <w:rPr>
          <w:rFonts w:eastAsiaTheme="minorHAnsi"/>
          <w:sz w:val="20"/>
          <w:szCs w:val="20"/>
          <w:lang w:eastAsia="en-US"/>
        </w:rPr>
        <w:t xml:space="preserve"> </w:t>
      </w:r>
      <w:r w:rsidRPr="0087420C">
        <w:rPr>
          <w:rFonts w:eastAsiaTheme="minorHAnsi"/>
          <w:sz w:val="20"/>
          <w:szCs w:val="20"/>
          <w:lang w:val="en-US" w:eastAsia="en-US"/>
        </w:rPr>
        <w:t>of</w:t>
      </w:r>
      <w:r w:rsidRPr="00FF62DF">
        <w:rPr>
          <w:rFonts w:eastAsiaTheme="minorHAnsi"/>
          <w:sz w:val="20"/>
          <w:szCs w:val="20"/>
          <w:lang w:eastAsia="en-US"/>
        </w:rPr>
        <w:t xml:space="preserve"> </w:t>
      </w:r>
      <w:r w:rsidRPr="0087420C">
        <w:rPr>
          <w:rFonts w:eastAsiaTheme="minorHAnsi"/>
          <w:sz w:val="20"/>
          <w:szCs w:val="20"/>
          <w:lang w:val="en-US" w:eastAsia="en-US"/>
        </w:rPr>
        <w:t>St</w:t>
      </w:r>
      <w:r w:rsidRPr="00FF62DF">
        <w:rPr>
          <w:rFonts w:eastAsiaTheme="minorHAnsi"/>
          <w:sz w:val="20"/>
          <w:szCs w:val="20"/>
          <w:lang w:eastAsia="en-US"/>
        </w:rPr>
        <w:t xml:space="preserve">. </w:t>
      </w:r>
      <w:r w:rsidRPr="0087420C">
        <w:rPr>
          <w:rFonts w:eastAsiaTheme="minorHAnsi"/>
          <w:sz w:val="20"/>
          <w:szCs w:val="20"/>
          <w:lang w:val="en-US" w:eastAsia="en-US"/>
        </w:rPr>
        <w:t>Louis</w:t>
      </w:r>
    </w:p>
    <w:p w:rsidR="00D3213A" w:rsidRPr="00E8757A" w:rsidRDefault="00500100" w:rsidP="00E8757A">
      <w:pPr>
        <w:spacing w:before="120" w:line="360" w:lineRule="auto"/>
        <w:ind w:firstLine="720"/>
        <w:jc w:val="both"/>
        <w:rPr>
          <w:rFonts w:eastAsiaTheme="minorHAnsi"/>
          <w:lang w:eastAsia="en-US"/>
        </w:rPr>
      </w:pPr>
      <w:r w:rsidRPr="00500100">
        <w:rPr>
          <w:rFonts w:eastAsiaTheme="minorHAnsi"/>
          <w:lang w:eastAsia="en-US"/>
        </w:rPr>
        <w:t xml:space="preserve">Η αρχή της παγκόσμιας ύφεσης το 1929 ήταν καταστροφική για το τραπεζικό σύστημα. Στα τέλη του 1931 περισσότερες από 1.000 αμερικανικές τράπεζες είχαν πτωχεύσει, αφού οι δανειστές αδυνατούσαν να πληρώσουν και η αξία των ενεργητικών των τραπεζών μειωνόταν. Το γεγονός αυτό δημιούργησε πανικό στο εσωτερικό της χώρας με αποτέλεσμα την συσσώρευση πελατών εκτός των τραπεζών με την ελπίδα να αποσύρουν όσα μετρητά μπορούσαν μέχρι οι τράπεζες να αδυνατούν να πληρώσουν. </w:t>
      </w:r>
      <w:r w:rsidR="00044E48">
        <w:rPr>
          <w:rFonts w:eastAsiaTheme="minorHAnsi"/>
          <w:lang w:eastAsia="en-US"/>
        </w:rPr>
        <w:t>Τον</w:t>
      </w:r>
      <w:r w:rsidRPr="00500100">
        <w:rPr>
          <w:rFonts w:eastAsiaTheme="minorHAnsi"/>
          <w:lang w:eastAsia="en-US"/>
        </w:rPr>
        <w:t xml:space="preserve"> Ιούνιο του 1933, το Κογκρέσο θέσπισε την  ομοσπονδιακή ασφάλιση των καταθέσεων. Οι λογαριασμοί καλύφθηκαν μέχρι και $2.500 ανά καταθέτη ενώ κι άλλοι νόμοι συντάχθηκαν με στόχο την ρύθμιση των τραπεζικών δραστηριοτήτων και του ανταγωνισμού, έχοντας ως πρώτο μέλημα τον περιορισμό των κινδύνων για τις τράπεζες</w:t>
      </w:r>
      <w:r w:rsidR="00E8757A">
        <w:rPr>
          <w:rFonts w:eastAsiaTheme="minorHAnsi"/>
          <w:lang w:eastAsia="en-US"/>
        </w:rPr>
        <w:t xml:space="preserve"> και τον καθησυχασμό του κοινού.</w:t>
      </w:r>
    </w:p>
    <w:p w:rsidR="00E8757A" w:rsidRPr="00E8757A" w:rsidRDefault="00E8757A" w:rsidP="00E8757A">
      <w:pPr>
        <w:spacing w:before="120"/>
        <w:ind w:firstLine="720"/>
        <w:jc w:val="both"/>
        <w:rPr>
          <w:rFonts w:eastAsiaTheme="minorHAnsi"/>
          <w:lang w:eastAsia="en-US"/>
        </w:rPr>
      </w:pPr>
    </w:p>
    <w:p w:rsidR="0087420C" w:rsidRDefault="0087420C" w:rsidP="00777193">
      <w:pPr>
        <w:jc w:val="center"/>
        <w:rPr>
          <w:rFonts w:eastAsiaTheme="minorHAnsi"/>
          <w:lang w:eastAsia="en-US"/>
        </w:rPr>
      </w:pPr>
      <w:r w:rsidRPr="0087420C">
        <w:rPr>
          <w:rFonts w:eastAsiaTheme="minorHAnsi"/>
          <w:b/>
          <w:lang w:eastAsia="en-US"/>
        </w:rPr>
        <w:t>Εικόνα 4.1</w:t>
      </w:r>
      <w:r>
        <w:rPr>
          <w:rFonts w:eastAsiaTheme="minorHAnsi"/>
          <w:lang w:eastAsia="en-US"/>
        </w:rPr>
        <w:t xml:space="preserve"> Οι ουρές έξω από τις τράπεζες στην κρίση του 1929-1931</w:t>
      </w:r>
    </w:p>
    <w:p w:rsidR="0087420C" w:rsidRPr="00D3213A" w:rsidRDefault="0087420C" w:rsidP="00777193">
      <w:pPr>
        <w:jc w:val="center"/>
        <w:rPr>
          <w:rFonts w:eastAsiaTheme="minorHAnsi"/>
          <w:lang w:eastAsia="en-US"/>
        </w:rPr>
      </w:pPr>
      <w:r>
        <w:rPr>
          <w:rFonts w:asciiTheme="minorHAnsi" w:eastAsia="Calibri" w:hAnsiTheme="minorHAnsi" w:cs="AdvT207"/>
          <w:noProof/>
          <w:sz w:val="20"/>
          <w:szCs w:val="20"/>
        </w:rPr>
        <w:drawing>
          <wp:inline distT="0" distB="0" distL="0" distR="0" wp14:anchorId="1A1965F6" wp14:editId="5B693FD2">
            <wp:extent cx="4655127" cy="3377808"/>
            <wp:effectExtent l="0" t="0" r="0" b="0"/>
            <wp:docPr id="78878" name="Εικόνα 7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2436" cy="3383112"/>
                    </a:xfrm>
                    <a:prstGeom prst="rect">
                      <a:avLst/>
                    </a:prstGeom>
                    <a:noFill/>
                    <a:ln>
                      <a:noFill/>
                    </a:ln>
                  </pic:spPr>
                </pic:pic>
              </a:graphicData>
            </a:graphic>
          </wp:inline>
        </w:drawing>
      </w:r>
    </w:p>
    <w:p w:rsidR="00E8757A" w:rsidRPr="000C510F" w:rsidRDefault="00777193" w:rsidP="00777193">
      <w:pPr>
        <w:spacing w:after="120"/>
        <w:rPr>
          <w:rFonts w:eastAsiaTheme="minorHAnsi"/>
          <w:sz w:val="22"/>
          <w:szCs w:val="22"/>
          <w:lang w:eastAsia="en-US"/>
        </w:rPr>
      </w:pPr>
      <w:r w:rsidRPr="000C510F">
        <w:rPr>
          <w:rFonts w:eastAsiaTheme="minorHAnsi"/>
          <w:b/>
          <w:lang w:eastAsia="en-US"/>
        </w:rPr>
        <w:t xml:space="preserve">        </w:t>
      </w:r>
      <w:r w:rsidR="00E8757A" w:rsidRPr="00777193">
        <w:rPr>
          <w:rFonts w:eastAsiaTheme="minorHAnsi"/>
          <w:b/>
          <w:sz w:val="22"/>
          <w:szCs w:val="22"/>
          <w:lang w:eastAsia="en-US"/>
        </w:rPr>
        <w:t>Πηγή</w:t>
      </w:r>
      <w:r w:rsidR="00E8757A" w:rsidRPr="000C510F">
        <w:rPr>
          <w:rFonts w:eastAsiaTheme="minorHAnsi"/>
          <w:b/>
          <w:sz w:val="22"/>
          <w:szCs w:val="22"/>
          <w:lang w:eastAsia="en-US"/>
        </w:rPr>
        <w:t>:</w:t>
      </w:r>
      <w:r w:rsidR="00E8757A" w:rsidRPr="000C510F">
        <w:rPr>
          <w:rFonts w:eastAsiaTheme="minorHAnsi"/>
          <w:sz w:val="22"/>
          <w:szCs w:val="22"/>
          <w:lang w:eastAsia="en-US"/>
        </w:rPr>
        <w:t xml:space="preserve"> </w:t>
      </w:r>
      <w:r w:rsidR="00E8757A" w:rsidRPr="00777193">
        <w:rPr>
          <w:rFonts w:eastAsiaTheme="minorHAnsi"/>
          <w:sz w:val="22"/>
          <w:szCs w:val="22"/>
          <w:lang w:val="en-US" w:eastAsia="en-US"/>
        </w:rPr>
        <w:t>Fed</w:t>
      </w:r>
      <w:r w:rsidR="00E8757A" w:rsidRPr="000C510F">
        <w:rPr>
          <w:rFonts w:eastAsiaTheme="minorHAnsi"/>
          <w:sz w:val="22"/>
          <w:szCs w:val="22"/>
          <w:lang w:eastAsia="en-US"/>
        </w:rPr>
        <w:t xml:space="preserve"> </w:t>
      </w:r>
      <w:r w:rsidR="00E8757A" w:rsidRPr="00777193">
        <w:rPr>
          <w:rFonts w:eastAsiaTheme="minorHAnsi"/>
          <w:sz w:val="22"/>
          <w:szCs w:val="22"/>
          <w:lang w:val="en-US" w:eastAsia="en-US"/>
        </w:rPr>
        <w:t>of</w:t>
      </w:r>
      <w:r w:rsidR="00E8757A" w:rsidRPr="000C510F">
        <w:rPr>
          <w:rFonts w:eastAsiaTheme="minorHAnsi"/>
          <w:sz w:val="22"/>
          <w:szCs w:val="22"/>
          <w:lang w:eastAsia="en-US"/>
        </w:rPr>
        <w:t xml:space="preserve"> </w:t>
      </w:r>
      <w:r w:rsidR="00E8757A" w:rsidRPr="00777193">
        <w:rPr>
          <w:rFonts w:eastAsiaTheme="minorHAnsi"/>
          <w:sz w:val="22"/>
          <w:szCs w:val="22"/>
          <w:lang w:val="en-US" w:eastAsia="en-US"/>
        </w:rPr>
        <w:t>St</w:t>
      </w:r>
      <w:r w:rsidR="00E8757A" w:rsidRPr="000C510F">
        <w:rPr>
          <w:rFonts w:eastAsiaTheme="minorHAnsi"/>
          <w:sz w:val="22"/>
          <w:szCs w:val="22"/>
          <w:lang w:eastAsia="en-US"/>
        </w:rPr>
        <w:t xml:space="preserve">. </w:t>
      </w:r>
      <w:r w:rsidR="00E8757A" w:rsidRPr="00777193">
        <w:rPr>
          <w:rFonts w:eastAsiaTheme="minorHAnsi"/>
          <w:sz w:val="22"/>
          <w:szCs w:val="22"/>
          <w:lang w:val="en-US" w:eastAsia="en-US"/>
        </w:rPr>
        <w:t>Louis</w:t>
      </w:r>
    </w:p>
    <w:p w:rsidR="00644BA1" w:rsidRPr="00A17D95" w:rsidRDefault="00500100" w:rsidP="00E8757A">
      <w:pPr>
        <w:spacing w:before="120" w:line="360" w:lineRule="auto"/>
        <w:ind w:firstLine="720"/>
        <w:jc w:val="both"/>
        <w:rPr>
          <w:rFonts w:eastAsiaTheme="minorHAnsi"/>
          <w:lang w:eastAsia="en-US"/>
        </w:rPr>
      </w:pPr>
      <w:r w:rsidRPr="00500100">
        <w:rPr>
          <w:rFonts w:eastAsiaTheme="minorHAnsi"/>
          <w:lang w:eastAsia="en-US"/>
        </w:rPr>
        <w:t>Απ’ το 1975 και έπειτα το τραπεζικό σύστημα έχει υποστεί σαρωτικές αλλαγές. Η τεχνολογία παίζει  πλέον κυρίαρχο ρόλο στον τρόπο με τον οποίο οι αμερικανοί πολίτες αποκτούν υπηρεσίες από τις τράπεζες. Το γραφείο του Χρηματοοικονομικού Υπεύθυνου του Νομίσματος</w:t>
      </w:r>
      <w:r w:rsidR="000A076C">
        <w:rPr>
          <w:rFonts w:eastAsiaTheme="minorHAnsi"/>
          <w:lang w:eastAsia="en-US"/>
        </w:rPr>
        <w:t xml:space="preserve"> </w:t>
      </w:r>
      <w:r w:rsidRPr="00500100">
        <w:rPr>
          <w:rFonts w:eastAsiaTheme="minorHAnsi"/>
          <w:lang w:eastAsia="en-US"/>
        </w:rPr>
        <w:t>(</w:t>
      </w:r>
      <w:r w:rsidRPr="00500100">
        <w:rPr>
          <w:rFonts w:eastAsiaTheme="minorHAnsi"/>
          <w:lang w:val="en-US" w:eastAsia="en-US"/>
        </w:rPr>
        <w:t>OCC</w:t>
      </w:r>
      <w:r w:rsidRPr="00500100">
        <w:rPr>
          <w:rFonts w:eastAsiaTheme="minorHAnsi"/>
          <w:lang w:eastAsia="en-US"/>
        </w:rPr>
        <w:t xml:space="preserve">) επιβλέπει τις τράπεζες και επιβάλλει ομοσπονδιακούς τραπεζικούς νόμους, ενώ ταυτόχρονα διεξάγει </w:t>
      </w:r>
      <w:r w:rsidRPr="00500100">
        <w:rPr>
          <w:rFonts w:eastAsiaTheme="minorHAnsi"/>
          <w:lang w:eastAsia="en-US"/>
        </w:rPr>
        <w:lastRenderedPageBreak/>
        <w:t>οικονομικές έρ</w:t>
      </w:r>
      <w:r w:rsidR="00A17D95">
        <w:rPr>
          <w:rFonts w:eastAsiaTheme="minorHAnsi"/>
          <w:lang w:eastAsia="en-US"/>
        </w:rPr>
        <w:t>ευνές.</w:t>
      </w:r>
      <w:r w:rsidR="00E8757A">
        <w:rPr>
          <w:rFonts w:eastAsiaTheme="minorHAnsi"/>
          <w:lang w:eastAsia="en-US"/>
        </w:rPr>
        <w:t xml:space="preserve"> </w:t>
      </w:r>
      <w:r w:rsidR="00A17D95" w:rsidRPr="00500100">
        <w:rPr>
          <w:rFonts w:eastAsiaTheme="minorHAnsi"/>
          <w:lang w:eastAsia="en-US"/>
        </w:rPr>
        <w:t>Η Ομοσπονδιακή Κεντρική Τράπεζα είναι υπεύθυνη για την επιτήρηση και την ρύθμιση των ακόλουθων τμημάτων της τραπεζικής βιομηχανίας έτσι ώστε να διασφαλίζει τις τραπεζικές τους συναλλαγές και την συμμόρφωση τους στους νόμους:</w:t>
      </w:r>
      <w:r w:rsidR="00E8757A">
        <w:rPr>
          <w:rFonts w:eastAsiaTheme="minorHAnsi"/>
          <w:lang w:eastAsia="en-US"/>
        </w:rPr>
        <w:t xml:space="preserve"> </w:t>
      </w:r>
      <w:r w:rsidR="0087420C">
        <w:rPr>
          <w:rFonts w:eastAsiaTheme="minorHAnsi"/>
          <w:lang w:eastAsia="en-US"/>
        </w:rPr>
        <w:t>Βασικός</w:t>
      </w:r>
      <w:r w:rsidR="0087420C" w:rsidRPr="0087420C">
        <w:rPr>
          <w:rFonts w:eastAsiaTheme="minorHAnsi"/>
          <w:lang w:eastAsia="en-US"/>
        </w:rPr>
        <w:t xml:space="preserve"> </w:t>
      </w:r>
      <w:r w:rsidR="0087420C">
        <w:rPr>
          <w:rFonts w:eastAsiaTheme="minorHAnsi"/>
          <w:lang w:eastAsia="en-US"/>
        </w:rPr>
        <w:t>στόχος</w:t>
      </w:r>
      <w:r w:rsidR="0087420C" w:rsidRPr="0087420C">
        <w:rPr>
          <w:rFonts w:eastAsiaTheme="minorHAnsi"/>
          <w:lang w:eastAsia="en-US"/>
        </w:rPr>
        <w:t xml:space="preserve"> </w:t>
      </w:r>
      <w:r w:rsidR="0087420C">
        <w:rPr>
          <w:rFonts w:eastAsiaTheme="minorHAnsi"/>
          <w:lang w:eastAsia="en-US"/>
        </w:rPr>
        <w:t xml:space="preserve">της </w:t>
      </w:r>
      <w:r w:rsidR="0087420C">
        <w:rPr>
          <w:rFonts w:eastAsiaTheme="minorHAnsi"/>
          <w:lang w:val="en-US" w:eastAsia="en-US"/>
        </w:rPr>
        <w:t>Fed</w:t>
      </w:r>
      <w:r w:rsidR="0087420C" w:rsidRPr="0087420C">
        <w:rPr>
          <w:rFonts w:eastAsiaTheme="minorHAnsi"/>
          <w:lang w:eastAsia="en-US"/>
        </w:rPr>
        <w:t xml:space="preserve"> </w:t>
      </w:r>
      <w:r w:rsidR="00A17D95">
        <w:rPr>
          <w:rFonts w:eastAsiaTheme="minorHAnsi"/>
          <w:lang w:eastAsia="en-US"/>
        </w:rPr>
        <w:t>είναι</w:t>
      </w:r>
      <w:r w:rsidR="0087420C">
        <w:rPr>
          <w:rFonts w:eastAsiaTheme="minorHAnsi"/>
          <w:lang w:eastAsia="en-US"/>
        </w:rPr>
        <w:t xml:space="preserve"> η διασφάλιση</w:t>
      </w:r>
      <w:r w:rsidRPr="00500100">
        <w:rPr>
          <w:rFonts w:eastAsiaTheme="minorHAnsi"/>
          <w:lang w:eastAsia="en-US"/>
        </w:rPr>
        <w:t xml:space="preserve"> ενός ασφαλούς, υγιούς και ανταγω</w:t>
      </w:r>
      <w:r w:rsidR="00A17D95">
        <w:rPr>
          <w:rFonts w:eastAsiaTheme="minorHAnsi"/>
          <w:lang w:eastAsia="en-US"/>
        </w:rPr>
        <w:t>νιστικού τραπεζικού συστήματος.</w:t>
      </w:r>
    </w:p>
    <w:p w:rsidR="007577C9" w:rsidRDefault="007577C9" w:rsidP="0040797E">
      <w:pPr>
        <w:spacing w:after="200" w:line="276" w:lineRule="auto"/>
        <w:ind w:left="720"/>
        <w:rPr>
          <w:rFonts w:ascii="AdvT207" w:eastAsia="Calibri" w:hAnsi="AdvT207" w:cs="AdvT207"/>
          <w:sz w:val="20"/>
          <w:szCs w:val="20"/>
          <w:lang w:eastAsia="en-US"/>
        </w:rPr>
      </w:pPr>
    </w:p>
    <w:p w:rsidR="00E90AB3" w:rsidRDefault="00CC0245" w:rsidP="00CC0245">
      <w:pPr>
        <w:pStyle w:val="2"/>
        <w:spacing w:before="0" w:after="0" w:line="360" w:lineRule="auto"/>
        <w:jc w:val="both"/>
        <w:rPr>
          <w:rFonts w:ascii="AdvT207" w:eastAsia="Calibri" w:hAnsi="AdvT207" w:cs="AdvT207"/>
          <w:sz w:val="20"/>
          <w:szCs w:val="20"/>
          <w:lang w:eastAsia="en-US"/>
        </w:rPr>
      </w:pPr>
      <w:bookmarkStart w:id="17" w:name="_Toc393111074"/>
      <w:r>
        <w:rPr>
          <w:rFonts w:ascii="Times New Roman" w:hAnsi="Times New Roman" w:cs="Times New Roman"/>
          <w:i w:val="0"/>
        </w:rPr>
        <w:t>4.11.3 Το Ε</w:t>
      </w:r>
      <w:r w:rsidR="000414F6">
        <w:rPr>
          <w:rFonts w:ascii="Times New Roman" w:hAnsi="Times New Roman" w:cs="Times New Roman"/>
          <w:i w:val="0"/>
        </w:rPr>
        <w:t>λληνικό τ</w:t>
      </w:r>
      <w:r w:rsidRPr="0040797E">
        <w:rPr>
          <w:rFonts w:ascii="Times New Roman" w:hAnsi="Times New Roman" w:cs="Times New Roman"/>
          <w:i w:val="0"/>
        </w:rPr>
        <w:t>ραπεζικό σύστημα</w:t>
      </w:r>
      <w:bookmarkEnd w:id="17"/>
      <w:r w:rsidRPr="0040797E">
        <w:rPr>
          <w:rFonts w:ascii="Times New Roman" w:hAnsi="Times New Roman" w:cs="Times New Roman"/>
          <w:i w:val="0"/>
        </w:rPr>
        <w:t xml:space="preserve"> </w:t>
      </w:r>
    </w:p>
    <w:p w:rsidR="00426A2D" w:rsidRDefault="002A671E" w:rsidP="00E8757A">
      <w:pPr>
        <w:spacing w:before="120" w:line="360" w:lineRule="auto"/>
        <w:ind w:firstLine="720"/>
        <w:jc w:val="both"/>
      </w:pPr>
      <w:r>
        <w:t xml:space="preserve">Στην ενότητα αυτή θα κάνουμε μια σύντομη περιγραφή της ιστορικής εξέλιξης του ελληνικού τραπεζικού συστήματος. Στην συνέχεια θα αναφερθούμε στην δομή του </w:t>
      </w:r>
      <w:r w:rsidR="00573E36">
        <w:t>και στις πρόσφατες εξελίξεις του.</w:t>
      </w:r>
    </w:p>
    <w:p w:rsidR="00573E36" w:rsidRPr="00777193" w:rsidRDefault="00573E36" w:rsidP="002A671E">
      <w:pPr>
        <w:spacing w:line="360" w:lineRule="auto"/>
        <w:jc w:val="both"/>
        <w:rPr>
          <w:b/>
          <w:i/>
          <w:u w:val="single"/>
        </w:rPr>
      </w:pPr>
      <w:r w:rsidRPr="00777193">
        <w:rPr>
          <w:b/>
          <w:i/>
          <w:u w:val="single"/>
        </w:rPr>
        <w:t>Ιστορική Εξέλιξη</w:t>
      </w:r>
    </w:p>
    <w:p w:rsidR="00E8757A" w:rsidRDefault="00426A2D" w:rsidP="00E8757A">
      <w:pPr>
        <w:spacing w:line="360" w:lineRule="auto"/>
        <w:ind w:firstLine="720"/>
        <w:jc w:val="both"/>
        <w:rPr>
          <w:rFonts w:eastAsiaTheme="minorHAnsi"/>
          <w:lang w:eastAsia="en-US"/>
        </w:rPr>
      </w:pPr>
      <w:r w:rsidRPr="00426A2D">
        <w:rPr>
          <w:rFonts w:eastAsiaTheme="minorHAnsi"/>
          <w:lang w:eastAsia="en-US"/>
        </w:rPr>
        <w:t xml:space="preserve">Το ελληνικό τραπεζικό σύστημα ξεκίνησε τη λειτουργία του σχεδόν ταυτόχρονα με τη δημιουργία του νεοσύστατου Ελληνικού κράτους. </w:t>
      </w:r>
      <w:r w:rsidR="002A671E" w:rsidRPr="00426A2D">
        <w:rPr>
          <w:rFonts w:eastAsiaTheme="minorHAnsi"/>
          <w:lang w:eastAsia="en-US"/>
        </w:rPr>
        <w:t xml:space="preserve">Το 1828 ιδρύθηκε η Εθνική Χρηματιστική Τράπεζα, </w:t>
      </w:r>
      <w:r w:rsidR="002A671E">
        <w:rPr>
          <w:rFonts w:eastAsiaTheme="minorHAnsi"/>
          <w:lang w:eastAsia="en-US"/>
        </w:rPr>
        <w:t xml:space="preserve">η </w:t>
      </w:r>
      <w:r w:rsidR="002A671E" w:rsidRPr="00426A2D">
        <w:rPr>
          <w:rFonts w:eastAsiaTheme="minorHAnsi"/>
          <w:lang w:eastAsia="en-US"/>
        </w:rPr>
        <w:t>οποία όμως διαλύθηκε το 1834.</w:t>
      </w:r>
      <w:r w:rsidR="002A671E">
        <w:rPr>
          <w:rFonts w:eastAsiaTheme="minorHAnsi"/>
          <w:lang w:eastAsia="en-US"/>
        </w:rPr>
        <w:t xml:space="preserve"> </w:t>
      </w:r>
      <w:r w:rsidRPr="00426A2D">
        <w:rPr>
          <w:rFonts w:eastAsiaTheme="minorHAnsi"/>
          <w:lang w:eastAsia="en-US"/>
        </w:rPr>
        <w:t>Το 1841 ιδρύθηκε η πρώτη Ελληνική εμπορική τράπεζα, η Εθνική τράπεζα της Ελλάδος, που αποτέλεσε το πρώτο ουσιαστι</w:t>
      </w:r>
      <w:r w:rsidR="002A671E">
        <w:rPr>
          <w:rFonts w:eastAsiaTheme="minorHAnsi"/>
          <w:lang w:eastAsia="en-US"/>
        </w:rPr>
        <w:t xml:space="preserve">κά πιστωτικό ίδρυμα της </w:t>
      </w:r>
      <w:r w:rsidR="002A671E" w:rsidRPr="00E8757A">
        <w:rPr>
          <w:rFonts w:eastAsiaTheme="minorHAnsi"/>
          <w:lang w:eastAsia="en-US"/>
        </w:rPr>
        <w:t>Ελλάδας (</w:t>
      </w:r>
      <w:proofErr w:type="spellStart"/>
      <w:r w:rsidR="00E8757A" w:rsidRPr="00E8757A">
        <w:rPr>
          <w:rFonts w:eastAsiaTheme="minorHAnsi"/>
          <w:lang w:eastAsia="en-US"/>
        </w:rPr>
        <w:t>Δερτιλής</w:t>
      </w:r>
      <w:proofErr w:type="spellEnd"/>
      <w:r w:rsidR="002A671E" w:rsidRPr="00E8757A">
        <w:rPr>
          <w:rFonts w:eastAsiaTheme="minorHAnsi"/>
          <w:lang w:eastAsia="en-US"/>
        </w:rPr>
        <w:t>, 1980</w:t>
      </w:r>
      <w:r w:rsidRPr="00E8757A">
        <w:rPr>
          <w:rFonts w:eastAsiaTheme="minorHAnsi"/>
          <w:lang w:eastAsia="en-US"/>
        </w:rPr>
        <w:t>)</w:t>
      </w:r>
      <w:r w:rsidR="002A671E" w:rsidRPr="00E8757A">
        <w:rPr>
          <w:rFonts w:eastAsiaTheme="minorHAnsi"/>
          <w:lang w:eastAsia="en-US"/>
        </w:rPr>
        <w:t>.</w:t>
      </w:r>
    </w:p>
    <w:p w:rsidR="00243B2C" w:rsidRDefault="00426A2D" w:rsidP="00243B2C">
      <w:pPr>
        <w:spacing w:line="360" w:lineRule="auto"/>
        <w:ind w:firstLine="720"/>
        <w:jc w:val="both"/>
        <w:rPr>
          <w:rFonts w:eastAsiaTheme="minorHAnsi"/>
          <w:lang w:eastAsia="en-US"/>
        </w:rPr>
      </w:pPr>
      <w:r w:rsidRPr="00426A2D">
        <w:rPr>
          <w:rFonts w:eastAsiaTheme="minorHAnsi"/>
          <w:lang w:eastAsia="en-US"/>
        </w:rPr>
        <w:t xml:space="preserve">Το 1893 ιδρύεται η Τράπεζα Αθηνών η οποία αποτελεί την πρώτη ελληνική τράπεζα καταθέσεων. Αποτελούσε τον κύριο ανταγωνιστή της Εθνικής μέχρι τη συγχώνευση με αυτήν το 1953. Το 1907 ιδρύεται η Εμπορική Τράπεζα. </w:t>
      </w:r>
      <w:r w:rsidR="00E8757A">
        <w:rPr>
          <w:rFonts w:eastAsiaTheme="minorHAnsi"/>
          <w:lang w:eastAsia="en-US"/>
        </w:rPr>
        <w:t>Ενώ τ</w:t>
      </w:r>
      <w:r w:rsidRPr="00426A2D">
        <w:rPr>
          <w:rFonts w:eastAsiaTheme="minorHAnsi"/>
          <w:lang w:eastAsia="en-US"/>
        </w:rPr>
        <w:t>ο 1916 δημιουργείται η Τράπεζα Πειραιώς που ως το 1960 λειτουργούσε ως ιδιωτική τράπεζα (</w:t>
      </w:r>
      <w:proofErr w:type="spellStart"/>
      <w:r w:rsidR="002A671E">
        <w:rPr>
          <w:rFonts w:eastAsiaTheme="minorHAnsi"/>
          <w:lang w:eastAsia="en-US"/>
        </w:rPr>
        <w:t>Δερτιλής</w:t>
      </w:r>
      <w:proofErr w:type="spellEnd"/>
      <w:r w:rsidR="002A671E">
        <w:rPr>
          <w:rFonts w:eastAsiaTheme="minorHAnsi"/>
          <w:lang w:eastAsia="en-US"/>
        </w:rPr>
        <w:t>, 2005</w:t>
      </w:r>
      <w:r w:rsidRPr="00426A2D">
        <w:rPr>
          <w:rFonts w:eastAsiaTheme="minorHAnsi"/>
          <w:lang w:eastAsia="en-US"/>
        </w:rPr>
        <w:t>)</w:t>
      </w:r>
      <w:r w:rsidR="00E8757A">
        <w:rPr>
          <w:rFonts w:eastAsiaTheme="minorHAnsi"/>
          <w:lang w:eastAsia="en-US"/>
        </w:rPr>
        <w:t>.</w:t>
      </w:r>
    </w:p>
    <w:p w:rsidR="00243B2C" w:rsidRDefault="00426A2D" w:rsidP="00243B2C">
      <w:pPr>
        <w:spacing w:line="360" w:lineRule="auto"/>
        <w:ind w:firstLine="720"/>
        <w:jc w:val="both"/>
      </w:pPr>
      <w:r w:rsidRPr="00426A2D">
        <w:rPr>
          <w:rFonts w:eastAsiaTheme="minorHAnsi"/>
          <w:lang w:eastAsia="en-US"/>
        </w:rPr>
        <w:t>Το 1927 ακολουθεί η ίδρυση της Τράπεζας της Ελλάδος</w:t>
      </w:r>
      <w:r w:rsidR="00243B2C">
        <w:rPr>
          <w:rFonts w:eastAsiaTheme="minorHAnsi"/>
          <w:lang w:eastAsia="en-US"/>
        </w:rPr>
        <w:t xml:space="preserve"> η οποία</w:t>
      </w:r>
      <w:r w:rsidRPr="00426A2D">
        <w:rPr>
          <w:rFonts w:eastAsiaTheme="minorHAnsi"/>
          <w:lang w:eastAsia="en-US"/>
        </w:rPr>
        <w:t xml:space="preserve"> γίνεται η κεντρική τράπεζα της χώρας. Μετά την περίοδο της κατοχής το ελληνικό τραπεζικό σύστημα υπολειτουργούσε</w:t>
      </w:r>
      <w:r w:rsidR="00243B2C">
        <w:rPr>
          <w:rFonts w:eastAsiaTheme="minorHAnsi"/>
          <w:lang w:eastAsia="en-US"/>
        </w:rPr>
        <w:t xml:space="preserve"> </w:t>
      </w:r>
      <w:r w:rsidR="00243B2C" w:rsidRPr="00426A2D">
        <w:t>(Κωστής, 2003)</w:t>
      </w:r>
      <w:r w:rsidRPr="00426A2D">
        <w:t xml:space="preserve">. Την περίοδο 1968-1974 αρχίζει η είσοδος ξένων τραπεζών στο εγχώριο τραπεζικό σύστημα, εκτός από την </w:t>
      </w:r>
      <w:r w:rsidRPr="00426A2D">
        <w:rPr>
          <w:lang w:val="en-US"/>
        </w:rPr>
        <w:t>American</w:t>
      </w:r>
      <w:r w:rsidRPr="00426A2D">
        <w:t xml:space="preserve"> </w:t>
      </w:r>
      <w:r w:rsidRPr="00426A2D">
        <w:rPr>
          <w:lang w:val="en-US"/>
        </w:rPr>
        <w:t>Express</w:t>
      </w:r>
      <w:r w:rsidRPr="00426A2D">
        <w:t xml:space="preserve"> που είχ</w:t>
      </w:r>
      <w:r w:rsidR="00243B2C">
        <w:t xml:space="preserve">ε ιδρυθεί τη δεκαετία του 1920. </w:t>
      </w:r>
      <w:r w:rsidRPr="00426A2D">
        <w:t xml:space="preserve">Με την αποκατάσταση της δημοκρατίας παρατηρείται μεγέθυνση του τραπεζικού συστήματος. </w:t>
      </w:r>
      <w:r w:rsidR="00593FDA">
        <w:t xml:space="preserve"> Προς</w:t>
      </w:r>
      <w:r w:rsidR="00593FDA" w:rsidRPr="009A6940">
        <w:t xml:space="preserve"> τα τέλη της δεκαετίας του 1980 ξεκινά μια διαδικασία σταδιακής απορρύθμισης του ελληνικού τραπεζικού συστήματος μέσα από την απελευθέρωση των αγορών, υποκινούμενη από τις διεθνείς εξελίξεις και την ανάγκη συμμετοχής της Ελλάδας στην ενιαία ευρωπαϊκή αγορά</w:t>
      </w:r>
      <w:r w:rsidR="00243B2C">
        <w:t xml:space="preserve"> </w:t>
      </w:r>
      <w:r w:rsidR="00243B2C" w:rsidRPr="00243B2C">
        <w:t>(</w:t>
      </w:r>
      <w:proofErr w:type="spellStart"/>
      <w:r w:rsidR="00243B2C" w:rsidRPr="00243B2C">
        <w:t>Νούλας</w:t>
      </w:r>
      <w:proofErr w:type="spellEnd"/>
      <w:r w:rsidR="00243B2C" w:rsidRPr="00243B2C">
        <w:t>, 2005)</w:t>
      </w:r>
      <w:r w:rsidR="00593FDA" w:rsidRPr="00243B2C">
        <w:t>.</w:t>
      </w:r>
      <w:r w:rsidR="00593FDA" w:rsidRPr="009A6940">
        <w:t xml:space="preserve"> Η πρώτη προσπάθεια έλαβε χώρα το 1981 με την </w:t>
      </w:r>
      <w:r w:rsidR="00243B2C">
        <w:t xml:space="preserve">«Επιτροπή </w:t>
      </w:r>
      <w:proofErr w:type="spellStart"/>
      <w:r w:rsidR="00243B2C">
        <w:lastRenderedPageBreak/>
        <w:t>Χαρισσοπούλου</w:t>
      </w:r>
      <w:proofErr w:type="spellEnd"/>
      <w:r w:rsidR="00243B2C">
        <w:t>»</w:t>
      </w:r>
      <w:r w:rsidR="00593FDA" w:rsidRPr="009A6940">
        <w:t xml:space="preserve">, αλλά τις βάσεις για ουσιαστικές αλλαγές έθεσε </w:t>
      </w:r>
      <w:r w:rsidR="00243B2C">
        <w:t>η «Έκθεση της Επιτροπής Καρατζά»</w:t>
      </w:r>
      <w:r w:rsidR="00593FDA" w:rsidRPr="009A6940">
        <w:t xml:space="preserve"> το 1987, που πρότεινε την απαγκίστρωση των ελληνικών τραπεζών από την </w:t>
      </w:r>
      <w:r w:rsidR="00573E36">
        <w:t>Τράπεζα της Ελλάδος (</w:t>
      </w:r>
      <w:proofErr w:type="spellStart"/>
      <w:r w:rsidR="00593FDA" w:rsidRPr="009A6940">
        <w:t>ΤτΕ</w:t>
      </w:r>
      <w:proofErr w:type="spellEnd"/>
      <w:r w:rsidR="00573E36">
        <w:t>)</w:t>
      </w:r>
      <w:r w:rsidR="00593FDA" w:rsidRPr="009A6940">
        <w:t xml:space="preserve"> και την κρατική εξουσία κατ’ επέκταση</w:t>
      </w:r>
      <w:r w:rsidR="00243B2C">
        <w:t>.</w:t>
      </w:r>
    </w:p>
    <w:p w:rsidR="00593FDA" w:rsidRPr="00593FDA" w:rsidRDefault="00426A2D" w:rsidP="00243B2C">
      <w:pPr>
        <w:spacing w:line="360" w:lineRule="auto"/>
        <w:ind w:firstLine="720"/>
        <w:jc w:val="both"/>
        <w:rPr>
          <w:rFonts w:eastAsiaTheme="minorHAnsi"/>
          <w:lang w:eastAsia="en-US"/>
        </w:rPr>
      </w:pPr>
      <w:r w:rsidRPr="00426A2D">
        <w:rPr>
          <w:rFonts w:eastAsiaTheme="minorHAnsi"/>
          <w:lang w:eastAsia="en-US"/>
        </w:rPr>
        <w:t xml:space="preserve">Στις αρχές της δεκαετίας του ’90 οι τράπεζες ήρθαν αντιμέτωπες με υψηλά επίπεδα πληθωρισμού, αυξημένα επιτόκια και μειωμένη επενδυτική δραστηριότητα. Επόμενο ήταν να ακολουθήσει μια περίοδος ζωτικών αλλαγών, με τον παραδοσιακό τραπεζικό τομέα να δίνει τη θέση του σε μια πιο σύγχρονη μορφή προσφέροντας πλέον ανταγωνιστικά και καινοτόμα προϊόντα και υπηρεσίες. </w:t>
      </w:r>
      <w:r w:rsidR="00593FDA">
        <w:rPr>
          <w:rFonts w:eastAsiaTheme="minorHAnsi"/>
          <w:lang w:eastAsia="en-US"/>
        </w:rPr>
        <w:t xml:space="preserve">Σε αυτό συνέβαλε και </w:t>
      </w:r>
      <w:r w:rsidR="00593FDA" w:rsidRPr="009A6940">
        <w:t>η Δεύτερη Τραπεζική Οδηγία (Οδηγία 89/646/ΕΟΚ) το 1989 που αφορούσε την εγκατάσταση, τη λειτουργία και την εποπτεία των τραπεζικών ιδρυμάτων (</w:t>
      </w:r>
      <w:proofErr w:type="spellStart"/>
      <w:r w:rsidR="00593FDA" w:rsidRPr="00243B2C">
        <w:rPr>
          <w:lang w:val="en-US"/>
        </w:rPr>
        <w:t>Tsionas</w:t>
      </w:r>
      <w:proofErr w:type="spellEnd"/>
      <w:r w:rsidR="00593FDA" w:rsidRPr="00243B2C">
        <w:t xml:space="preserve">, </w:t>
      </w:r>
      <w:r w:rsidR="00243B2C" w:rsidRPr="00243B2C">
        <w:rPr>
          <w:lang w:val="en-US"/>
        </w:rPr>
        <w:t>et</w:t>
      </w:r>
      <w:r w:rsidR="00243B2C" w:rsidRPr="00243B2C">
        <w:t xml:space="preserve"> </w:t>
      </w:r>
      <w:r w:rsidR="00243B2C" w:rsidRPr="00243B2C">
        <w:rPr>
          <w:lang w:val="en-US"/>
        </w:rPr>
        <w:t>al</w:t>
      </w:r>
      <w:r w:rsidR="00243B2C" w:rsidRPr="00243B2C">
        <w:t>.,</w:t>
      </w:r>
      <w:r w:rsidR="00593FDA" w:rsidRPr="00243B2C">
        <w:t xml:space="preserve"> 2003)</w:t>
      </w:r>
      <w:r w:rsidR="00593FDA" w:rsidRPr="009A6940">
        <w:t>, αλλά και την επέκταση των τραπεζικών εργασιών στις ασφαλιστικές και επενδυτικές υπηρεσίες (</w:t>
      </w:r>
      <w:proofErr w:type="spellStart"/>
      <w:r w:rsidR="00593FDA" w:rsidRPr="00393FBE">
        <w:rPr>
          <w:lang w:val="en-US"/>
        </w:rPr>
        <w:t>Liargovas</w:t>
      </w:r>
      <w:proofErr w:type="spellEnd"/>
      <w:r w:rsidR="00593FDA" w:rsidRPr="00393FBE">
        <w:t xml:space="preserve">, </w:t>
      </w:r>
      <w:proofErr w:type="spellStart"/>
      <w:r w:rsidR="00593FDA" w:rsidRPr="00393FBE">
        <w:rPr>
          <w:lang w:val="en-US"/>
        </w:rPr>
        <w:t>Repousis</w:t>
      </w:r>
      <w:proofErr w:type="spellEnd"/>
      <w:r w:rsidR="00593FDA" w:rsidRPr="00393FBE">
        <w:t>, 2011</w:t>
      </w:r>
      <w:r w:rsidR="00393FBE" w:rsidRPr="00393FBE">
        <w:t xml:space="preserve">; </w:t>
      </w:r>
      <w:proofErr w:type="spellStart"/>
      <w:r w:rsidR="00393FBE" w:rsidRPr="00393FBE">
        <w:rPr>
          <w:lang w:val="en-US"/>
        </w:rPr>
        <w:t>Mylonidis</w:t>
      </w:r>
      <w:proofErr w:type="spellEnd"/>
      <w:r w:rsidR="00393FBE" w:rsidRPr="00393FBE">
        <w:t xml:space="preserve"> &amp; </w:t>
      </w:r>
      <w:proofErr w:type="spellStart"/>
      <w:r w:rsidR="00393FBE" w:rsidRPr="00393FBE">
        <w:rPr>
          <w:lang w:val="en-US"/>
        </w:rPr>
        <w:t>Kelnikola</w:t>
      </w:r>
      <w:proofErr w:type="spellEnd"/>
      <w:r w:rsidR="00393FBE" w:rsidRPr="00393FBE">
        <w:t>, 2005</w:t>
      </w:r>
      <w:r w:rsidR="00593FDA" w:rsidRPr="00393FBE">
        <w:t xml:space="preserve">). </w:t>
      </w:r>
      <w:r w:rsidR="00593FDA">
        <w:t>Η ενσωμάτωση των παραπάνω ο</w:t>
      </w:r>
      <w:r w:rsidR="00593FDA" w:rsidRPr="009A6940">
        <w:t>δηγιών στην ελληνική τραπεζική νομοθεσία, έθεσε τις βάσεις για την απελευθέρω</w:t>
      </w:r>
      <w:r w:rsidR="00593FDA">
        <w:t>ση των χρηματοπιστωτικών αγορών. Πρ</w:t>
      </w:r>
      <w:r w:rsidR="00593FDA" w:rsidRPr="009A6940">
        <w:t>άγματι, κατά τη δεκαετία του 1990 σημειώθηκαν σημαντικές αλλαγές όπως:</w:t>
      </w:r>
    </w:p>
    <w:p w:rsidR="00593FDA" w:rsidRPr="00067223" w:rsidRDefault="00573E36" w:rsidP="002E12D2">
      <w:pPr>
        <w:pStyle w:val="ae"/>
        <w:numPr>
          <w:ilvl w:val="0"/>
          <w:numId w:val="14"/>
        </w:numPr>
        <w:spacing w:after="200" w:line="360" w:lineRule="auto"/>
        <w:contextualSpacing/>
        <w:jc w:val="both"/>
      </w:pPr>
      <w:r w:rsidRPr="00777193">
        <w:rPr>
          <w:b/>
        </w:rPr>
        <w:t>Η</w:t>
      </w:r>
      <w:r w:rsidR="00593FDA" w:rsidRPr="009A6940">
        <w:t xml:space="preserve"> </w:t>
      </w:r>
      <w:r w:rsidR="00593FDA" w:rsidRPr="00777193">
        <w:rPr>
          <w:b/>
        </w:rPr>
        <w:t>απελευθέρωση των επιτοκίων</w:t>
      </w:r>
      <w:r w:rsidR="00593FDA" w:rsidRPr="009A6940">
        <w:t xml:space="preserve"> με τις δυνάμεις της αγοράς να καθορίζουν πλέον τα επιτόκια χορηγήσεων και καταθέσεων και τα τραπεζικά ιδρύματα να είναι ελεύθερα να εφαρμό</w:t>
      </w:r>
      <w:r>
        <w:t>σουν την πολιτική που επιθυμούν.</w:t>
      </w:r>
      <w:r w:rsidR="00593FDA" w:rsidRPr="009A6940">
        <w:t xml:space="preserve"> </w:t>
      </w:r>
    </w:p>
    <w:p w:rsidR="00593FDA" w:rsidRPr="00067223" w:rsidRDefault="00573E36" w:rsidP="002E12D2">
      <w:pPr>
        <w:pStyle w:val="ae"/>
        <w:numPr>
          <w:ilvl w:val="0"/>
          <w:numId w:val="14"/>
        </w:numPr>
        <w:spacing w:after="200" w:line="360" w:lineRule="auto"/>
        <w:contextualSpacing/>
        <w:jc w:val="both"/>
      </w:pPr>
      <w:r w:rsidRPr="00777193">
        <w:rPr>
          <w:b/>
        </w:rPr>
        <w:t>Η</w:t>
      </w:r>
      <w:r w:rsidR="00593FDA" w:rsidRPr="00777193">
        <w:rPr>
          <w:b/>
        </w:rPr>
        <w:t xml:space="preserve"> κατάργηση των διαφόρων πιστωτικών κανόνων</w:t>
      </w:r>
      <w:r w:rsidR="00593FDA" w:rsidRPr="009A6940">
        <w:t>, όπως η υποχρέωση των τραπεζών να επενδύουν ένα ορισμένο ποσό σε τίτλους του ελληνικού δημοσίου</w:t>
      </w:r>
      <w:r w:rsidR="00593FDA" w:rsidRPr="009A6940">
        <w:rPr>
          <w:rStyle w:val="ac"/>
        </w:rPr>
        <w:footnoteReference w:id="1"/>
      </w:r>
      <w:r w:rsidR="00593FDA" w:rsidRPr="009A6940">
        <w:t xml:space="preserve"> ή να χρηματοδοτούν συγκεκριμένους κλάδους </w:t>
      </w:r>
      <w:r>
        <w:t>της οικονομίας, πχ. μεταποίηση.</w:t>
      </w:r>
    </w:p>
    <w:p w:rsidR="00593FDA" w:rsidRPr="00777193" w:rsidRDefault="00573E36" w:rsidP="002E12D2">
      <w:pPr>
        <w:pStyle w:val="ae"/>
        <w:numPr>
          <w:ilvl w:val="0"/>
          <w:numId w:val="14"/>
        </w:numPr>
        <w:spacing w:line="360" w:lineRule="auto"/>
        <w:contextualSpacing/>
        <w:jc w:val="both"/>
        <w:rPr>
          <w:rFonts w:eastAsiaTheme="minorHAnsi"/>
          <w:lang w:eastAsia="en-US"/>
        </w:rPr>
      </w:pPr>
      <w:r w:rsidRPr="00777193">
        <w:rPr>
          <w:b/>
        </w:rPr>
        <w:t>Η</w:t>
      </w:r>
      <w:r w:rsidR="00593FDA" w:rsidRPr="00777193">
        <w:rPr>
          <w:b/>
        </w:rPr>
        <w:t xml:space="preserve"> απελευθέρωση της κίνησης των κεφαλαίων </w:t>
      </w:r>
      <w:r w:rsidR="00593FDA" w:rsidRPr="009A6940">
        <w:t>που δίνει</w:t>
      </w:r>
      <w:r w:rsidR="00593FDA" w:rsidRPr="00777193">
        <w:rPr>
          <w:b/>
        </w:rPr>
        <w:t xml:space="preserve"> </w:t>
      </w:r>
      <w:r w:rsidR="00593FDA" w:rsidRPr="009A6940">
        <w:t>τη δυνατότητα στα πιστωτικά ιδρύματα να επενδύουν ελεύθερα τα κεφάλαιά τους σε διεθνή χρηματοπιστωτικά προϊόντα, ενώ οι επιχειρήσεις μπορούν να δανείζονται σε ξένο συνάλλαγμα, επιδιώκοντας καλύτερες αποδόσεις</w:t>
      </w:r>
      <w:r w:rsidR="00593FDA">
        <w:t>.</w:t>
      </w:r>
    </w:p>
    <w:p w:rsidR="00497573" w:rsidRDefault="00426A2D" w:rsidP="001800FD">
      <w:pPr>
        <w:spacing w:line="360" w:lineRule="auto"/>
        <w:ind w:firstLine="720"/>
        <w:jc w:val="both"/>
        <w:rPr>
          <w:rFonts w:eastAsiaTheme="minorHAnsi"/>
          <w:lang w:eastAsia="en-US"/>
        </w:rPr>
      </w:pPr>
      <w:r w:rsidRPr="00426A2D">
        <w:rPr>
          <w:rFonts w:eastAsiaTheme="minorHAnsi"/>
          <w:lang w:eastAsia="en-US"/>
        </w:rPr>
        <w:t xml:space="preserve">Από τα μέσα του 1990, ένας μεγάλος αριθμός συγχωνεύσεων και εξαγορών πραγματοποιήθηκε από τα ελληνικά τραπεζικά ιδρύματα, ενισχύοντας έτσι την διεθνή εξάπλωση των τραπεζικών τους δραστηριοτήτων. </w:t>
      </w:r>
      <w:r w:rsidR="00497573" w:rsidRPr="00197BFD">
        <w:rPr>
          <w:rFonts w:eastAsiaTheme="minorHAnsi"/>
          <w:lang w:eastAsia="en-US"/>
        </w:rPr>
        <w:t xml:space="preserve">Οι συγχωνεύσεις και εξαγορές που </w:t>
      </w:r>
      <w:r w:rsidR="00497573" w:rsidRPr="00197BFD">
        <w:rPr>
          <w:rFonts w:eastAsiaTheme="minorHAnsi"/>
          <w:lang w:eastAsia="en-US"/>
        </w:rPr>
        <w:lastRenderedPageBreak/>
        <w:t xml:space="preserve">πραγματοποιήθηκαν στην Ελλάδα από το 1996 μέχρι σήμερα </w:t>
      </w:r>
      <w:r w:rsidR="00497573">
        <w:rPr>
          <w:rFonts w:eastAsiaTheme="minorHAnsi"/>
          <w:lang w:eastAsia="en-US"/>
        </w:rPr>
        <w:t>παρουσιάζονται στον πίνακα</w:t>
      </w:r>
      <w:r w:rsidR="001800FD" w:rsidRPr="001800FD">
        <w:rPr>
          <w:rFonts w:eastAsiaTheme="minorHAnsi"/>
          <w:lang w:eastAsia="en-US"/>
        </w:rPr>
        <w:t xml:space="preserve"> 4.2</w:t>
      </w:r>
      <w:r w:rsidR="00613B48">
        <w:rPr>
          <w:rFonts w:eastAsiaTheme="minorHAnsi"/>
          <w:lang w:eastAsia="en-US"/>
        </w:rPr>
        <w:t>7</w:t>
      </w:r>
      <w:r w:rsidR="00497573">
        <w:rPr>
          <w:rFonts w:eastAsiaTheme="minorHAnsi"/>
          <w:lang w:eastAsia="en-US"/>
        </w:rPr>
        <w:t>.</w:t>
      </w:r>
    </w:p>
    <w:p w:rsidR="00497573" w:rsidRPr="00197BFD" w:rsidRDefault="00497573" w:rsidP="00777193">
      <w:pPr>
        <w:jc w:val="center"/>
        <w:rPr>
          <w:rFonts w:eastAsiaTheme="minorHAnsi"/>
          <w:lang w:eastAsia="en-US"/>
        </w:rPr>
      </w:pPr>
      <w:r w:rsidRPr="005645BA">
        <w:rPr>
          <w:rFonts w:eastAsiaTheme="minorHAnsi"/>
          <w:b/>
          <w:lang w:eastAsia="en-US"/>
        </w:rPr>
        <w:t>Πίνακας</w:t>
      </w:r>
      <w:r w:rsidR="00DC7EB8">
        <w:rPr>
          <w:rFonts w:eastAsiaTheme="minorHAnsi"/>
          <w:b/>
          <w:lang w:eastAsia="en-US"/>
        </w:rPr>
        <w:t xml:space="preserve"> 4.2</w:t>
      </w:r>
      <w:r w:rsidR="00613B48">
        <w:rPr>
          <w:rFonts w:eastAsiaTheme="minorHAnsi"/>
          <w:b/>
          <w:lang w:eastAsia="en-US"/>
        </w:rPr>
        <w:t>7</w:t>
      </w:r>
      <w:r w:rsidR="00DC7EB8">
        <w:rPr>
          <w:rFonts w:eastAsiaTheme="minorHAnsi"/>
          <w:b/>
          <w:lang w:eastAsia="en-US"/>
        </w:rPr>
        <w:t xml:space="preserve"> </w:t>
      </w:r>
      <w:r w:rsidR="00DC7EB8" w:rsidRPr="00DC7EB8">
        <w:rPr>
          <w:rFonts w:eastAsiaTheme="minorHAnsi"/>
          <w:lang w:eastAsia="en-US"/>
        </w:rPr>
        <w:t>Σ</w:t>
      </w:r>
      <w:r>
        <w:rPr>
          <w:rFonts w:eastAsiaTheme="minorHAnsi"/>
          <w:lang w:eastAsia="en-US"/>
        </w:rPr>
        <w:t>υγχωνεύσεις Εξαγορές στην Ελλάδα</w:t>
      </w:r>
    </w:p>
    <w:tbl>
      <w:tblPr>
        <w:tblStyle w:val="23"/>
        <w:tblW w:w="0" w:type="auto"/>
        <w:jc w:val="center"/>
        <w:tblLook w:val="04A0" w:firstRow="1" w:lastRow="0" w:firstColumn="1" w:lastColumn="0" w:noHBand="0" w:noVBand="1"/>
      </w:tblPr>
      <w:tblGrid>
        <w:gridCol w:w="1139"/>
        <w:gridCol w:w="2536"/>
        <w:gridCol w:w="4135"/>
      </w:tblGrid>
      <w:tr w:rsidR="00497573" w:rsidRPr="00777193" w:rsidTr="00777193">
        <w:trPr>
          <w:jc w:val="center"/>
        </w:trPr>
        <w:tc>
          <w:tcPr>
            <w:tcW w:w="1139" w:type="dxa"/>
            <w:shd w:val="clear" w:color="auto" w:fill="A6A6A6" w:themeFill="background1" w:themeFillShade="A6"/>
          </w:tcPr>
          <w:p w:rsidR="00497573" w:rsidRPr="00777193" w:rsidRDefault="00497573" w:rsidP="00172802">
            <w:pPr>
              <w:autoSpaceDE w:val="0"/>
              <w:autoSpaceDN w:val="0"/>
              <w:adjustRightInd w:val="0"/>
              <w:spacing w:line="360" w:lineRule="auto"/>
              <w:rPr>
                <w:rFonts w:ascii="Times New Roman" w:hAnsi="Times New Roman" w:cs="Times New Roman"/>
                <w:b/>
                <w:sz w:val="22"/>
                <w:szCs w:val="22"/>
              </w:rPr>
            </w:pPr>
            <w:r w:rsidRPr="00777193">
              <w:rPr>
                <w:rFonts w:ascii="Times New Roman" w:hAnsi="Times New Roman" w:cs="Times New Roman"/>
                <w:b/>
                <w:sz w:val="22"/>
                <w:szCs w:val="22"/>
              </w:rPr>
              <w:t>ΕΤΟΣ</w:t>
            </w:r>
          </w:p>
        </w:tc>
        <w:tc>
          <w:tcPr>
            <w:tcW w:w="2536" w:type="dxa"/>
            <w:shd w:val="clear" w:color="auto" w:fill="A6A6A6" w:themeFill="background1" w:themeFillShade="A6"/>
          </w:tcPr>
          <w:p w:rsidR="00497573" w:rsidRPr="00777193" w:rsidRDefault="00497573" w:rsidP="00172802">
            <w:pPr>
              <w:autoSpaceDE w:val="0"/>
              <w:autoSpaceDN w:val="0"/>
              <w:adjustRightInd w:val="0"/>
              <w:spacing w:line="360" w:lineRule="auto"/>
              <w:rPr>
                <w:rFonts w:ascii="Times New Roman" w:hAnsi="Times New Roman" w:cs="Times New Roman"/>
                <w:b/>
                <w:sz w:val="22"/>
                <w:szCs w:val="22"/>
              </w:rPr>
            </w:pPr>
            <w:r w:rsidRPr="00777193">
              <w:rPr>
                <w:rFonts w:ascii="Times New Roman" w:hAnsi="Times New Roman" w:cs="Times New Roman"/>
                <w:b/>
                <w:sz w:val="22"/>
                <w:szCs w:val="22"/>
              </w:rPr>
              <w:t>ΑΓΟΡΑΣΤΗΣ</w:t>
            </w:r>
          </w:p>
        </w:tc>
        <w:tc>
          <w:tcPr>
            <w:tcW w:w="3581" w:type="dxa"/>
            <w:shd w:val="clear" w:color="auto" w:fill="A6A6A6" w:themeFill="background1" w:themeFillShade="A6"/>
          </w:tcPr>
          <w:p w:rsidR="00497573" w:rsidRPr="00777193" w:rsidRDefault="00497573" w:rsidP="005645BA">
            <w:pPr>
              <w:autoSpaceDE w:val="0"/>
              <w:autoSpaceDN w:val="0"/>
              <w:adjustRightInd w:val="0"/>
              <w:spacing w:line="360" w:lineRule="auto"/>
              <w:rPr>
                <w:rFonts w:ascii="Times New Roman" w:hAnsi="Times New Roman" w:cs="Times New Roman"/>
                <w:b/>
                <w:sz w:val="22"/>
                <w:szCs w:val="22"/>
              </w:rPr>
            </w:pPr>
            <w:r w:rsidRPr="00777193">
              <w:rPr>
                <w:rFonts w:ascii="Times New Roman" w:hAnsi="Times New Roman" w:cs="Times New Roman"/>
                <w:b/>
                <w:sz w:val="22"/>
                <w:szCs w:val="22"/>
              </w:rPr>
              <w:t>ΣΥΓΧΩΝΕΥΘΕΙΣΑ/ΕΞΑΓΟΡΑΣΘ</w:t>
            </w:r>
            <w:r w:rsidR="005645BA" w:rsidRPr="00777193">
              <w:rPr>
                <w:rFonts w:ascii="Times New Roman" w:hAnsi="Times New Roman" w:cs="Times New Roman"/>
                <w:b/>
                <w:sz w:val="22"/>
                <w:szCs w:val="22"/>
              </w:rPr>
              <w:t>ΕΙΣ</w:t>
            </w:r>
            <w:r w:rsidRPr="00777193">
              <w:rPr>
                <w:rFonts w:ascii="Times New Roman" w:hAnsi="Times New Roman" w:cs="Times New Roman"/>
                <w:b/>
                <w:sz w:val="22"/>
                <w:szCs w:val="22"/>
              </w:rPr>
              <w:t>Α</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1996</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EFG</w:t>
            </w:r>
            <w:r w:rsidRPr="00777193">
              <w:rPr>
                <w:rFonts w:ascii="Times New Roman" w:hAnsi="Times New Roman" w:cs="Times New Roman"/>
                <w:sz w:val="22"/>
                <w:szCs w:val="22"/>
              </w:rPr>
              <w:t xml:space="preserve"> </w:t>
            </w:r>
            <w:proofErr w:type="spellStart"/>
            <w:r w:rsidRPr="00777193">
              <w:rPr>
                <w:rFonts w:ascii="Times New Roman" w:hAnsi="Times New Roman" w:cs="Times New Roman"/>
                <w:sz w:val="22"/>
                <w:szCs w:val="22"/>
                <w:lang w:val="en-US"/>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Interbank</w:t>
            </w:r>
            <w:r w:rsidRPr="00777193">
              <w:rPr>
                <w:rFonts w:ascii="Times New Roman" w:hAnsi="Times New Roman" w:cs="Times New Roman"/>
                <w:sz w:val="22"/>
                <w:szCs w:val="22"/>
              </w:rPr>
              <w:t xml:space="preserve"> Ελλάδος</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1997</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Κτηματική Τράπεζα</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Στεγαστική Τράπεζα</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 xml:space="preserve">Ελληνικό δίκτυο </w:t>
            </w:r>
            <w:r w:rsidRPr="00777193">
              <w:rPr>
                <w:rFonts w:ascii="Times New Roman" w:hAnsi="Times New Roman" w:cs="Times New Roman"/>
                <w:sz w:val="22"/>
                <w:szCs w:val="22"/>
                <w:lang w:val="en-US"/>
              </w:rPr>
              <w:t>Chase Manhattan</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1998</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Τράπεζα της Ελλάδος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Κτηματική Τράπεζα Ελλάδος (ΕΚΤΕ)</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EFG </w:t>
            </w:r>
            <w:proofErr w:type="spellStart"/>
            <w:r w:rsidRPr="00777193">
              <w:rPr>
                <w:rFonts w:ascii="Times New Roman" w:hAnsi="Times New Roman" w:cs="Times New Roman"/>
                <w:sz w:val="22"/>
                <w:szCs w:val="22"/>
                <w:lang w:val="en-US"/>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Κρήτης, Αθηνών</w:t>
            </w:r>
          </w:p>
        </w:tc>
      </w:tr>
      <w:tr w:rsidR="00497573" w:rsidRPr="00777193" w:rsidTr="00777193">
        <w:trPr>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 xml:space="preserve">Τράπεζα Μακεδονίας-Θράκης, Χίος </w:t>
            </w:r>
            <w:r w:rsidRPr="00777193">
              <w:rPr>
                <w:rFonts w:ascii="Times New Roman" w:hAnsi="Times New Roman" w:cs="Times New Roman"/>
                <w:sz w:val="22"/>
                <w:szCs w:val="22"/>
                <w:lang w:val="en-US"/>
              </w:rPr>
              <w:t>Bank</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Credit</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Lyonnais</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Εγνατία Τράπεζα</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Κεντρικής Ελλάδος</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1999</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 xml:space="preserve">Alpha </w:t>
            </w:r>
            <w:r w:rsidRPr="00777193">
              <w:rPr>
                <w:rFonts w:ascii="Times New Roman" w:hAnsi="Times New Roman" w:cs="Times New Roman"/>
                <w:sz w:val="22"/>
                <w:szCs w:val="22"/>
              </w:rPr>
              <w:t>Τράπεζα Πίστεως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Ιονική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Deutsche Bank</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 xml:space="preserve">10% της </w:t>
            </w:r>
            <w:r w:rsidRPr="00777193">
              <w:rPr>
                <w:rFonts w:ascii="Times New Roman" w:hAnsi="Times New Roman" w:cs="Times New Roman"/>
                <w:sz w:val="22"/>
                <w:szCs w:val="22"/>
                <w:lang w:val="en-US"/>
              </w:rPr>
              <w:t xml:space="preserve">EFG </w:t>
            </w:r>
            <w:proofErr w:type="spellStart"/>
            <w:r w:rsidRPr="00777193">
              <w:rPr>
                <w:rFonts w:ascii="Times New Roman" w:hAnsi="Times New Roman" w:cs="Times New Roman"/>
                <w:sz w:val="22"/>
                <w:szCs w:val="22"/>
                <w:lang w:val="en-US"/>
              </w:rPr>
              <w:t>Eurobank</w:t>
            </w:r>
            <w:proofErr w:type="spellEnd"/>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National Westminster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 xml:space="preserve">Telesis </w:t>
            </w:r>
            <w:proofErr w:type="spellStart"/>
            <w:r w:rsidRPr="00777193">
              <w:rPr>
                <w:rFonts w:ascii="Times New Roman" w:hAnsi="Times New Roman" w:cs="Times New Roman"/>
                <w:sz w:val="22"/>
                <w:szCs w:val="22"/>
              </w:rPr>
              <w:t>Χρημ</w:t>
            </w:r>
            <w:proofErr w:type="spellEnd"/>
            <w:r w:rsidRPr="00777193">
              <w:rPr>
                <w:rFonts w:ascii="Times New Roman" w:hAnsi="Times New Roman" w:cs="Times New Roman"/>
                <w:sz w:val="22"/>
                <w:szCs w:val="22"/>
              </w:rPr>
              <w:t>/κη</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Δωρική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2000</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 xml:space="preserve">EFG </w:t>
            </w:r>
            <w:proofErr w:type="spellStart"/>
            <w:r w:rsidRPr="00777193">
              <w:rPr>
                <w:rFonts w:ascii="Times New Roman" w:hAnsi="Times New Roman" w:cs="Times New Roman"/>
                <w:sz w:val="22"/>
                <w:szCs w:val="22"/>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Εργασίας</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Credit </w:t>
            </w:r>
            <w:proofErr w:type="spellStart"/>
            <w:r w:rsidRPr="00777193">
              <w:rPr>
                <w:rFonts w:ascii="Times New Roman" w:hAnsi="Times New Roman" w:cs="Times New Roman"/>
                <w:sz w:val="22"/>
                <w:szCs w:val="22"/>
                <w:lang w:val="en-US"/>
              </w:rPr>
              <w:t>Agricole</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6,7% της Εμπορικής Τράπεζας</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BCB</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50% </w:t>
            </w:r>
            <w:r w:rsidRPr="00777193">
              <w:rPr>
                <w:rFonts w:ascii="Times New Roman" w:hAnsi="Times New Roman" w:cs="Times New Roman"/>
                <w:sz w:val="22"/>
                <w:szCs w:val="22"/>
              </w:rPr>
              <w:t xml:space="preserve">της </w:t>
            </w:r>
            <w:r w:rsidRPr="00777193">
              <w:rPr>
                <w:rFonts w:ascii="Times New Roman" w:hAnsi="Times New Roman" w:cs="Times New Roman"/>
                <w:sz w:val="22"/>
                <w:szCs w:val="22"/>
                <w:lang w:val="en-US"/>
              </w:rPr>
              <w:t>NOVA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2001</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Marfin</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Πειραιώς</w:t>
            </w:r>
            <w:r w:rsidRPr="00777193">
              <w:rPr>
                <w:rFonts w:ascii="Times New Roman" w:hAnsi="Times New Roman" w:cs="Times New Roman"/>
                <w:sz w:val="22"/>
                <w:szCs w:val="22"/>
                <w:lang w:val="en-US"/>
              </w:rPr>
              <w:t xml:space="preserve"> PRIME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EFG </w:t>
            </w:r>
            <w:proofErr w:type="spellStart"/>
            <w:r w:rsidRPr="00777193">
              <w:rPr>
                <w:rFonts w:ascii="Times New Roman" w:hAnsi="Times New Roman" w:cs="Times New Roman"/>
                <w:sz w:val="22"/>
                <w:szCs w:val="22"/>
                <w:lang w:val="en-US"/>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 xml:space="preserve">Telesis </w:t>
            </w:r>
            <w:r w:rsidRPr="00777193">
              <w:rPr>
                <w:rFonts w:ascii="Times New Roman" w:hAnsi="Times New Roman" w:cs="Times New Roman"/>
                <w:sz w:val="22"/>
                <w:szCs w:val="22"/>
              </w:rPr>
              <w:t>Τράπεζα Επενδύσεων</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2002</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EFG </w:t>
            </w:r>
            <w:proofErr w:type="spellStart"/>
            <w:r w:rsidRPr="00777193">
              <w:rPr>
                <w:rFonts w:ascii="Times New Roman" w:hAnsi="Times New Roman" w:cs="Times New Roman"/>
                <w:sz w:val="22"/>
                <w:szCs w:val="22"/>
                <w:lang w:val="en-US"/>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UnitBank</w:t>
            </w:r>
            <w:proofErr w:type="spellEnd"/>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Τράπεζα Βιομηχανικής Ανάπτυξης (ΕΤΒΑ)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ΑΣΠΙΣ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Ελληνικό δίκτυο</w:t>
            </w:r>
            <w:r w:rsidRPr="00777193">
              <w:rPr>
                <w:rFonts w:ascii="Times New Roman" w:hAnsi="Times New Roman" w:cs="Times New Roman"/>
                <w:sz w:val="22"/>
                <w:szCs w:val="22"/>
                <w:lang w:val="en-US"/>
              </w:rPr>
              <w:t xml:space="preserve"> ABN-AMRO</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2003</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Societe</w:t>
            </w:r>
            <w:proofErr w:type="spellEnd"/>
            <w:r w:rsidRPr="00777193">
              <w:rPr>
                <w:rFonts w:ascii="Times New Roman" w:hAnsi="Times New Roman" w:cs="Times New Roman"/>
                <w:sz w:val="22"/>
                <w:szCs w:val="22"/>
                <w:lang w:val="en-US"/>
              </w:rPr>
              <w:t xml:space="preserve"> </w:t>
            </w:r>
            <w:proofErr w:type="spellStart"/>
            <w:r w:rsidRPr="00777193">
              <w:rPr>
                <w:rFonts w:ascii="Times New Roman" w:hAnsi="Times New Roman" w:cs="Times New Roman"/>
                <w:sz w:val="22"/>
                <w:szCs w:val="22"/>
                <w:lang w:val="en-US"/>
              </w:rPr>
              <w:t>Generale</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Γενική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2004</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Εμπορική Τράπεζα</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Επενδύσεων</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2005</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Millennium BCP</w:t>
            </w:r>
            <w:r w:rsidRPr="00777193">
              <w:rPr>
                <w:rFonts w:ascii="Times New Roman" w:hAnsi="Times New Roman" w:cs="Times New Roman"/>
                <w:sz w:val="22"/>
                <w:szCs w:val="22"/>
              </w:rPr>
              <w:t>(Πορτογαλία)</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Novabank</w:t>
            </w:r>
            <w:proofErr w:type="spellEnd"/>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2006</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Marfin</w:t>
            </w:r>
            <w:proofErr w:type="spellEnd"/>
            <w:r w:rsidRPr="00777193">
              <w:rPr>
                <w:rFonts w:ascii="Times New Roman" w:hAnsi="Times New Roman" w:cs="Times New Roman"/>
                <w:sz w:val="22"/>
                <w:szCs w:val="22"/>
                <w:lang w:val="en-US"/>
              </w:rPr>
              <w:t xml:space="preserve"> Bank</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45% </w:t>
            </w:r>
            <w:proofErr w:type="spellStart"/>
            <w:r w:rsidRPr="00777193">
              <w:rPr>
                <w:rFonts w:ascii="Times New Roman" w:hAnsi="Times New Roman" w:cs="Times New Roman"/>
                <w:sz w:val="22"/>
                <w:szCs w:val="22"/>
                <w:lang w:val="en-US"/>
              </w:rPr>
              <w:t>Egnatia</w:t>
            </w:r>
            <w:proofErr w:type="spellEnd"/>
            <w:r w:rsidRPr="00777193">
              <w:rPr>
                <w:rFonts w:ascii="Times New Roman" w:hAnsi="Times New Roman" w:cs="Times New Roman"/>
                <w:sz w:val="22"/>
                <w:szCs w:val="22"/>
                <w:lang w:val="en-US"/>
              </w:rPr>
              <w:t xml:space="preserve">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Proton Bank</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Ωμέγα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Credit </w:t>
            </w:r>
            <w:proofErr w:type="spellStart"/>
            <w:r w:rsidRPr="00777193">
              <w:rPr>
                <w:rFonts w:ascii="Times New Roman" w:hAnsi="Times New Roman" w:cs="Times New Roman"/>
                <w:sz w:val="22"/>
                <w:szCs w:val="22"/>
                <w:lang w:val="en-US"/>
              </w:rPr>
              <w:t>Agricol</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Εμπορική Τράπεζα</w:t>
            </w:r>
          </w:p>
        </w:tc>
      </w:tr>
      <w:tr w:rsidR="00497573" w:rsidRPr="000C510F"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2006-07</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Marfin</w:t>
            </w:r>
            <w:proofErr w:type="spellEnd"/>
            <w:r w:rsidRPr="00777193">
              <w:rPr>
                <w:rFonts w:ascii="Times New Roman" w:hAnsi="Times New Roman" w:cs="Times New Roman"/>
                <w:sz w:val="22"/>
                <w:szCs w:val="22"/>
                <w:lang w:val="en-US"/>
              </w:rPr>
              <w:t xml:space="preserve"> Popular Bank</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Συγχώνευση</w:t>
            </w:r>
            <w:r w:rsidRPr="00777193">
              <w:rPr>
                <w:rFonts w:ascii="Times New Roman" w:hAnsi="Times New Roman" w:cs="Times New Roman"/>
                <w:sz w:val="22"/>
                <w:szCs w:val="22"/>
                <w:lang w:val="en-US"/>
              </w:rPr>
              <w:t xml:space="preserve"> </w:t>
            </w:r>
            <w:r w:rsidRPr="00777193">
              <w:rPr>
                <w:rFonts w:ascii="Times New Roman" w:hAnsi="Times New Roman" w:cs="Times New Roman"/>
                <w:sz w:val="22"/>
                <w:szCs w:val="22"/>
              </w:rPr>
              <w:t>μεταξύ</w:t>
            </w:r>
            <w:r w:rsidRPr="00777193">
              <w:rPr>
                <w:rFonts w:ascii="Times New Roman" w:hAnsi="Times New Roman" w:cs="Times New Roman"/>
                <w:sz w:val="22"/>
                <w:szCs w:val="22"/>
                <w:lang w:val="en-US"/>
              </w:rPr>
              <w:t xml:space="preserve"> </w:t>
            </w:r>
            <w:proofErr w:type="spellStart"/>
            <w:r w:rsidRPr="00777193">
              <w:rPr>
                <w:rFonts w:ascii="Times New Roman" w:hAnsi="Times New Roman" w:cs="Times New Roman"/>
                <w:sz w:val="22"/>
                <w:szCs w:val="22"/>
                <w:lang w:val="en-US"/>
              </w:rPr>
              <w:t>Marfin</w:t>
            </w:r>
            <w:proofErr w:type="spellEnd"/>
            <w:r w:rsidRPr="00777193">
              <w:rPr>
                <w:rFonts w:ascii="Times New Roman" w:hAnsi="Times New Roman" w:cs="Times New Roman"/>
                <w:sz w:val="22"/>
                <w:szCs w:val="22"/>
                <w:lang w:val="en-US"/>
              </w:rPr>
              <w:t xml:space="preserve">, </w:t>
            </w:r>
            <w:proofErr w:type="spellStart"/>
            <w:r w:rsidRPr="00777193">
              <w:rPr>
                <w:rFonts w:ascii="Times New Roman" w:hAnsi="Times New Roman" w:cs="Times New Roman"/>
                <w:sz w:val="22"/>
                <w:szCs w:val="22"/>
                <w:lang w:val="en-US"/>
              </w:rPr>
              <w:t>Egnatia</w:t>
            </w:r>
            <w:proofErr w:type="spellEnd"/>
            <w:r w:rsidRPr="00777193">
              <w:rPr>
                <w:rFonts w:ascii="Times New Roman" w:hAnsi="Times New Roman" w:cs="Times New Roman"/>
                <w:sz w:val="22"/>
                <w:szCs w:val="22"/>
                <w:lang w:val="en-US"/>
              </w:rPr>
              <w:t xml:space="preserve"> </w:t>
            </w:r>
            <w:r w:rsidRPr="00777193">
              <w:rPr>
                <w:rFonts w:ascii="Times New Roman" w:hAnsi="Times New Roman" w:cs="Times New Roman"/>
                <w:sz w:val="22"/>
                <w:szCs w:val="22"/>
              </w:rPr>
              <w:t>και</w:t>
            </w:r>
            <w:r w:rsidRPr="00777193">
              <w:rPr>
                <w:rFonts w:ascii="Times New Roman" w:hAnsi="Times New Roman" w:cs="Times New Roman"/>
                <w:sz w:val="22"/>
                <w:szCs w:val="22"/>
                <w:lang w:val="en-US"/>
              </w:rPr>
              <w:t xml:space="preserve"> </w:t>
            </w:r>
            <w:proofErr w:type="spellStart"/>
            <w:r w:rsidRPr="00777193">
              <w:rPr>
                <w:rFonts w:ascii="Times New Roman" w:hAnsi="Times New Roman" w:cs="Times New Roman"/>
                <w:sz w:val="22"/>
                <w:szCs w:val="22"/>
                <w:lang w:val="en-US"/>
              </w:rPr>
              <w:t>Laiki</w:t>
            </w:r>
            <w:proofErr w:type="spellEnd"/>
            <w:r w:rsidRPr="00777193">
              <w:rPr>
                <w:rFonts w:ascii="Times New Roman" w:hAnsi="Times New Roman" w:cs="Times New Roman"/>
                <w:sz w:val="22"/>
                <w:szCs w:val="22"/>
                <w:lang w:val="en-US"/>
              </w:rPr>
              <w:t xml:space="preserve">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2012</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Αγροτική Τράπεζα, Γενική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2013</w:t>
            </w: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Τράπεζα Πειραιώς</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 xml:space="preserve">Τράπεζα Κύπρου, Ελληνική Τράπεζα, </w:t>
            </w:r>
            <w:r w:rsidRPr="00777193">
              <w:rPr>
                <w:rFonts w:ascii="Times New Roman" w:hAnsi="Times New Roman" w:cs="Times New Roman"/>
                <w:sz w:val="22"/>
                <w:szCs w:val="22"/>
                <w:lang w:val="en-US"/>
              </w:rPr>
              <w:t>Cyprus</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Popular</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Bank</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Millennium</w:t>
            </w:r>
            <w:r w:rsidRPr="00777193">
              <w:rPr>
                <w:rFonts w:ascii="Times New Roman" w:hAnsi="Times New Roman" w:cs="Times New Roman"/>
                <w:sz w:val="22"/>
                <w:szCs w:val="22"/>
              </w:rPr>
              <w:t xml:space="preserve"> </w:t>
            </w:r>
            <w:r w:rsidRPr="00777193">
              <w:rPr>
                <w:rFonts w:ascii="Times New Roman" w:hAnsi="Times New Roman" w:cs="Times New Roman"/>
                <w:sz w:val="22"/>
                <w:szCs w:val="22"/>
                <w:lang w:val="en-US"/>
              </w:rPr>
              <w:t>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lang w:val="en-US"/>
              </w:rPr>
              <w:t xml:space="preserve">EFG </w:t>
            </w:r>
            <w:proofErr w:type="spellStart"/>
            <w:r w:rsidRPr="00777193">
              <w:rPr>
                <w:rFonts w:ascii="Times New Roman" w:hAnsi="Times New Roman" w:cs="Times New Roman"/>
                <w:sz w:val="22"/>
                <w:szCs w:val="22"/>
                <w:lang w:val="en-US"/>
              </w:rPr>
              <w:t>Eurobank</w:t>
            </w:r>
            <w:proofErr w:type="spellEnd"/>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r w:rsidRPr="00777193">
              <w:rPr>
                <w:rFonts w:ascii="Times New Roman" w:hAnsi="Times New Roman" w:cs="Times New Roman"/>
                <w:sz w:val="22"/>
                <w:szCs w:val="22"/>
              </w:rPr>
              <w:t xml:space="preserve">Ταχυδρομικό Ταμιευτήριο, </w:t>
            </w:r>
            <w:r w:rsidRPr="00777193">
              <w:rPr>
                <w:rFonts w:ascii="Times New Roman" w:hAnsi="Times New Roman" w:cs="Times New Roman"/>
                <w:sz w:val="22"/>
                <w:szCs w:val="22"/>
                <w:lang w:val="en-US"/>
              </w:rPr>
              <w:t>Proton Bank</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Alpha Bank</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lang w:val="en-US"/>
              </w:rPr>
              <w:t xml:space="preserve">Credit </w:t>
            </w:r>
            <w:proofErr w:type="spellStart"/>
            <w:r w:rsidRPr="00777193">
              <w:rPr>
                <w:rFonts w:ascii="Times New Roman" w:hAnsi="Times New Roman" w:cs="Times New Roman"/>
                <w:sz w:val="22"/>
                <w:szCs w:val="22"/>
                <w:lang w:val="en-US"/>
              </w:rPr>
              <w:t>Agricol</w:t>
            </w:r>
            <w:proofErr w:type="spellEnd"/>
            <w:r w:rsidRPr="00777193">
              <w:rPr>
                <w:rFonts w:ascii="Times New Roman" w:hAnsi="Times New Roman" w:cs="Times New Roman"/>
                <w:sz w:val="22"/>
                <w:szCs w:val="22"/>
                <w:lang w:val="en-US"/>
              </w:rPr>
              <w:t>-</w:t>
            </w:r>
            <w:r w:rsidRPr="00777193">
              <w:rPr>
                <w:rFonts w:ascii="Times New Roman" w:hAnsi="Times New Roman" w:cs="Times New Roman"/>
                <w:sz w:val="22"/>
                <w:szCs w:val="22"/>
              </w:rPr>
              <w:t>Εμπορική Τράπεζα</w:t>
            </w:r>
          </w:p>
        </w:tc>
      </w:tr>
      <w:tr w:rsidR="00497573" w:rsidRPr="00777193" w:rsidTr="00777193">
        <w:trPr>
          <w:trHeight w:val="283"/>
          <w:jc w:val="center"/>
        </w:trPr>
        <w:tc>
          <w:tcPr>
            <w:tcW w:w="1139" w:type="dxa"/>
          </w:tcPr>
          <w:p w:rsidR="00497573" w:rsidRPr="00777193" w:rsidRDefault="00497573" w:rsidP="005645BA">
            <w:pPr>
              <w:autoSpaceDE w:val="0"/>
              <w:autoSpaceDN w:val="0"/>
              <w:adjustRightInd w:val="0"/>
              <w:rPr>
                <w:rFonts w:ascii="Times New Roman" w:hAnsi="Times New Roman" w:cs="Times New Roman"/>
                <w:sz w:val="22"/>
                <w:szCs w:val="22"/>
              </w:rPr>
            </w:pPr>
          </w:p>
        </w:tc>
        <w:tc>
          <w:tcPr>
            <w:tcW w:w="2536" w:type="dxa"/>
          </w:tcPr>
          <w:p w:rsidR="00497573" w:rsidRPr="00777193" w:rsidRDefault="00497573" w:rsidP="005645BA">
            <w:pPr>
              <w:autoSpaceDE w:val="0"/>
              <w:autoSpaceDN w:val="0"/>
              <w:adjustRightInd w:val="0"/>
              <w:rPr>
                <w:rFonts w:ascii="Times New Roman" w:hAnsi="Times New Roman" w:cs="Times New Roman"/>
                <w:sz w:val="22"/>
                <w:szCs w:val="22"/>
              </w:rPr>
            </w:pPr>
            <w:r w:rsidRPr="00777193">
              <w:rPr>
                <w:rFonts w:ascii="Times New Roman" w:hAnsi="Times New Roman" w:cs="Times New Roman"/>
                <w:sz w:val="22"/>
                <w:szCs w:val="22"/>
              </w:rPr>
              <w:t>Εθνική Τράπεζα</w:t>
            </w:r>
          </w:p>
        </w:tc>
        <w:tc>
          <w:tcPr>
            <w:tcW w:w="3581" w:type="dxa"/>
          </w:tcPr>
          <w:p w:rsidR="00497573" w:rsidRPr="00777193" w:rsidRDefault="00497573" w:rsidP="005645BA">
            <w:pPr>
              <w:autoSpaceDE w:val="0"/>
              <w:autoSpaceDN w:val="0"/>
              <w:adjustRightInd w:val="0"/>
              <w:rPr>
                <w:rFonts w:ascii="Times New Roman" w:hAnsi="Times New Roman" w:cs="Times New Roman"/>
                <w:sz w:val="22"/>
                <w:szCs w:val="22"/>
                <w:lang w:val="en-US"/>
              </w:rPr>
            </w:pPr>
            <w:proofErr w:type="spellStart"/>
            <w:r w:rsidRPr="00777193">
              <w:rPr>
                <w:rFonts w:ascii="Times New Roman" w:hAnsi="Times New Roman" w:cs="Times New Roman"/>
                <w:sz w:val="22"/>
                <w:szCs w:val="22"/>
                <w:lang w:val="en-US"/>
              </w:rPr>
              <w:t>Probank</w:t>
            </w:r>
            <w:proofErr w:type="spellEnd"/>
          </w:p>
        </w:tc>
      </w:tr>
    </w:tbl>
    <w:p w:rsidR="00573E36" w:rsidRDefault="001800FD" w:rsidP="001800FD">
      <w:pPr>
        <w:spacing w:before="120" w:line="360" w:lineRule="auto"/>
        <w:ind w:firstLine="547"/>
        <w:jc w:val="both"/>
      </w:pPr>
      <w:r>
        <w:t xml:space="preserve">Μια άλλη σημαντική </w:t>
      </w:r>
      <w:r w:rsidR="00573E36" w:rsidRPr="009A6940">
        <w:t>εξέλιξη</w:t>
      </w:r>
      <w:r>
        <w:t xml:space="preserve"> στην πρώτη δεκαετία του 2000,</w:t>
      </w:r>
      <w:r w:rsidR="00573E36" w:rsidRPr="009A6940">
        <w:t xml:space="preserve"> είναι η επέκταση της λειτουργίας πολλών ελληνικών τραπεζών στο εξωτερικό, κυρίως σε χώρες της βορειοανατολικής Ευρώπης, όπου εφάρμοσαν μια επιθετική πολιτική εξαγορών και </w:t>
      </w:r>
      <w:r w:rsidR="00573E36" w:rsidRPr="009A6940">
        <w:lastRenderedPageBreak/>
        <w:t xml:space="preserve">συγχωνεύσεων προκειμένου να αποκτήσουν σημαντικό μερίδιο στη συνεχώς αυξανόμενη </w:t>
      </w:r>
      <w:r w:rsidR="00573E36" w:rsidRPr="001800FD">
        <w:t>χρηματοπιστωτική αγορά των αναπτυσσόμενων αυτών χωρών (</w:t>
      </w:r>
      <w:proofErr w:type="spellStart"/>
      <w:r w:rsidR="00573E36" w:rsidRPr="001800FD">
        <w:rPr>
          <w:lang w:val="en-US"/>
        </w:rPr>
        <w:t>Chatzoglou</w:t>
      </w:r>
      <w:proofErr w:type="spellEnd"/>
      <w:r w:rsidRPr="001800FD">
        <w:t xml:space="preserve"> </w:t>
      </w:r>
      <w:r w:rsidRPr="001800FD">
        <w:rPr>
          <w:lang w:val="en-US"/>
        </w:rPr>
        <w:t>et</w:t>
      </w:r>
      <w:r w:rsidRPr="001800FD">
        <w:t xml:space="preserve"> </w:t>
      </w:r>
      <w:r w:rsidRPr="001800FD">
        <w:rPr>
          <w:lang w:val="en-US"/>
        </w:rPr>
        <w:t>al</w:t>
      </w:r>
      <w:r w:rsidRPr="001800FD">
        <w:t>.,</w:t>
      </w:r>
      <w:r w:rsidR="00573E36" w:rsidRPr="001800FD">
        <w:t xml:space="preserve"> 2010). </w:t>
      </w:r>
      <w:r>
        <w:t>Οι</w:t>
      </w:r>
      <w:r w:rsidR="00573E36" w:rsidRPr="009A6940">
        <w:t xml:space="preserve"> επενδυτικές ευκαιρίες ήταν αρκετές, δεδομένου της μετάβασης από τον έντονο κρατικό παρεμβατισμό σε όλες τις κοινωνικοοικονομικές πτυχές οργάνωσης των βαλκανικών χωρών, στη λειτουργία της ελεύθερης αγοράς, ενόψει βεβαίως και της ευρωπαϊκής προοπτικής τους. Παράλληλα, η επεκτατική πολιτική των ελληνικών τραπεζικών ιδρυμάτων, δεν σταμάτησε στα Βαλκάνια, αλλά ακολούθησε τους Έλληνες της διασποράς στις χώρες υποδοχής τους, όπως φαίνεται στον πίνακα που ακολουθεί.</w:t>
      </w:r>
    </w:p>
    <w:p w:rsidR="00573E36" w:rsidRPr="00573E36" w:rsidRDefault="00573E36" w:rsidP="00573E36">
      <w:pPr>
        <w:spacing w:line="360" w:lineRule="auto"/>
        <w:jc w:val="both"/>
      </w:pPr>
    </w:p>
    <w:p w:rsidR="00573E36" w:rsidRPr="009A6940" w:rsidRDefault="00DC7EB8" w:rsidP="00777193">
      <w:pPr>
        <w:jc w:val="both"/>
      </w:pPr>
      <w:r>
        <w:rPr>
          <w:b/>
        </w:rPr>
        <w:t>Πίνακας 4.</w:t>
      </w:r>
      <w:r w:rsidR="00613B48">
        <w:rPr>
          <w:b/>
        </w:rPr>
        <w:t>28</w:t>
      </w:r>
      <w:r w:rsidR="00573E36" w:rsidRPr="009A6940">
        <w:rPr>
          <w:b/>
        </w:rPr>
        <w:t>:</w:t>
      </w:r>
      <w:r w:rsidR="00573E36" w:rsidRPr="009A6940">
        <w:t xml:space="preserve"> Παρουσία ελληνικών τραπεζών στο εξωτερικό</w:t>
      </w:r>
    </w:p>
    <w:tbl>
      <w:tblPr>
        <w:tblStyle w:val="2-3"/>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604"/>
        <w:gridCol w:w="1596"/>
        <w:gridCol w:w="1452"/>
        <w:gridCol w:w="1399"/>
        <w:gridCol w:w="1234"/>
        <w:gridCol w:w="1243"/>
      </w:tblGrid>
      <w:tr w:rsidR="00573E36" w:rsidRPr="001800FD" w:rsidTr="001728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9" w:type="dxa"/>
            <w:tcBorders>
              <w:top w:val="single" w:sz="2" w:space="0" w:color="9BBB59" w:themeColor="accent3"/>
              <w:left w:val="single" w:sz="2" w:space="0" w:color="9BBB59" w:themeColor="accent3"/>
              <w:bottom w:val="double" w:sz="6" w:space="0" w:color="9BBB59" w:themeColor="accent3"/>
              <w:right w:val="single" w:sz="4" w:space="0" w:color="9BBB59" w:themeColor="accent3"/>
              <w:tl2br w:val="single" w:sz="4" w:space="0" w:color="9BBB59" w:themeColor="accent3"/>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 xml:space="preserve">          τράπεζα</w:t>
            </w:r>
          </w:p>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χώρα</w:t>
            </w:r>
          </w:p>
        </w:tc>
        <w:tc>
          <w:tcPr>
            <w:tcW w:w="1807" w:type="dxa"/>
            <w:tcBorders>
              <w:top w:val="single" w:sz="2" w:space="0" w:color="9BBB59" w:themeColor="accent3"/>
              <w:left w:val="single" w:sz="4" w:space="0" w:color="9BBB59" w:themeColor="accent3"/>
              <w:bottom w:val="double" w:sz="6" w:space="0" w:color="9BBB59" w:themeColor="accent3"/>
              <w:right w:val="single" w:sz="4" w:space="0" w:color="9BBB59" w:themeColor="accent3"/>
            </w:tcBorders>
          </w:tcPr>
          <w:p w:rsidR="00573E36" w:rsidRPr="001800FD" w:rsidRDefault="00573E36" w:rsidP="001728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 xml:space="preserve">Εθνική Τράπεζα της </w:t>
            </w:r>
            <w:r w:rsidR="001800FD">
              <w:rPr>
                <w:rFonts w:ascii="Times New Roman" w:hAnsi="Times New Roman" w:cs="Times New Roman"/>
                <w:b/>
                <w:sz w:val="20"/>
                <w:szCs w:val="20"/>
              </w:rPr>
              <w:t xml:space="preserve">Ελλάδος </w:t>
            </w:r>
          </w:p>
        </w:tc>
        <w:tc>
          <w:tcPr>
            <w:tcW w:w="1573" w:type="dxa"/>
            <w:tcBorders>
              <w:top w:val="single" w:sz="2" w:space="0" w:color="9BBB59" w:themeColor="accent3"/>
              <w:left w:val="single" w:sz="4" w:space="0" w:color="9BBB59" w:themeColor="accent3"/>
              <w:bottom w:val="double" w:sz="6" w:space="0" w:color="9BBB59" w:themeColor="accent3"/>
              <w:right w:val="single" w:sz="4" w:space="0" w:color="9BBB59" w:themeColor="accent3"/>
            </w:tcBorders>
          </w:tcPr>
          <w:p w:rsidR="00573E36" w:rsidRPr="001800FD" w:rsidRDefault="00573E36" w:rsidP="001728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Τράπεζα</w:t>
            </w:r>
            <w:r w:rsidR="001800FD">
              <w:rPr>
                <w:rFonts w:ascii="Times New Roman" w:hAnsi="Times New Roman" w:cs="Times New Roman"/>
                <w:b/>
                <w:sz w:val="20"/>
                <w:szCs w:val="20"/>
                <w:lang w:val="en-US"/>
              </w:rPr>
              <w:t xml:space="preserve"> EFG </w:t>
            </w:r>
            <w:proofErr w:type="spellStart"/>
            <w:r w:rsidR="001800FD">
              <w:rPr>
                <w:rFonts w:ascii="Times New Roman" w:hAnsi="Times New Roman" w:cs="Times New Roman"/>
                <w:b/>
                <w:sz w:val="20"/>
                <w:szCs w:val="20"/>
                <w:lang w:val="en-US"/>
              </w:rPr>
              <w:t>Eurobank</w:t>
            </w:r>
            <w:proofErr w:type="spellEnd"/>
          </w:p>
        </w:tc>
        <w:tc>
          <w:tcPr>
            <w:tcW w:w="1545" w:type="dxa"/>
            <w:tcBorders>
              <w:top w:val="single" w:sz="2" w:space="0" w:color="9BBB59" w:themeColor="accent3"/>
              <w:left w:val="single" w:sz="4" w:space="0" w:color="9BBB59" w:themeColor="accent3"/>
              <w:bottom w:val="double" w:sz="6" w:space="0" w:color="9BBB59" w:themeColor="accent3"/>
              <w:right w:val="single" w:sz="4" w:space="0" w:color="9BBB59" w:themeColor="accent3"/>
            </w:tcBorders>
          </w:tcPr>
          <w:p w:rsidR="00573E36" w:rsidRPr="001800FD" w:rsidRDefault="00573E36" w:rsidP="001728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lang w:val="en-US"/>
              </w:rPr>
              <w:t xml:space="preserve">Alpha </w:t>
            </w:r>
            <w:r w:rsidRPr="001800FD">
              <w:rPr>
                <w:rFonts w:ascii="Times New Roman" w:hAnsi="Times New Roman" w:cs="Times New Roman"/>
                <w:b/>
                <w:sz w:val="20"/>
                <w:szCs w:val="20"/>
              </w:rPr>
              <w:t>Τράπεζα</w:t>
            </w:r>
          </w:p>
        </w:tc>
        <w:tc>
          <w:tcPr>
            <w:tcW w:w="1301" w:type="dxa"/>
            <w:tcBorders>
              <w:top w:val="single" w:sz="2" w:space="0" w:color="9BBB59" w:themeColor="accent3"/>
              <w:left w:val="single" w:sz="4" w:space="0" w:color="9BBB59" w:themeColor="accent3"/>
              <w:bottom w:val="double" w:sz="6" w:space="0" w:color="9BBB59" w:themeColor="accent3"/>
              <w:right w:val="single" w:sz="4" w:space="0" w:color="9BBB59" w:themeColor="accent3"/>
            </w:tcBorders>
          </w:tcPr>
          <w:p w:rsidR="00573E36" w:rsidRPr="001800FD" w:rsidRDefault="00573E36" w:rsidP="001728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1800FD">
              <w:rPr>
                <w:rFonts w:ascii="Times New Roman" w:hAnsi="Times New Roman" w:cs="Times New Roman"/>
                <w:b/>
                <w:sz w:val="20"/>
                <w:szCs w:val="20"/>
              </w:rPr>
              <w:t>Τράπεζα Πειραιώς</w:t>
            </w:r>
          </w:p>
        </w:tc>
        <w:tc>
          <w:tcPr>
            <w:tcW w:w="1301" w:type="dxa"/>
            <w:tcBorders>
              <w:top w:val="single" w:sz="2" w:space="0" w:color="9BBB59" w:themeColor="accent3"/>
              <w:left w:val="single" w:sz="4" w:space="0" w:color="9BBB59" w:themeColor="accent3"/>
              <w:bottom w:val="double" w:sz="6" w:space="0" w:color="9BBB59" w:themeColor="accent3"/>
              <w:right w:val="single" w:sz="2" w:space="0" w:color="9BBB59" w:themeColor="accent3"/>
            </w:tcBorders>
          </w:tcPr>
          <w:p w:rsidR="00573E36" w:rsidRPr="001800FD" w:rsidRDefault="00573E36" w:rsidP="001728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US"/>
              </w:rPr>
            </w:pPr>
            <w:r w:rsidRPr="001800FD">
              <w:rPr>
                <w:rFonts w:ascii="Times New Roman" w:hAnsi="Times New Roman" w:cs="Times New Roman"/>
                <w:b/>
                <w:sz w:val="20"/>
                <w:szCs w:val="20"/>
              </w:rPr>
              <w:t>Εμπορική Τράπεζα</w:t>
            </w: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double" w:sz="6" w:space="0" w:color="9BBB59" w:themeColor="accent3"/>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Αίγυπτος</w:t>
            </w:r>
          </w:p>
        </w:tc>
        <w:tc>
          <w:tcPr>
            <w:tcW w:w="1807" w:type="dxa"/>
            <w:tcBorders>
              <w:top w:val="double" w:sz="6" w:space="0" w:color="9BBB59" w:themeColor="accent3"/>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17</w:t>
            </w:r>
          </w:p>
        </w:tc>
        <w:tc>
          <w:tcPr>
            <w:tcW w:w="1573" w:type="dxa"/>
            <w:tcBorders>
              <w:top w:val="double" w:sz="6" w:space="0" w:color="9BBB59" w:themeColor="accent3"/>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545" w:type="dxa"/>
            <w:tcBorders>
              <w:top w:val="double" w:sz="6" w:space="0" w:color="9BBB59" w:themeColor="accent3"/>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01" w:type="dxa"/>
            <w:tcBorders>
              <w:top w:val="double" w:sz="6" w:space="0" w:color="9BBB59" w:themeColor="accent3"/>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48</w:t>
            </w:r>
          </w:p>
        </w:tc>
        <w:tc>
          <w:tcPr>
            <w:tcW w:w="1301" w:type="dxa"/>
            <w:tcBorders>
              <w:top w:val="double" w:sz="6" w:space="0" w:color="9BBB59" w:themeColor="accent3"/>
              <w:left w:val="none" w:sz="0" w:space="0" w:color="auto"/>
              <w:bottom w:val="none" w:sz="0" w:space="0" w:color="auto"/>
            </w:tcBorders>
            <w:shd w:val="clear" w:color="auto" w:fill="EAF1DD" w:themeFill="accent3" w:themeFillTint="33"/>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Αλβανία</w:t>
            </w:r>
          </w:p>
        </w:tc>
        <w:tc>
          <w:tcPr>
            <w:tcW w:w="1807"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30</w:t>
            </w:r>
          </w:p>
        </w:tc>
        <w:tc>
          <w:tcPr>
            <w:tcW w:w="1573"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545"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47</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56</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24</w:t>
            </w: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Βουλγαρία</w:t>
            </w:r>
          </w:p>
        </w:tc>
        <w:tc>
          <w:tcPr>
            <w:tcW w:w="1807"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250</w:t>
            </w:r>
          </w:p>
        </w:tc>
        <w:tc>
          <w:tcPr>
            <w:tcW w:w="1573"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215</w:t>
            </w:r>
          </w:p>
        </w:tc>
        <w:tc>
          <w:tcPr>
            <w:tcW w:w="1545"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110</w:t>
            </w:r>
          </w:p>
        </w:tc>
        <w:tc>
          <w:tcPr>
            <w:tcW w:w="1301"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101</w:t>
            </w:r>
          </w:p>
        </w:tc>
        <w:tc>
          <w:tcPr>
            <w:tcW w:w="1301" w:type="dxa"/>
            <w:tcBorders>
              <w:top w:val="none" w:sz="0" w:space="0" w:color="auto"/>
              <w:left w:val="none" w:sz="0" w:space="0" w:color="auto"/>
              <w:bottom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30</w:t>
            </w: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Η. Βασίλειο</w:t>
            </w:r>
          </w:p>
        </w:tc>
        <w:tc>
          <w:tcPr>
            <w:tcW w:w="1807"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w:t>
            </w:r>
          </w:p>
        </w:tc>
        <w:tc>
          <w:tcPr>
            <w:tcW w:w="1573"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545"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w:t>
            </w: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ΗΠΑ</w:t>
            </w:r>
          </w:p>
        </w:tc>
        <w:tc>
          <w:tcPr>
            <w:tcW w:w="1807"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73"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45"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301"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13</w:t>
            </w:r>
          </w:p>
        </w:tc>
        <w:tc>
          <w:tcPr>
            <w:tcW w:w="1301" w:type="dxa"/>
            <w:tcBorders>
              <w:top w:val="none" w:sz="0" w:space="0" w:color="auto"/>
              <w:left w:val="none" w:sz="0" w:space="0" w:color="auto"/>
              <w:bottom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Κύπρος</w:t>
            </w:r>
          </w:p>
        </w:tc>
        <w:tc>
          <w:tcPr>
            <w:tcW w:w="1807"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18</w:t>
            </w:r>
          </w:p>
        </w:tc>
        <w:tc>
          <w:tcPr>
            <w:tcW w:w="1573"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6</w:t>
            </w:r>
          </w:p>
        </w:tc>
        <w:tc>
          <w:tcPr>
            <w:tcW w:w="1545"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36</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15</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12</w:t>
            </w: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Ν. Αφρική</w:t>
            </w:r>
          </w:p>
        </w:tc>
        <w:tc>
          <w:tcPr>
            <w:tcW w:w="1807"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11</w:t>
            </w:r>
          </w:p>
        </w:tc>
        <w:tc>
          <w:tcPr>
            <w:tcW w:w="1573"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45"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301"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301" w:type="dxa"/>
            <w:tcBorders>
              <w:top w:val="none" w:sz="0" w:space="0" w:color="auto"/>
              <w:left w:val="none" w:sz="0" w:space="0" w:color="auto"/>
              <w:bottom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Ουκρανία</w:t>
            </w:r>
          </w:p>
        </w:tc>
        <w:tc>
          <w:tcPr>
            <w:tcW w:w="1807"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573"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75</w:t>
            </w:r>
          </w:p>
        </w:tc>
        <w:tc>
          <w:tcPr>
            <w:tcW w:w="1545"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24</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54</w:t>
            </w: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ΠΓΔΜ</w:t>
            </w:r>
          </w:p>
        </w:tc>
        <w:tc>
          <w:tcPr>
            <w:tcW w:w="1807"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66</w:t>
            </w:r>
          </w:p>
        </w:tc>
        <w:tc>
          <w:tcPr>
            <w:tcW w:w="1573"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545"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25</w:t>
            </w:r>
          </w:p>
        </w:tc>
        <w:tc>
          <w:tcPr>
            <w:tcW w:w="1301"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301" w:type="dxa"/>
            <w:tcBorders>
              <w:top w:val="none" w:sz="0" w:space="0" w:color="auto"/>
              <w:left w:val="none" w:sz="0" w:space="0" w:color="auto"/>
              <w:bottom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Πολωνία</w:t>
            </w:r>
          </w:p>
        </w:tc>
        <w:tc>
          <w:tcPr>
            <w:tcW w:w="1807"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573"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335</w:t>
            </w:r>
          </w:p>
        </w:tc>
        <w:tc>
          <w:tcPr>
            <w:tcW w:w="1545"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1301" w:type="dxa"/>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Ρουμανία</w:t>
            </w:r>
          </w:p>
        </w:tc>
        <w:tc>
          <w:tcPr>
            <w:tcW w:w="1807"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147</w:t>
            </w:r>
          </w:p>
        </w:tc>
        <w:tc>
          <w:tcPr>
            <w:tcW w:w="1573"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302</w:t>
            </w:r>
          </w:p>
        </w:tc>
        <w:tc>
          <w:tcPr>
            <w:tcW w:w="1545"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175</w:t>
            </w:r>
          </w:p>
        </w:tc>
        <w:tc>
          <w:tcPr>
            <w:tcW w:w="1301" w:type="dxa"/>
            <w:tcBorders>
              <w:top w:val="none" w:sz="0" w:space="0" w:color="auto"/>
              <w:left w:val="none" w:sz="0" w:space="0" w:color="auto"/>
              <w:bottom w:val="none" w:sz="0" w:space="0" w:color="auto"/>
              <w:right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187</w:t>
            </w:r>
          </w:p>
        </w:tc>
        <w:tc>
          <w:tcPr>
            <w:tcW w:w="1301" w:type="dxa"/>
            <w:tcBorders>
              <w:top w:val="none" w:sz="0" w:space="0" w:color="auto"/>
              <w:left w:val="none" w:sz="0" w:space="0" w:color="auto"/>
              <w:bottom w:val="none" w:sz="0" w:space="0" w:color="auto"/>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34</w:t>
            </w: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none" w:sz="0" w:space="0" w:color="auto"/>
              <w:bottom w:val="single" w:sz="4" w:space="0" w:color="9BBB59" w:themeColor="accent3"/>
              <w:right w:val="none" w:sz="0" w:space="0" w:color="auto"/>
            </w:tcBorders>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Σερβία</w:t>
            </w:r>
          </w:p>
        </w:tc>
        <w:tc>
          <w:tcPr>
            <w:tcW w:w="1807" w:type="dxa"/>
            <w:tcBorders>
              <w:bottom w:val="single" w:sz="4" w:space="0" w:color="9BBB59" w:themeColor="accent3"/>
            </w:tcBorders>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143</w:t>
            </w:r>
          </w:p>
        </w:tc>
        <w:tc>
          <w:tcPr>
            <w:tcW w:w="1573" w:type="dxa"/>
            <w:tcBorders>
              <w:bottom w:val="single" w:sz="4" w:space="0" w:color="9BBB59" w:themeColor="accent3"/>
            </w:tcBorders>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127</w:t>
            </w:r>
          </w:p>
        </w:tc>
        <w:tc>
          <w:tcPr>
            <w:tcW w:w="1545" w:type="dxa"/>
            <w:tcBorders>
              <w:bottom w:val="single" w:sz="4" w:space="0" w:color="9BBB59" w:themeColor="accent3"/>
            </w:tcBorders>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154</w:t>
            </w:r>
          </w:p>
        </w:tc>
        <w:tc>
          <w:tcPr>
            <w:tcW w:w="1301" w:type="dxa"/>
            <w:tcBorders>
              <w:bottom w:val="single" w:sz="4" w:space="0" w:color="9BBB59" w:themeColor="accent3"/>
            </w:tcBorders>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47</w:t>
            </w:r>
          </w:p>
        </w:tc>
        <w:tc>
          <w:tcPr>
            <w:tcW w:w="1301" w:type="dxa"/>
            <w:tcBorders>
              <w:bottom w:val="single" w:sz="4" w:space="0" w:color="9BBB59" w:themeColor="accent3"/>
            </w:tcBorders>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tcPr>
          <w:p w:rsidR="00573E36" w:rsidRPr="001800FD" w:rsidRDefault="00573E36" w:rsidP="00172802">
            <w:pPr>
              <w:jc w:val="both"/>
              <w:rPr>
                <w:rFonts w:ascii="Times New Roman" w:hAnsi="Times New Roman" w:cs="Times New Roman"/>
                <w:sz w:val="20"/>
                <w:szCs w:val="20"/>
              </w:rPr>
            </w:pPr>
            <w:r w:rsidRPr="001800FD">
              <w:rPr>
                <w:rFonts w:ascii="Times New Roman" w:hAnsi="Times New Roman" w:cs="Times New Roman"/>
                <w:sz w:val="20"/>
                <w:szCs w:val="20"/>
              </w:rPr>
              <w:t>Τουρκία</w:t>
            </w:r>
          </w:p>
        </w:tc>
        <w:tc>
          <w:tcPr>
            <w:tcW w:w="180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502</w:t>
            </w:r>
          </w:p>
        </w:tc>
        <w:tc>
          <w:tcPr>
            <w:tcW w:w="157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800FD">
              <w:rPr>
                <w:rFonts w:ascii="Times New Roman" w:hAnsi="Times New Roman" w:cs="Times New Roman"/>
                <w:sz w:val="20"/>
                <w:szCs w:val="20"/>
              </w:rPr>
              <w:t>54</w:t>
            </w:r>
          </w:p>
        </w:tc>
        <w:tc>
          <w:tcPr>
            <w:tcW w:w="1545"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0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01" w:type="dxa"/>
            <w:tcBorders>
              <w:top w:val="single" w:sz="4" w:space="0" w:color="9BBB59" w:themeColor="accent3"/>
              <w:left w:val="single" w:sz="4" w:space="0" w:color="9BBB59" w:themeColor="accent3"/>
              <w:bottom w:val="single" w:sz="4" w:space="0" w:color="9BBB59" w:themeColor="accent3"/>
            </w:tcBorders>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73E36" w:rsidRPr="001800FD" w:rsidTr="00172802">
        <w:tc>
          <w:tcPr>
            <w:cnfStyle w:val="001000000000" w:firstRow="0" w:lastRow="0" w:firstColumn="1" w:lastColumn="0" w:oddVBand="0" w:evenVBand="0" w:oddHBand="0" w:evenHBand="0" w:firstRowFirstColumn="0" w:firstRowLastColumn="0" w:lastRowFirstColumn="0" w:lastRowLastColumn="0"/>
            <w:tcW w:w="1759" w:type="dxa"/>
            <w:tcBorders>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rsidR="00573E36" w:rsidRPr="001800FD" w:rsidRDefault="00573E36" w:rsidP="00172802">
            <w:pPr>
              <w:jc w:val="both"/>
              <w:rPr>
                <w:rFonts w:ascii="Times New Roman" w:hAnsi="Times New Roman" w:cs="Times New Roman"/>
                <w:b/>
                <w:sz w:val="20"/>
                <w:szCs w:val="20"/>
              </w:rPr>
            </w:pPr>
            <w:r w:rsidRPr="001800FD">
              <w:rPr>
                <w:rFonts w:ascii="Times New Roman" w:hAnsi="Times New Roman" w:cs="Times New Roman"/>
                <w:b/>
                <w:sz w:val="20"/>
                <w:szCs w:val="20"/>
              </w:rPr>
              <w:t>ΣΥΝΟΛΟ</w:t>
            </w:r>
          </w:p>
        </w:tc>
        <w:tc>
          <w:tcPr>
            <w:tcW w:w="1807" w:type="dxa"/>
            <w:tcBorders>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1.185</w:t>
            </w:r>
          </w:p>
        </w:tc>
        <w:tc>
          <w:tcPr>
            <w:tcW w:w="1573" w:type="dxa"/>
            <w:tcBorders>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1.114</w:t>
            </w:r>
          </w:p>
        </w:tc>
        <w:tc>
          <w:tcPr>
            <w:tcW w:w="1545" w:type="dxa"/>
            <w:tcBorders>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574</w:t>
            </w:r>
          </w:p>
        </w:tc>
        <w:tc>
          <w:tcPr>
            <w:tcW w:w="1301" w:type="dxa"/>
            <w:tcBorders>
              <w:left w:val="single" w:sz="4" w:space="0" w:color="9BBB59" w:themeColor="accent3"/>
              <w:bottom w:val="single" w:sz="4" w:space="0" w:color="9BBB59" w:themeColor="accent3"/>
              <w:right w:val="single" w:sz="4" w:space="0" w:color="9BBB59" w:themeColor="accent3"/>
            </w:tcBorders>
            <w:shd w:val="clear" w:color="auto" w:fill="C2D69B" w:themeFill="accent3" w:themeFillTint="99"/>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552</w:t>
            </w:r>
          </w:p>
        </w:tc>
        <w:tc>
          <w:tcPr>
            <w:tcW w:w="1301" w:type="dxa"/>
            <w:tcBorders>
              <w:left w:val="single" w:sz="4" w:space="0" w:color="9BBB59" w:themeColor="accent3"/>
              <w:bottom w:val="single" w:sz="4" w:space="0" w:color="9BBB59" w:themeColor="accent3"/>
            </w:tcBorders>
            <w:shd w:val="clear" w:color="auto" w:fill="C2D69B" w:themeFill="accent3" w:themeFillTint="99"/>
          </w:tcPr>
          <w:p w:rsidR="00573E36" w:rsidRPr="001800FD" w:rsidRDefault="00573E36" w:rsidP="001728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101</w:t>
            </w:r>
          </w:p>
        </w:tc>
      </w:tr>
      <w:tr w:rsidR="00573E36" w:rsidRPr="001800FD" w:rsidTr="00172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shd w:val="clear" w:color="auto" w:fill="76923C" w:themeFill="accent3" w:themeFillShade="BF"/>
          </w:tcPr>
          <w:p w:rsidR="00573E36" w:rsidRPr="001800FD" w:rsidRDefault="00573E36" w:rsidP="00172802">
            <w:pPr>
              <w:jc w:val="both"/>
              <w:rPr>
                <w:rFonts w:ascii="Times New Roman" w:hAnsi="Times New Roman" w:cs="Times New Roman"/>
                <w:sz w:val="20"/>
                <w:szCs w:val="20"/>
              </w:rPr>
            </w:pPr>
          </w:p>
        </w:tc>
        <w:tc>
          <w:tcPr>
            <w:tcW w:w="7527" w:type="dxa"/>
            <w:gridSpan w:val="5"/>
            <w:tcBorders>
              <w:top w:val="none" w:sz="0" w:space="0" w:color="auto"/>
              <w:left w:val="none" w:sz="0" w:space="0" w:color="auto"/>
              <w:bottom w:val="none" w:sz="0" w:space="0" w:color="auto"/>
            </w:tcBorders>
            <w:shd w:val="clear" w:color="auto" w:fill="76923C" w:themeFill="accent3" w:themeFillShade="BF"/>
          </w:tcPr>
          <w:p w:rsidR="00573E36" w:rsidRPr="001800FD" w:rsidRDefault="00573E36" w:rsidP="001728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800FD">
              <w:rPr>
                <w:rFonts w:ascii="Times New Roman" w:hAnsi="Times New Roman" w:cs="Times New Roman"/>
                <w:b/>
                <w:sz w:val="20"/>
                <w:szCs w:val="20"/>
              </w:rPr>
              <w:t>ΓΕΝΙΚΟ ΣΥΝΟΛΟ: 3.496 Καταστήματα σε 13 χώρες</w:t>
            </w:r>
          </w:p>
        </w:tc>
      </w:tr>
    </w:tbl>
    <w:p w:rsidR="00573E36" w:rsidRPr="00777193" w:rsidRDefault="00573E36" w:rsidP="00A17D95">
      <w:pPr>
        <w:spacing w:line="360" w:lineRule="auto"/>
        <w:rPr>
          <w:sz w:val="22"/>
          <w:szCs w:val="22"/>
        </w:rPr>
      </w:pPr>
      <w:r w:rsidRPr="00777193">
        <w:rPr>
          <w:b/>
          <w:sz w:val="22"/>
          <w:szCs w:val="22"/>
        </w:rPr>
        <w:t>Πηγή:</w:t>
      </w:r>
      <w:r w:rsidRPr="00777193">
        <w:rPr>
          <w:sz w:val="22"/>
          <w:szCs w:val="22"/>
        </w:rPr>
        <w:t xml:space="preserve"> Ελληνική Ένωση Τραπεζών, 2011</w:t>
      </w:r>
    </w:p>
    <w:p w:rsidR="001800FD" w:rsidRDefault="001800FD" w:rsidP="00D17F66">
      <w:pPr>
        <w:spacing w:line="360" w:lineRule="auto"/>
        <w:jc w:val="both"/>
        <w:rPr>
          <w:b/>
          <w:u w:val="single"/>
        </w:rPr>
      </w:pPr>
    </w:p>
    <w:p w:rsidR="00E90AB3" w:rsidRPr="00777193" w:rsidRDefault="00E90AB3" w:rsidP="00D17F66">
      <w:pPr>
        <w:spacing w:line="360" w:lineRule="auto"/>
        <w:jc w:val="both"/>
        <w:rPr>
          <w:b/>
          <w:i/>
          <w:u w:val="single"/>
        </w:rPr>
      </w:pPr>
      <w:r w:rsidRPr="00777193">
        <w:rPr>
          <w:b/>
          <w:i/>
          <w:u w:val="single"/>
        </w:rPr>
        <w:t>Η δομή του ελληνικού τραπεζικού συστήματος</w:t>
      </w:r>
    </w:p>
    <w:p w:rsidR="00654BFB" w:rsidRPr="00654BFB" w:rsidRDefault="00D17F66" w:rsidP="00D17F66">
      <w:pPr>
        <w:spacing w:line="360" w:lineRule="auto"/>
        <w:ind w:firstLine="540"/>
        <w:jc w:val="both"/>
        <w:rPr>
          <w:color w:val="00000A"/>
        </w:rPr>
      </w:pPr>
      <w:r>
        <w:rPr>
          <w:color w:val="00000A"/>
        </w:rPr>
        <w:t>Ο</w:t>
      </w:r>
      <w:r w:rsidR="00654BFB" w:rsidRPr="00654BFB">
        <w:rPr>
          <w:color w:val="00000A"/>
        </w:rPr>
        <w:t xml:space="preserve"> ορισμός που </w:t>
      </w:r>
      <w:proofErr w:type="spellStart"/>
      <w:r w:rsidR="00654BFB" w:rsidRPr="00654BFB">
        <w:rPr>
          <w:color w:val="00000A"/>
        </w:rPr>
        <w:t>πρωτοδόθηκε</w:t>
      </w:r>
      <w:proofErr w:type="spellEnd"/>
      <w:r w:rsidR="00654BFB" w:rsidRPr="00654BFB">
        <w:rPr>
          <w:color w:val="00000A"/>
        </w:rPr>
        <w:t xml:space="preserve"> για τι</w:t>
      </w:r>
      <w:r w:rsidR="005671B0">
        <w:rPr>
          <w:color w:val="00000A"/>
        </w:rPr>
        <w:t>ς τράπεζες στον νόμο 5076/1931 «</w:t>
      </w:r>
      <w:r w:rsidR="00654BFB" w:rsidRPr="00654BFB">
        <w:rPr>
          <w:color w:val="00000A"/>
        </w:rPr>
        <w:t>περί ανωνύμων εταιριών και τραπεζών</w:t>
      </w:r>
      <w:r w:rsidR="005671B0">
        <w:rPr>
          <w:color w:val="00000A"/>
        </w:rPr>
        <w:t>»</w:t>
      </w:r>
      <w:r>
        <w:rPr>
          <w:color w:val="00000A"/>
        </w:rPr>
        <w:t xml:space="preserve"> αναφέρει ότι οι </w:t>
      </w:r>
      <w:bookmarkStart w:id="18" w:name="__DdeLink__128_1625099340"/>
      <w:r w:rsidRPr="00654BFB">
        <w:rPr>
          <w:i/>
          <w:color w:val="00000A"/>
        </w:rPr>
        <w:t xml:space="preserve">Τράπεζες είναι οι επιχειρήσεις </w:t>
      </w:r>
      <w:proofErr w:type="spellStart"/>
      <w:r w:rsidRPr="00654BFB">
        <w:rPr>
          <w:i/>
          <w:color w:val="00000A"/>
        </w:rPr>
        <w:t>αίτινες</w:t>
      </w:r>
      <w:proofErr w:type="spellEnd"/>
      <w:r w:rsidRPr="00654BFB">
        <w:rPr>
          <w:i/>
          <w:color w:val="00000A"/>
        </w:rPr>
        <w:t>,</w:t>
      </w:r>
      <w:r w:rsidR="001800FD">
        <w:rPr>
          <w:i/>
          <w:color w:val="00000A"/>
        </w:rPr>
        <w:t xml:space="preserve"> </w:t>
      </w:r>
      <w:r w:rsidRPr="00654BFB">
        <w:rPr>
          <w:i/>
          <w:color w:val="00000A"/>
        </w:rPr>
        <w:t>ανεξαρτήτως έτερου σκοπού αυτών,</w:t>
      </w:r>
      <w:r>
        <w:rPr>
          <w:i/>
          <w:color w:val="00000A"/>
        </w:rPr>
        <w:t xml:space="preserve"> </w:t>
      </w:r>
      <w:r w:rsidRPr="00654BFB">
        <w:rPr>
          <w:i/>
          <w:color w:val="00000A"/>
        </w:rPr>
        <w:t>δέχονται κατ' επάγγελμα καταθέσεις χρημάτων ή άλλων αξιών</w:t>
      </w:r>
      <w:bookmarkEnd w:id="18"/>
      <w:r>
        <w:rPr>
          <w:color w:val="00000A"/>
        </w:rPr>
        <w:t xml:space="preserve"> </w:t>
      </w:r>
      <w:r w:rsidRPr="00654BFB">
        <w:rPr>
          <w:color w:val="00000A"/>
        </w:rPr>
        <w:t>(Αγγελόπουλος 200</w:t>
      </w:r>
      <w:r w:rsidR="00393FBE">
        <w:rPr>
          <w:color w:val="00000A"/>
        </w:rPr>
        <w:t>8</w:t>
      </w:r>
      <w:r w:rsidRPr="00654BFB">
        <w:rPr>
          <w:color w:val="00000A"/>
        </w:rPr>
        <w:t>).</w:t>
      </w:r>
      <w:r>
        <w:rPr>
          <w:color w:val="00000A"/>
        </w:rPr>
        <w:t xml:space="preserve"> </w:t>
      </w:r>
      <w:r w:rsidR="00654BFB" w:rsidRPr="00654BFB">
        <w:rPr>
          <w:color w:val="00000A"/>
        </w:rPr>
        <w:t>Ωστόσο σήμερα βάσει του νόμου 2076/1992 εκσυγχρονί</w:t>
      </w:r>
      <w:r w:rsidR="001800FD">
        <w:rPr>
          <w:color w:val="00000A"/>
        </w:rPr>
        <w:t xml:space="preserve">στηκε </w:t>
      </w:r>
      <w:r w:rsidR="00654BFB" w:rsidRPr="00654BFB">
        <w:rPr>
          <w:color w:val="00000A"/>
        </w:rPr>
        <w:t>το πλαίσιο λειτουργίας των πιστωτικών ιδρυμάτων στην Ελλάδα,</w:t>
      </w:r>
      <w:r w:rsidR="000D7C31">
        <w:rPr>
          <w:color w:val="00000A"/>
        </w:rPr>
        <w:t xml:space="preserve"> </w:t>
      </w:r>
      <w:r w:rsidR="00654BFB" w:rsidRPr="00654BFB">
        <w:rPr>
          <w:color w:val="00000A"/>
        </w:rPr>
        <w:t xml:space="preserve">αφού ως πιστωτικό ίδρυμα ορίζεται η επιχείρηση η δραστηριότητα της οποίας συνίσταται στη αποδοχή καταθέσεων ή άλλων επιστρεπτέων κεφαλαίων από το κοινό και στη χορήγηση πιστώσεων για λογαριασμό της. Παρότι υπάρχουν κι </w:t>
      </w:r>
      <w:r w:rsidR="00654BFB" w:rsidRPr="00654BFB">
        <w:rPr>
          <w:color w:val="00000A"/>
        </w:rPr>
        <w:lastRenderedPageBreak/>
        <w:t xml:space="preserve">άλλες μορφές χρηματοοικονομικών οργανισμών </w:t>
      </w:r>
      <w:r w:rsidR="000D7C31">
        <w:rPr>
          <w:color w:val="00000A"/>
        </w:rPr>
        <w:t>όπως τα αμοιβαία κεφάλαια διαχείρισης διαθεσίμων</w:t>
      </w:r>
      <w:r w:rsidR="001800FD">
        <w:rPr>
          <w:rStyle w:val="ac"/>
          <w:color w:val="00000A"/>
        </w:rPr>
        <w:footnoteReference w:id="2"/>
      </w:r>
      <w:r w:rsidR="000D7C31">
        <w:rPr>
          <w:color w:val="00000A"/>
        </w:rPr>
        <w:t xml:space="preserve"> </w:t>
      </w:r>
      <w:r w:rsidR="00654BFB" w:rsidRPr="00654BFB">
        <w:rPr>
          <w:color w:val="00000A"/>
        </w:rPr>
        <w:t>που δραστηριοποιούνται στην αγορά χρήματος,</w:t>
      </w:r>
      <w:r w:rsidR="000D7C31">
        <w:rPr>
          <w:color w:val="00000A"/>
        </w:rPr>
        <w:t xml:space="preserve"> </w:t>
      </w:r>
      <w:r w:rsidR="00654BFB" w:rsidRPr="00654BFB">
        <w:rPr>
          <w:color w:val="00000A"/>
        </w:rPr>
        <w:t>οι τράπεζες είναι η πιο σημαντική μορφή από όλους τους χρηματοοικονομικούς οργανισμούς μιας οικονομίας.</w:t>
      </w:r>
    </w:p>
    <w:p w:rsidR="00D17F66" w:rsidRPr="00E90AB3" w:rsidRDefault="00D17F66" w:rsidP="00D17F66">
      <w:pPr>
        <w:spacing w:line="360" w:lineRule="auto"/>
        <w:ind w:firstLine="540"/>
        <w:jc w:val="both"/>
      </w:pPr>
      <w:r w:rsidRPr="00E90AB3">
        <w:t>Οι βασικές κατηγορίες τραπεζών όπως έχουν διαμορφωθεί  στην Ελλάδα με  βάση τις νομοθετικά προσδιορισμένες δραστηριότητ</w:t>
      </w:r>
      <w:r>
        <w:t>ες</w:t>
      </w:r>
      <w:r w:rsidRPr="00E90AB3">
        <w:t xml:space="preserve"> αυτών παρουσιάζονται στο παρακάτω διάγραμμα.</w:t>
      </w:r>
    </w:p>
    <w:p w:rsidR="00D17F66" w:rsidRPr="00E90AB3" w:rsidRDefault="00D17F66" w:rsidP="00D17F66">
      <w:pPr>
        <w:spacing w:line="360" w:lineRule="auto"/>
        <w:ind w:firstLine="540"/>
        <w:jc w:val="both"/>
      </w:pPr>
    </w:p>
    <w:p w:rsidR="00D17F66" w:rsidRPr="00E90AB3" w:rsidRDefault="00D17F66" w:rsidP="00777193">
      <w:pPr>
        <w:ind w:firstLine="540"/>
        <w:jc w:val="both"/>
      </w:pPr>
      <w:r w:rsidRPr="00E90AB3">
        <w:t xml:space="preserve">                 </w:t>
      </w:r>
      <w:r w:rsidRPr="00AC5FBF">
        <w:rPr>
          <w:b/>
        </w:rPr>
        <w:t xml:space="preserve">Γράφημα </w:t>
      </w:r>
      <w:r w:rsidR="00D25BCC">
        <w:rPr>
          <w:b/>
        </w:rPr>
        <w:t>4.14</w:t>
      </w:r>
      <w:r w:rsidRPr="00AC5FBF">
        <w:rPr>
          <w:b/>
        </w:rPr>
        <w:t>:</w:t>
      </w:r>
      <w:r w:rsidRPr="00E90AB3">
        <w:t xml:space="preserve"> </w:t>
      </w:r>
      <w:r>
        <w:t>Η δ</w:t>
      </w:r>
      <w:r w:rsidRPr="00E90AB3">
        <w:t>ομή του  ελληνικού τραπεζικού συστήματος</w:t>
      </w:r>
    </w:p>
    <w:p w:rsidR="00D17F66" w:rsidRPr="00E90AB3" w:rsidRDefault="00D17F66" w:rsidP="00A17D95">
      <w:pPr>
        <w:spacing w:line="360" w:lineRule="auto"/>
        <w:ind w:firstLine="540"/>
        <w:jc w:val="both"/>
      </w:pPr>
      <w:r w:rsidRPr="00E90AB3">
        <w:rPr>
          <w:noProof/>
        </w:rPr>
        <w:drawing>
          <wp:inline distT="0" distB="0" distL="0" distR="0" wp14:anchorId="700C2239" wp14:editId="1C89E1C4">
            <wp:extent cx="5063320" cy="2947916"/>
            <wp:effectExtent l="0" t="0" r="61595" b="24130"/>
            <wp:docPr id="78872" name="Διάγραμμα 788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17F66" w:rsidRDefault="00D17F66" w:rsidP="00D17F66">
      <w:pPr>
        <w:autoSpaceDE w:val="0"/>
        <w:autoSpaceDN w:val="0"/>
        <w:adjustRightInd w:val="0"/>
        <w:rPr>
          <w:iCs/>
        </w:rPr>
      </w:pPr>
    </w:p>
    <w:p w:rsidR="00D17F66" w:rsidRDefault="00D17F66" w:rsidP="00D17F66">
      <w:pPr>
        <w:spacing w:line="360" w:lineRule="auto"/>
        <w:ind w:firstLine="540"/>
        <w:jc w:val="both"/>
        <w:rPr>
          <w:color w:val="00000A"/>
        </w:rPr>
      </w:pPr>
      <w:r w:rsidRPr="001800FD">
        <w:rPr>
          <w:color w:val="00000A"/>
        </w:rPr>
        <w:t>Η Τ</w:t>
      </w:r>
      <w:r w:rsidR="00654BFB" w:rsidRPr="001800FD">
        <w:rPr>
          <w:color w:val="00000A"/>
        </w:rPr>
        <w:t>ράπεζα της Ελλάδος</w:t>
      </w:r>
      <w:r w:rsidR="00654BFB" w:rsidRPr="00654BFB">
        <w:rPr>
          <w:color w:val="00000A"/>
        </w:rPr>
        <w:t xml:space="preserve"> είναι η κεντρική εκδοτική τράπεζα της χώρας. Ιδρύθηκε το 1927 και άρχισε να λειτουργεί το Μάιο του 1928 ως η κεντρική τράπεζα της χώρας. Εκτός από το κεντρικό της κατάστημα στην Αθήνα, λειτουργούν και 27 υποκαταστήματα σε όλη την επικράτεια.</w:t>
      </w:r>
      <w:r w:rsidR="005645BA" w:rsidRPr="005645BA">
        <w:rPr>
          <w:color w:val="00000A"/>
        </w:rPr>
        <w:t xml:space="preserve"> </w:t>
      </w:r>
      <w:r w:rsidR="005645BA">
        <w:rPr>
          <w:color w:val="00000A"/>
        </w:rPr>
        <w:t>Η</w:t>
      </w:r>
      <w:r w:rsidR="005645BA" w:rsidRPr="00654BFB">
        <w:rPr>
          <w:color w:val="00000A"/>
        </w:rPr>
        <w:t xml:space="preserve"> Τράπεζα της Ελλάδος στηρίζει την οικονομία με την άσκηση της νομισματικής,</w:t>
      </w:r>
      <w:r w:rsidR="005645BA">
        <w:rPr>
          <w:color w:val="00000A"/>
        </w:rPr>
        <w:t xml:space="preserve"> </w:t>
      </w:r>
      <w:r w:rsidR="005645BA" w:rsidRPr="00654BFB">
        <w:rPr>
          <w:color w:val="00000A"/>
        </w:rPr>
        <w:t xml:space="preserve">της πιστωτικής και της συναλλαγματικής πολιτικής </w:t>
      </w:r>
      <w:r w:rsidR="005645BA">
        <w:rPr>
          <w:color w:val="00000A"/>
        </w:rPr>
        <w:t>αλλά και την ε</w:t>
      </w:r>
      <w:r w:rsidR="005645BA" w:rsidRPr="00654BFB">
        <w:rPr>
          <w:color w:val="00000A"/>
        </w:rPr>
        <w:t>π</w:t>
      </w:r>
      <w:r w:rsidR="005645BA">
        <w:rPr>
          <w:color w:val="00000A"/>
        </w:rPr>
        <w:t>οπτεία των τραπεζικών ιδρυμάτων. Σημαντικές λειτουργίες της η τ</w:t>
      </w:r>
      <w:r w:rsidR="005645BA" w:rsidRPr="00654BFB">
        <w:rPr>
          <w:color w:val="00000A"/>
        </w:rPr>
        <w:t>αμειακή διαχείριση των εσόδων και εξόδων του Δημοσίου</w:t>
      </w:r>
      <w:r w:rsidR="005645BA">
        <w:rPr>
          <w:color w:val="00000A"/>
        </w:rPr>
        <w:t xml:space="preserve"> και η δ</w:t>
      </w:r>
      <w:r w:rsidR="005645BA" w:rsidRPr="00654BFB">
        <w:rPr>
          <w:color w:val="00000A"/>
        </w:rPr>
        <w:t>ιαχείριση έκδοσης και αποπληρωμής των τίτλων του Δημοσίου.</w:t>
      </w:r>
      <w:r w:rsidR="005645BA">
        <w:rPr>
          <w:color w:val="00000A"/>
        </w:rPr>
        <w:t xml:space="preserve"> </w:t>
      </w:r>
      <w:r w:rsidR="00CA28DB">
        <w:rPr>
          <w:color w:val="00000A"/>
        </w:rPr>
        <w:t>Από</w:t>
      </w:r>
      <w:r w:rsidR="00654BFB" w:rsidRPr="00654BFB">
        <w:rPr>
          <w:color w:val="00000A"/>
        </w:rPr>
        <w:t xml:space="preserve"> την 1η Ιανουαρίου του 2001 </w:t>
      </w:r>
      <w:r w:rsidR="00CA28DB">
        <w:rPr>
          <w:color w:val="00000A"/>
        </w:rPr>
        <w:t xml:space="preserve">βρίσκεται ενταγμένη </w:t>
      </w:r>
      <w:r w:rsidR="00654BFB" w:rsidRPr="00654BFB">
        <w:rPr>
          <w:color w:val="00000A"/>
        </w:rPr>
        <w:t xml:space="preserve">στο Ευρωπαϊκό Σύστημα Κεντρικών Τραπεζών </w:t>
      </w:r>
      <w:r w:rsidR="00CA28DB">
        <w:rPr>
          <w:color w:val="00000A"/>
        </w:rPr>
        <w:t xml:space="preserve">και </w:t>
      </w:r>
      <w:r w:rsidR="00654BFB" w:rsidRPr="00654BFB">
        <w:rPr>
          <w:color w:val="00000A"/>
        </w:rPr>
        <w:lastRenderedPageBreak/>
        <w:t xml:space="preserve">λειτουργεί βάσει των αξόνων πολιτικής και οδηγιών της Ευρωπαϊκής Κεντρικής Τράπεζας. </w:t>
      </w:r>
    </w:p>
    <w:p w:rsidR="00A517D3" w:rsidRPr="00A517D3" w:rsidRDefault="00A517D3" w:rsidP="00D17F66">
      <w:pPr>
        <w:spacing w:line="360" w:lineRule="auto"/>
        <w:ind w:firstLine="540"/>
        <w:jc w:val="both"/>
        <w:rPr>
          <w:color w:val="00000A"/>
        </w:rPr>
      </w:pPr>
      <w:r w:rsidRPr="00A517D3">
        <w:rPr>
          <w:rFonts w:eastAsiaTheme="minorHAnsi"/>
          <w:lang w:eastAsia="en-US"/>
        </w:rPr>
        <w:t xml:space="preserve">Ως μέλος του </w:t>
      </w:r>
      <w:proofErr w:type="spellStart"/>
      <w:r w:rsidRPr="00A517D3">
        <w:rPr>
          <w:rFonts w:eastAsiaTheme="minorHAnsi"/>
          <w:lang w:eastAsia="en-US"/>
        </w:rPr>
        <w:t>Ευρωσυστήματος</w:t>
      </w:r>
      <w:proofErr w:type="spellEnd"/>
      <w:r w:rsidRPr="00A517D3">
        <w:rPr>
          <w:rFonts w:eastAsiaTheme="minorHAnsi"/>
          <w:lang w:eastAsia="en-US"/>
        </w:rPr>
        <w:t xml:space="preserve"> και της </w:t>
      </w:r>
      <w:proofErr w:type="spellStart"/>
      <w:r w:rsidRPr="00A517D3">
        <w:rPr>
          <w:rFonts w:eastAsiaTheme="minorHAnsi"/>
          <w:lang w:eastAsia="en-US"/>
        </w:rPr>
        <w:t>Ευρωπαικής</w:t>
      </w:r>
      <w:proofErr w:type="spellEnd"/>
      <w:r w:rsidRPr="00A517D3">
        <w:rPr>
          <w:rFonts w:eastAsiaTheme="minorHAnsi"/>
          <w:lang w:eastAsia="en-US"/>
        </w:rPr>
        <w:t xml:space="preserve"> Κεντρικής Τράπεζας, σήμερα η Τράπεζα της Ελλάδος ελέγχει τη ρευστότητα, τη μεταβολή των βασικών επιτοκίων της </w:t>
      </w:r>
      <w:proofErr w:type="spellStart"/>
      <w:r w:rsidRPr="00A517D3">
        <w:rPr>
          <w:rFonts w:eastAsiaTheme="minorHAnsi"/>
          <w:lang w:eastAsia="en-US"/>
        </w:rPr>
        <w:t>Ευρωπαικής</w:t>
      </w:r>
      <w:proofErr w:type="spellEnd"/>
      <w:r w:rsidRPr="00A517D3">
        <w:rPr>
          <w:rFonts w:eastAsiaTheme="minorHAnsi"/>
          <w:lang w:eastAsia="en-US"/>
        </w:rPr>
        <w:t xml:space="preserve"> Κεντρικής Τράπεζας και τον καθορισμό του ύψους τήρησης των ελάχιστων υποχρεωτικών αποθεματικών των πιστωτικών ιδρυμάτων. Η </w:t>
      </w:r>
      <w:r w:rsidRPr="001800FD">
        <w:rPr>
          <w:rFonts w:eastAsiaTheme="minorHAnsi"/>
          <w:lang w:eastAsia="en-US"/>
        </w:rPr>
        <w:t>Τράπεζα της Ελλάδος</w:t>
      </w:r>
      <w:r w:rsidRPr="00A517D3">
        <w:rPr>
          <w:rFonts w:eastAsiaTheme="minorHAnsi"/>
          <w:lang w:eastAsia="en-US"/>
        </w:rPr>
        <w:t xml:space="preserve"> είναι πλέον ανεξάρτητη από την ελληνική κυβέρνηση, υπόκειται όμως σε έλεγχο από τη Βουλή. Ο διοικητής της Τράπεζας της Ελλάδος υποβάλλει κάθε χρόνο την ετήσια έκθεση πεπραγμένων της </w:t>
      </w:r>
      <w:r w:rsidRPr="001800FD">
        <w:rPr>
          <w:rFonts w:eastAsiaTheme="minorHAnsi"/>
          <w:lang w:eastAsia="en-US"/>
        </w:rPr>
        <w:t>Τράπεζας της Ελλάδος</w:t>
      </w:r>
      <w:r w:rsidRPr="00A517D3">
        <w:rPr>
          <w:rFonts w:eastAsiaTheme="minorHAnsi"/>
          <w:lang w:eastAsia="en-US"/>
        </w:rPr>
        <w:t xml:space="preserve"> στη </w:t>
      </w:r>
      <w:r w:rsidRPr="001800FD">
        <w:rPr>
          <w:rFonts w:eastAsiaTheme="minorHAnsi"/>
          <w:lang w:eastAsia="en-US"/>
        </w:rPr>
        <w:t xml:space="preserve">Βουλή </w:t>
      </w:r>
      <w:r w:rsidRPr="00A517D3">
        <w:rPr>
          <w:rFonts w:eastAsiaTheme="minorHAnsi"/>
          <w:lang w:eastAsia="en-US"/>
        </w:rPr>
        <w:t>της οποίας έχει προηγηθεί η ενδιάμεση Έκθεσή του και λογοδοτεί ενώπιον της Βουλής εάν παραστεί ανάγκη.</w:t>
      </w:r>
    </w:p>
    <w:p w:rsidR="00D17F66" w:rsidRDefault="00654BFB" w:rsidP="00777193">
      <w:pPr>
        <w:spacing w:line="360" w:lineRule="auto"/>
        <w:ind w:firstLine="540"/>
        <w:jc w:val="both"/>
        <w:rPr>
          <w:color w:val="00000A"/>
        </w:rPr>
      </w:pPr>
      <w:r w:rsidRPr="009B7F5C">
        <w:rPr>
          <w:b/>
          <w:color w:val="00000A"/>
        </w:rPr>
        <w:t>Οι εμπορικές τράπεζες</w:t>
      </w:r>
      <w:r w:rsidRPr="00654BFB">
        <w:rPr>
          <w:color w:val="00000A"/>
        </w:rPr>
        <w:t xml:space="preserve"> έχουν μετεξελιχθεί σε σύγχρονα πιστωτικά ιδρύματα παροχής χρηματοοικονομικών υπηρεσιών. </w:t>
      </w:r>
      <w:r w:rsidR="00C667E1">
        <w:rPr>
          <w:color w:val="00000A"/>
        </w:rPr>
        <w:t>Παραδοσιακά πάντως</w:t>
      </w:r>
      <w:r w:rsidRPr="00654BFB">
        <w:rPr>
          <w:color w:val="00000A"/>
        </w:rPr>
        <w:t xml:space="preserve"> οι εργασίες των εμπορικών τραπεζών δι</w:t>
      </w:r>
      <w:r w:rsidR="00C667E1">
        <w:rPr>
          <w:color w:val="00000A"/>
        </w:rPr>
        <w:t>ακρίνονται σε τρεις κατηγορίες. Στις παθητικές εργασίες</w:t>
      </w:r>
      <w:r w:rsidRPr="00654BFB">
        <w:rPr>
          <w:color w:val="00000A"/>
        </w:rPr>
        <w:t xml:space="preserve"> περιλαμβάνονται οι κάθε μορφής καταθέσεις</w:t>
      </w:r>
      <w:r w:rsidR="00C667E1">
        <w:rPr>
          <w:color w:val="00000A"/>
        </w:rPr>
        <w:t xml:space="preserve"> </w:t>
      </w:r>
      <w:r w:rsidRPr="00654BFB">
        <w:rPr>
          <w:color w:val="00000A"/>
        </w:rPr>
        <w:t>(όψ</w:t>
      </w:r>
      <w:r w:rsidR="00C667E1">
        <w:rPr>
          <w:color w:val="00000A"/>
        </w:rPr>
        <w:t xml:space="preserve">εως, ταμιευτηρίου, προθεσμίας </w:t>
      </w:r>
      <w:r w:rsidRPr="00654BFB">
        <w:rPr>
          <w:color w:val="00000A"/>
        </w:rPr>
        <w:t>κλπ.</w:t>
      </w:r>
      <w:r w:rsidR="00C667E1">
        <w:rPr>
          <w:color w:val="00000A"/>
        </w:rPr>
        <w:t xml:space="preserve">) </w:t>
      </w:r>
      <w:r w:rsidR="00C667E1" w:rsidRPr="00654BFB">
        <w:rPr>
          <w:color w:val="00000A"/>
        </w:rPr>
        <w:t>καθώς και κάθε άλλη δραστηριότητα για άντληση και προσέλκυση κεφαλαίων από διάφορες πηγές.</w:t>
      </w:r>
      <w:r w:rsidR="00C667E1">
        <w:rPr>
          <w:color w:val="00000A"/>
        </w:rPr>
        <w:t xml:space="preserve"> (δηλαδή </w:t>
      </w:r>
      <w:r w:rsidR="00C667E1" w:rsidRPr="00654BFB">
        <w:rPr>
          <w:color w:val="00000A"/>
        </w:rPr>
        <w:t>εργασίες που αποτελούν στο</w:t>
      </w:r>
      <w:r w:rsidR="00C667E1">
        <w:rPr>
          <w:color w:val="00000A"/>
        </w:rPr>
        <w:t>ιχεία κυρίως του παθητικού τους</w:t>
      </w:r>
      <w:r w:rsidRPr="00654BFB">
        <w:rPr>
          <w:color w:val="00000A"/>
        </w:rPr>
        <w:t>)</w:t>
      </w:r>
      <w:r w:rsidR="00D17F66">
        <w:rPr>
          <w:color w:val="00000A"/>
        </w:rPr>
        <w:t xml:space="preserve">. </w:t>
      </w:r>
    </w:p>
    <w:p w:rsidR="00172802" w:rsidRPr="00172802" w:rsidRDefault="00654BFB" w:rsidP="00777193">
      <w:pPr>
        <w:suppressAutoHyphens/>
        <w:spacing w:line="360" w:lineRule="auto"/>
        <w:ind w:firstLine="547"/>
        <w:jc w:val="both"/>
        <w:rPr>
          <w:color w:val="00000A"/>
        </w:rPr>
      </w:pPr>
      <w:r w:rsidRPr="00654BFB">
        <w:rPr>
          <w:color w:val="00000A"/>
        </w:rPr>
        <w:t>Στις ενεργητικές εργασί</w:t>
      </w:r>
      <w:r w:rsidR="00C667E1">
        <w:rPr>
          <w:color w:val="00000A"/>
        </w:rPr>
        <w:t xml:space="preserve">ες, </w:t>
      </w:r>
      <w:r w:rsidRPr="00654BFB">
        <w:rPr>
          <w:color w:val="00000A"/>
        </w:rPr>
        <w:t xml:space="preserve">περιλαμβάνονται οι χρηματοδοτήσεις και οι λοιπές εργασίες παροχής πίστης, όπως οι εγγυητικές επιστολές καθώς και επενδύσεις κάθε μορφής όπως οι τοποθετήσεις σε χρεόγραφα </w:t>
      </w:r>
      <w:r w:rsidR="00C667E1">
        <w:rPr>
          <w:color w:val="00000A"/>
        </w:rPr>
        <w:t>ή</w:t>
      </w:r>
      <w:r w:rsidRPr="00654BFB">
        <w:rPr>
          <w:color w:val="00000A"/>
        </w:rPr>
        <w:t xml:space="preserve"> σε ξένα νομίσματα</w:t>
      </w:r>
      <w:r w:rsidR="00C667E1">
        <w:rPr>
          <w:color w:val="00000A"/>
        </w:rPr>
        <w:t xml:space="preserve"> (</w:t>
      </w:r>
      <w:r w:rsidR="00C667E1" w:rsidRPr="00654BFB">
        <w:rPr>
          <w:color w:val="00000A"/>
        </w:rPr>
        <w:t>δηλαδή στις εργασίες που αποτελούν στοιχεία κυρίως του ενεργητικού τους</w:t>
      </w:r>
      <w:r w:rsidR="00C667E1">
        <w:rPr>
          <w:color w:val="00000A"/>
        </w:rPr>
        <w:t>)</w:t>
      </w:r>
      <w:r w:rsidRPr="00654BFB">
        <w:rPr>
          <w:color w:val="00000A"/>
        </w:rPr>
        <w:t>.</w:t>
      </w:r>
      <w:r w:rsidR="00A517D3">
        <w:rPr>
          <w:color w:val="00000A"/>
        </w:rPr>
        <w:t xml:space="preserve"> </w:t>
      </w:r>
      <w:r w:rsidR="00A517D3" w:rsidRPr="00A517D3">
        <w:rPr>
          <w:color w:val="00000A"/>
        </w:rPr>
        <w:tab/>
        <w:t>Οι πιστώσεις προς τον ιδιωτικό τομέα αποτελούν το</w:t>
      </w:r>
      <w:r w:rsidR="00A517D3">
        <w:rPr>
          <w:color w:val="00000A"/>
        </w:rPr>
        <w:t xml:space="preserve"> πιο</w:t>
      </w:r>
      <w:r w:rsidR="00A517D3" w:rsidRPr="00A517D3">
        <w:rPr>
          <w:color w:val="00000A"/>
        </w:rPr>
        <w:t xml:space="preserve"> βασικό κερδοφόρο στοιχείο του ενεργητικού των εμπορικών τραπεζών.</w:t>
      </w:r>
      <w:r w:rsidR="00D17F66">
        <w:rPr>
          <w:color w:val="00000A"/>
        </w:rPr>
        <w:t xml:space="preserve"> </w:t>
      </w:r>
      <w:r w:rsidR="00C667E1">
        <w:rPr>
          <w:color w:val="00000A"/>
        </w:rPr>
        <w:t>Ο</w:t>
      </w:r>
      <w:r w:rsidR="00C667E1" w:rsidRPr="00654BFB">
        <w:rPr>
          <w:color w:val="00000A"/>
        </w:rPr>
        <w:t>ι εργασίες που παρέχονται από τις εμπορικές τράπε</w:t>
      </w:r>
      <w:r w:rsidR="00C667E1">
        <w:rPr>
          <w:color w:val="00000A"/>
        </w:rPr>
        <w:t>ζες έναντι κάποιας προμήθειας, εκτός του επιτοκίου</w:t>
      </w:r>
      <w:r w:rsidR="000D7C31">
        <w:rPr>
          <w:color w:val="00000A"/>
        </w:rPr>
        <w:t>, όπως κίνηση κεφαλαίων</w:t>
      </w:r>
      <w:r w:rsidR="00C667E1" w:rsidRPr="00654BFB">
        <w:rPr>
          <w:color w:val="00000A"/>
        </w:rPr>
        <w:t xml:space="preserve">, </w:t>
      </w:r>
      <w:r w:rsidR="000D7C31">
        <w:rPr>
          <w:color w:val="00000A"/>
        </w:rPr>
        <w:t>αγοροπωλησία τίτλων, ενοικίαση θυρίδων</w:t>
      </w:r>
      <w:r w:rsidR="00C667E1" w:rsidRPr="00654BFB">
        <w:rPr>
          <w:color w:val="00000A"/>
        </w:rPr>
        <w:t xml:space="preserve">, αγοραπωλησία συναλλάγματος </w:t>
      </w:r>
      <w:r w:rsidR="00C667E1">
        <w:rPr>
          <w:color w:val="00000A"/>
        </w:rPr>
        <w:t xml:space="preserve">ανήκουν στις λεγόμενες μεσολαβητικές εργασίες. </w:t>
      </w:r>
      <w:r w:rsidR="000D7C31">
        <w:rPr>
          <w:color w:val="00000A"/>
        </w:rPr>
        <w:t>Σε εποχές χαμηλών επιτοκίων αποτελούν σ</w:t>
      </w:r>
      <w:r w:rsidR="000D7C31" w:rsidRPr="000D7C31">
        <w:rPr>
          <w:color w:val="00000A"/>
        </w:rPr>
        <w:t>ημαντικό μέρος των δραστηριοτήτων των εμπορικών τραπεζών.</w:t>
      </w:r>
      <w:r w:rsidR="00D17F66">
        <w:rPr>
          <w:color w:val="00000A"/>
        </w:rPr>
        <w:t xml:space="preserve"> </w:t>
      </w:r>
      <w:r w:rsidR="00172802">
        <w:t>Έτσι</w:t>
      </w:r>
      <w:r w:rsidR="00172802" w:rsidRPr="009A6940">
        <w:t xml:space="preserve"> η πλειοψηφία των τραπεζικών ιδρυμάτων έχουν συμπεριλάβει στο χαρτοφυλάκιό τους υπηρεσίες/προϊόντα που αφορούν δραστηριότητες όπως ασφάλιση, μεσιτεία, διαχείριση περιουσιακών στοιχείων, καθώς και εναλλακτικές μετακινήσεις κεφαλαίου, όπως είναι το </w:t>
      </w:r>
      <w:r w:rsidR="00172802" w:rsidRPr="009A6940">
        <w:rPr>
          <w:lang w:val="en-US"/>
        </w:rPr>
        <w:t>leasing</w:t>
      </w:r>
      <w:r w:rsidR="00172802" w:rsidRPr="009A6940">
        <w:t xml:space="preserve"> (χρηματοδοτική μίσθωση), το </w:t>
      </w:r>
      <w:r w:rsidR="00172802" w:rsidRPr="009A6940">
        <w:rPr>
          <w:lang w:val="en-US"/>
        </w:rPr>
        <w:t>factoring</w:t>
      </w:r>
      <w:r w:rsidR="00172802" w:rsidRPr="009A6940">
        <w:t xml:space="preserve"> (πρακτορεία </w:t>
      </w:r>
      <w:r w:rsidR="00172802" w:rsidRPr="009A6940">
        <w:lastRenderedPageBreak/>
        <w:t>χρηματοδοτικών απαιτήσεων) και τα κεφάλαια επιχειρηματικού κινδύνου (</w:t>
      </w:r>
      <w:r w:rsidR="00172802" w:rsidRPr="009A6940">
        <w:rPr>
          <w:lang w:val="en-US"/>
        </w:rPr>
        <w:t>venture</w:t>
      </w:r>
      <w:r w:rsidR="00172802" w:rsidRPr="009A6940">
        <w:t xml:space="preserve"> </w:t>
      </w:r>
      <w:r w:rsidR="00172802" w:rsidRPr="009A6940">
        <w:rPr>
          <w:lang w:val="en-US"/>
        </w:rPr>
        <w:t>capital</w:t>
      </w:r>
      <w:r w:rsidR="00172802" w:rsidRPr="009A6940">
        <w:t xml:space="preserve">), αυξάνοντας με τον τρόπο αυτό τα μη </w:t>
      </w:r>
      <w:proofErr w:type="spellStart"/>
      <w:r w:rsidR="00172802" w:rsidRPr="009A6940">
        <w:t>επιτ</w:t>
      </w:r>
      <w:r w:rsidR="00172802" w:rsidRPr="009B7F5C">
        <w:t>οκιακά</w:t>
      </w:r>
      <w:proofErr w:type="spellEnd"/>
      <w:r w:rsidR="00172802" w:rsidRPr="009B7F5C">
        <w:t xml:space="preserve"> τους έσοδα (</w:t>
      </w:r>
      <w:proofErr w:type="spellStart"/>
      <w:r w:rsidR="00172802" w:rsidRPr="009B7F5C">
        <w:rPr>
          <w:lang w:val="en-US"/>
        </w:rPr>
        <w:t>Pasiouras</w:t>
      </w:r>
      <w:proofErr w:type="spellEnd"/>
      <w:r w:rsidR="00172802" w:rsidRPr="009B7F5C">
        <w:t>, 2008</w:t>
      </w:r>
      <w:r w:rsidR="005671B0">
        <w:t>,</w:t>
      </w:r>
      <w:r w:rsidR="00172802" w:rsidRPr="009B7F5C">
        <w:t xml:space="preserve"> </w:t>
      </w:r>
      <w:proofErr w:type="spellStart"/>
      <w:r w:rsidR="00172802" w:rsidRPr="009B7F5C">
        <w:rPr>
          <w:lang w:val="en-US"/>
        </w:rPr>
        <w:t>Spathi</w:t>
      </w:r>
      <w:r w:rsidR="009B7F5C" w:rsidRPr="009B7F5C">
        <w:rPr>
          <w:lang w:val="en-US"/>
        </w:rPr>
        <w:t>s</w:t>
      </w:r>
      <w:proofErr w:type="spellEnd"/>
      <w:r w:rsidR="00172802" w:rsidRPr="009B7F5C">
        <w:t xml:space="preserve">, </w:t>
      </w:r>
      <w:r w:rsidR="009B7F5C" w:rsidRPr="009B7F5C">
        <w:rPr>
          <w:lang w:val="en-US"/>
        </w:rPr>
        <w:t>et</w:t>
      </w:r>
      <w:r w:rsidR="009B7F5C" w:rsidRPr="009B7F5C">
        <w:t xml:space="preserve"> </w:t>
      </w:r>
      <w:r w:rsidR="009B7F5C" w:rsidRPr="009B7F5C">
        <w:rPr>
          <w:lang w:val="en-US"/>
        </w:rPr>
        <w:t>al</w:t>
      </w:r>
      <w:r w:rsidR="009B7F5C" w:rsidRPr="009B7F5C">
        <w:t>.,</w:t>
      </w:r>
      <w:r w:rsidR="00172802" w:rsidRPr="009B7F5C">
        <w:t xml:space="preserve">, 2002).     </w:t>
      </w:r>
    </w:p>
    <w:p w:rsidR="00D17F66" w:rsidRDefault="00A517D3" w:rsidP="00777193">
      <w:pPr>
        <w:suppressAutoHyphens/>
        <w:spacing w:line="360" w:lineRule="auto"/>
        <w:ind w:firstLine="547"/>
        <w:jc w:val="both"/>
        <w:rPr>
          <w:rFonts w:eastAsiaTheme="minorHAnsi"/>
          <w:lang w:eastAsia="en-US"/>
        </w:rPr>
      </w:pPr>
      <w:r w:rsidRPr="00A517D3">
        <w:rPr>
          <w:rFonts w:eastAsiaTheme="minorHAnsi"/>
          <w:lang w:eastAsia="en-US"/>
        </w:rPr>
        <w:t>Για την ίδρυση μιας εμπορικής τράπεζας ή την εγκατάσταση υποκαταστημάτων ξένης τράπεζας απαιτείται άδεια της Τράπεζας της Ελλάδος.</w:t>
      </w:r>
      <w:r>
        <w:rPr>
          <w:rFonts w:eastAsiaTheme="minorHAnsi"/>
          <w:lang w:eastAsia="en-US"/>
        </w:rPr>
        <w:t xml:space="preserve"> </w:t>
      </w:r>
      <w:r w:rsidRPr="00A517D3">
        <w:rPr>
          <w:rFonts w:eastAsiaTheme="minorHAnsi"/>
          <w:lang w:eastAsia="en-US"/>
        </w:rPr>
        <w:t xml:space="preserve">Το κατώτατο ύψος του μετοχικού κεφαλαίου </w:t>
      </w:r>
      <w:r w:rsidR="009B7F5C">
        <w:rPr>
          <w:rFonts w:eastAsiaTheme="minorHAnsi"/>
          <w:lang w:eastAsia="en-US"/>
        </w:rPr>
        <w:t xml:space="preserve">μέχρι πρόσφατα ήταν </w:t>
      </w:r>
      <w:r w:rsidRPr="00A517D3">
        <w:rPr>
          <w:rFonts w:eastAsiaTheme="minorHAnsi"/>
          <w:lang w:eastAsia="en-US"/>
        </w:rPr>
        <w:t>18.000.000 ευρώ και πρέπει να καταβληθεί σε μετρητά.</w:t>
      </w:r>
      <w:r w:rsidR="000D7C31">
        <w:rPr>
          <w:rFonts w:eastAsiaTheme="minorHAnsi"/>
          <w:lang w:eastAsia="en-US"/>
        </w:rPr>
        <w:t xml:space="preserve"> </w:t>
      </w:r>
      <w:r w:rsidRPr="00A517D3">
        <w:rPr>
          <w:rFonts w:eastAsiaTheme="minorHAnsi"/>
          <w:lang w:eastAsia="en-US"/>
        </w:rPr>
        <w:t>Δεν επιτρέπεται στις εμπορικές τράπεζες να κάνουν εμπόριο ούτε να αναλαμβάνουν τη βιομηχανική παραγωγή οποιουδήποτε είδους.</w:t>
      </w:r>
      <w:r w:rsidR="000D7C31">
        <w:rPr>
          <w:rFonts w:eastAsiaTheme="minorHAnsi"/>
          <w:lang w:eastAsia="en-US"/>
        </w:rPr>
        <w:t xml:space="preserve"> </w:t>
      </w:r>
      <w:r w:rsidRPr="00A517D3">
        <w:rPr>
          <w:rFonts w:eastAsiaTheme="minorHAnsi"/>
          <w:lang w:eastAsia="en-US"/>
        </w:rPr>
        <w:t>Ακόμη, απαγορεύεται στις εμπορικές τράπεζες η χορήγηση δανείων, πιστώσεων, ή εγγυητικών επιστολών στην ίδια επιχείρηση το συνολικό ποσό των οποίων υπερβαίνει το ένα πέμπτο του κεφαλαίου τους (μετοχικό και αποθεματικό) εκτός αν για συγκεκριμένους λόγους δοθεί άδεια του αρμόδιου Υπουργείου.</w:t>
      </w:r>
    </w:p>
    <w:p w:rsidR="00D17F66" w:rsidRDefault="00A517D3" w:rsidP="00777193">
      <w:pPr>
        <w:suppressAutoHyphens/>
        <w:spacing w:line="360" w:lineRule="auto"/>
        <w:ind w:firstLine="720"/>
        <w:jc w:val="both"/>
        <w:rPr>
          <w:rFonts w:eastAsiaTheme="minorHAnsi"/>
          <w:lang w:eastAsia="en-US"/>
        </w:rPr>
      </w:pPr>
      <w:r w:rsidRPr="00A517D3">
        <w:rPr>
          <w:rFonts w:eastAsiaTheme="minorHAnsi"/>
          <w:lang w:eastAsia="en-US"/>
        </w:rPr>
        <w:t>Η τραπεζική εξυπηρέτηση του Δημοσίου δεν είναι αρμοδιότητα των εμπορικών τραπεζών. Οι εμπορικές τράπεζες έχουν περιορισμένες σχέσεις με τις δημόσιες επιχειρήσεις και οργανισμούς. Τηρούν όμως τους λογαριασμούς ταμειακής διαχείρισης πολλών δημοσίων επιχειρήσεων</w:t>
      </w:r>
      <w:r w:rsidR="009B7F5C">
        <w:rPr>
          <w:rFonts w:eastAsiaTheme="minorHAnsi"/>
          <w:lang w:eastAsia="en-US"/>
        </w:rPr>
        <w:t xml:space="preserve"> αλλά έχουν και τοποθετήσεις σε τίτλους του Δημοσίου</w:t>
      </w:r>
      <w:r w:rsidR="000D7C31">
        <w:rPr>
          <w:rFonts w:eastAsiaTheme="minorHAnsi"/>
          <w:lang w:eastAsia="en-US"/>
        </w:rPr>
        <w:t xml:space="preserve">. Θα πρέπει τέλος να τονίσουμε ότι </w:t>
      </w:r>
      <w:r w:rsidR="000D7C31" w:rsidRPr="00A517D3">
        <w:rPr>
          <w:rFonts w:eastAsiaTheme="minorHAnsi"/>
          <w:lang w:eastAsia="en-US"/>
        </w:rPr>
        <w:t xml:space="preserve"> το </w:t>
      </w:r>
      <w:r w:rsidR="000D7C31">
        <w:rPr>
          <w:rFonts w:eastAsiaTheme="minorHAnsi"/>
          <w:lang w:eastAsia="en-US"/>
        </w:rPr>
        <w:t xml:space="preserve">Ελληνικό τραπεζικό σύστημα </w:t>
      </w:r>
      <w:r w:rsidR="000D7C31" w:rsidRPr="00A517D3">
        <w:rPr>
          <w:rFonts w:eastAsiaTheme="minorHAnsi"/>
          <w:lang w:eastAsia="en-US"/>
        </w:rPr>
        <w:t>διακρίνεται από υψηλό βαθμό συγκέντρωσης</w:t>
      </w:r>
      <w:r w:rsidR="000D7C31">
        <w:rPr>
          <w:rFonts w:eastAsiaTheme="minorHAnsi"/>
          <w:lang w:eastAsia="en-US"/>
        </w:rPr>
        <w:t xml:space="preserve"> ειδικά μετά την πρόσφατη </w:t>
      </w:r>
      <w:proofErr w:type="spellStart"/>
      <w:r w:rsidR="000D7C31">
        <w:rPr>
          <w:rFonts w:eastAsiaTheme="minorHAnsi"/>
          <w:lang w:eastAsia="en-US"/>
        </w:rPr>
        <w:t>ανακεφαλαιοποίηση</w:t>
      </w:r>
      <w:proofErr w:type="spellEnd"/>
      <w:r w:rsidR="000D7C31">
        <w:rPr>
          <w:rFonts w:eastAsiaTheme="minorHAnsi"/>
          <w:lang w:eastAsia="en-US"/>
        </w:rPr>
        <w:t xml:space="preserve"> των Ελληνικών τραπεζών</w:t>
      </w:r>
      <w:r w:rsidR="000D7C31" w:rsidRPr="00A517D3">
        <w:rPr>
          <w:rFonts w:eastAsiaTheme="minorHAnsi"/>
          <w:lang w:eastAsia="en-US"/>
        </w:rPr>
        <w:t>.</w:t>
      </w:r>
    </w:p>
    <w:p w:rsidR="00D17F66" w:rsidRDefault="00654BFB" w:rsidP="00777193">
      <w:pPr>
        <w:suppressAutoHyphens/>
        <w:spacing w:line="360" w:lineRule="auto"/>
        <w:ind w:firstLine="720"/>
        <w:jc w:val="both"/>
        <w:rPr>
          <w:color w:val="00000A"/>
        </w:rPr>
      </w:pPr>
      <w:r w:rsidRPr="00654BFB">
        <w:rPr>
          <w:b/>
          <w:color w:val="00000A"/>
        </w:rPr>
        <w:t>Οι συνεταιριστικές τράπεζες</w:t>
      </w:r>
      <w:r w:rsidRPr="00654BFB">
        <w:rPr>
          <w:color w:val="00000A"/>
        </w:rPr>
        <w:t xml:space="preserve"> αποτελούν άλλο ένα τύπο χρηματοοικονομικών οργανισμών. Συναντώνται σε πάρα πολλές χώρες, ενώ διεθνώς ο αριθμός τους υπολογίζεται ότι υπερβαίνει τις 50.000</w:t>
      </w:r>
      <w:r w:rsidR="00206FF7" w:rsidRPr="00206FF7">
        <w:rPr>
          <w:color w:val="00000A"/>
        </w:rPr>
        <w:t xml:space="preserve"> </w:t>
      </w:r>
      <w:r w:rsidRPr="00654BFB">
        <w:rPr>
          <w:color w:val="00000A"/>
        </w:rPr>
        <w:t>(</w:t>
      </w:r>
      <w:proofErr w:type="spellStart"/>
      <w:r w:rsidR="009B7F5C">
        <w:rPr>
          <w:color w:val="00000A"/>
        </w:rPr>
        <w:t>Κιντής</w:t>
      </w:r>
      <w:proofErr w:type="spellEnd"/>
      <w:r w:rsidR="009B7F5C">
        <w:rPr>
          <w:color w:val="00000A"/>
        </w:rPr>
        <w:t xml:space="preserve">, 2004, </w:t>
      </w:r>
      <w:r w:rsidRPr="00654BFB">
        <w:rPr>
          <w:color w:val="00000A"/>
        </w:rPr>
        <w:t>Αγγελόπουλος</w:t>
      </w:r>
      <w:r w:rsidR="00206FF7" w:rsidRPr="00206FF7">
        <w:rPr>
          <w:color w:val="00000A"/>
        </w:rPr>
        <w:t>,</w:t>
      </w:r>
      <w:r w:rsidRPr="00654BFB">
        <w:rPr>
          <w:color w:val="00000A"/>
        </w:rPr>
        <w:t xml:space="preserve"> 200</w:t>
      </w:r>
      <w:r w:rsidR="009B7F5C">
        <w:rPr>
          <w:color w:val="00000A"/>
        </w:rPr>
        <w:t>8</w:t>
      </w:r>
      <w:r w:rsidRPr="00654BFB">
        <w:rPr>
          <w:color w:val="00000A"/>
        </w:rPr>
        <w:t>).</w:t>
      </w:r>
      <w:r w:rsidR="00206FF7" w:rsidRPr="00206FF7">
        <w:rPr>
          <w:color w:val="00000A"/>
        </w:rPr>
        <w:t xml:space="preserve"> </w:t>
      </w:r>
      <w:r w:rsidRPr="00654BFB">
        <w:rPr>
          <w:color w:val="00000A"/>
        </w:rPr>
        <w:t>Στην Ελλάδα εμφανίστηκαν στην αρχή της δεκαετίας του 1990 και εποπτεύον</w:t>
      </w:r>
      <w:r w:rsidR="00206FF7">
        <w:rPr>
          <w:color w:val="00000A"/>
        </w:rPr>
        <w:t>ται από την Τράπεζα της Ελλάδος.</w:t>
      </w:r>
      <w:r w:rsidR="00D17F66">
        <w:rPr>
          <w:color w:val="00000A"/>
        </w:rPr>
        <w:t xml:space="preserve"> </w:t>
      </w:r>
      <w:r w:rsidRPr="00654BFB">
        <w:rPr>
          <w:color w:val="00000A"/>
        </w:rPr>
        <w:t xml:space="preserve">Οι συνεταιριστικές τράπεζες δραστηριοποιούνται </w:t>
      </w:r>
      <w:r w:rsidR="00206FF7">
        <w:rPr>
          <w:color w:val="00000A"/>
        </w:rPr>
        <w:t xml:space="preserve">σε </w:t>
      </w:r>
      <w:r w:rsidRPr="00654BFB">
        <w:rPr>
          <w:color w:val="00000A"/>
        </w:rPr>
        <w:t>συγκεκριμένες γεωγραφικές περιοχές. Αντλούν κεφάλαια από τις αποταμιεύσεις της περιοχής τους, μέσω της χρηματοδότησης από τα μέλη τους. Ουσιαστικά συντελούν στην οικονομική ανάπτυξη των περιοχών όπου εγκαθίστανται μέσω της αξιοποίησης των κεφαλαίων των κατοίκων των περιοχών αυτών. Μπορούν  ωστόσο να επεκταθούν εκτός νομού αν το κρίνει η Τράπεζα της Ελλάδος μετρώντα</w:t>
      </w:r>
      <w:r w:rsidR="00C667E1">
        <w:rPr>
          <w:color w:val="00000A"/>
        </w:rPr>
        <w:t>ς υποδομές, συστήματα ασφαλείας</w:t>
      </w:r>
      <w:r w:rsidRPr="00654BFB">
        <w:rPr>
          <w:color w:val="00000A"/>
        </w:rPr>
        <w:t>,</w:t>
      </w:r>
      <w:r w:rsidR="00C667E1">
        <w:rPr>
          <w:color w:val="00000A"/>
        </w:rPr>
        <w:t xml:space="preserve"> </w:t>
      </w:r>
      <w:r w:rsidRPr="00654BFB">
        <w:rPr>
          <w:color w:val="00000A"/>
        </w:rPr>
        <w:t>προσωπικό και κυρίως διαθέσιμο κεφάλαια. Αν αυτά είναι επαρκή δίνεται έγκριση επέκτασης.</w:t>
      </w:r>
    </w:p>
    <w:p w:rsidR="00D17F66" w:rsidRDefault="00206FF7" w:rsidP="009B7F5C">
      <w:pPr>
        <w:suppressAutoHyphens/>
        <w:spacing w:line="360" w:lineRule="auto"/>
        <w:ind w:firstLine="547"/>
        <w:jc w:val="both"/>
        <w:rPr>
          <w:color w:val="00000A"/>
        </w:rPr>
      </w:pPr>
      <w:r w:rsidRPr="00654BFB">
        <w:rPr>
          <w:color w:val="00000A"/>
        </w:rPr>
        <w:lastRenderedPageBreak/>
        <w:t>Η  ίδρυση, οργάνωση και λειτουργία των τραπεζών αυτών στηρίζονται στις αρχές της συνεταιριστικής επιχείρησης. Το πρώιμο στάδιο των συνεταιριστικών τραπεζών είναι ο πιστωτικός συνεταιρισμός, στις δραστηριότητες του οποίου π</w:t>
      </w:r>
      <w:r>
        <w:rPr>
          <w:color w:val="00000A"/>
        </w:rPr>
        <w:t>εριλαμβάνονται η παροχή δανείων</w:t>
      </w:r>
      <w:r w:rsidRPr="00654BFB">
        <w:rPr>
          <w:color w:val="00000A"/>
        </w:rPr>
        <w:t>,</w:t>
      </w:r>
      <w:r w:rsidRPr="00206FF7">
        <w:rPr>
          <w:color w:val="00000A"/>
        </w:rPr>
        <w:t xml:space="preserve"> </w:t>
      </w:r>
      <w:r w:rsidRPr="00654BFB">
        <w:rPr>
          <w:color w:val="00000A"/>
        </w:rPr>
        <w:t>εγγυήσεων, ασφαλειών ή άλλων χρηματοοικονομικών διευκολύνσεων στα μέλη του (</w:t>
      </w:r>
      <w:proofErr w:type="spellStart"/>
      <w:r w:rsidRPr="00654BFB">
        <w:rPr>
          <w:color w:val="00000A"/>
        </w:rPr>
        <w:t>Κιντής</w:t>
      </w:r>
      <w:proofErr w:type="spellEnd"/>
      <w:r w:rsidRPr="00206FF7">
        <w:rPr>
          <w:color w:val="00000A"/>
        </w:rPr>
        <w:t>,</w:t>
      </w:r>
      <w:r w:rsidRPr="00654BFB">
        <w:rPr>
          <w:color w:val="00000A"/>
        </w:rPr>
        <w:t xml:space="preserve"> 2004).</w:t>
      </w:r>
      <w:r w:rsidRPr="00206FF7">
        <w:rPr>
          <w:color w:val="00000A"/>
        </w:rPr>
        <w:t xml:space="preserve"> </w:t>
      </w:r>
      <w:r w:rsidRPr="00654BFB">
        <w:rPr>
          <w:color w:val="00000A"/>
        </w:rPr>
        <w:t xml:space="preserve">Μετά την έναρξη λειτουργίας ως πιστωτικό ίδρυμα, ο πιστωτικός συνεταιρισμός δύναται να δέχεται καταθέσεις, να χορηγεί πιστώσεις και γενικά να διενεργεί κάθε είδους τραπεζικές εργασίες, εκτός αν κάποια από αυτές έχει ειδικά απαγορευτεί για τις </w:t>
      </w:r>
      <w:r w:rsidR="009B7F5C">
        <w:rPr>
          <w:color w:val="00000A"/>
        </w:rPr>
        <w:t>συνεταιριστικές τράπεζες. Γενικό</w:t>
      </w:r>
      <w:r w:rsidRPr="00654BFB">
        <w:rPr>
          <w:color w:val="00000A"/>
        </w:rPr>
        <w:t>ς σκοπός πάντως είναι η εξυπηρέτηση και η προώθηση των συμφερόντων των μελών τους. Η παροχή υπηρεσιών στα μέλη, από την άλλη</w:t>
      </w:r>
      <w:r w:rsidR="00C667E1">
        <w:rPr>
          <w:color w:val="00000A"/>
        </w:rPr>
        <w:t>,</w:t>
      </w:r>
      <w:r w:rsidRPr="00654BFB">
        <w:rPr>
          <w:color w:val="00000A"/>
        </w:rPr>
        <w:t xml:space="preserve"> εξαρτάται από τις συνεταιριστ</w:t>
      </w:r>
      <w:r w:rsidR="00CA28DB">
        <w:rPr>
          <w:color w:val="00000A"/>
        </w:rPr>
        <w:t>ικές μερίδες που αυτοί κατέχουν.</w:t>
      </w:r>
    </w:p>
    <w:p w:rsidR="00D17F66" w:rsidRDefault="00654BFB" w:rsidP="009B7F5C">
      <w:pPr>
        <w:suppressAutoHyphens/>
        <w:spacing w:line="360" w:lineRule="auto"/>
        <w:ind w:firstLine="547"/>
        <w:jc w:val="both"/>
        <w:rPr>
          <w:bCs/>
          <w:color w:val="00000A"/>
        </w:rPr>
      </w:pPr>
      <w:r w:rsidRPr="00654BFB">
        <w:rPr>
          <w:b/>
          <w:color w:val="00000A"/>
        </w:rPr>
        <w:t xml:space="preserve">Οι </w:t>
      </w:r>
      <w:r w:rsidR="0021531E" w:rsidRPr="00D17F66">
        <w:rPr>
          <w:b/>
          <w:color w:val="00000A"/>
        </w:rPr>
        <w:t>ειδικοί πιστωτικοί οργανισμοί</w:t>
      </w:r>
      <w:r w:rsidRPr="00654BFB">
        <w:rPr>
          <w:color w:val="00000A"/>
        </w:rPr>
        <w:t xml:space="preserve"> διεξάγουν περιορισμένες τραπεζικές εργασίες.</w:t>
      </w:r>
      <w:r w:rsidR="0021531E">
        <w:rPr>
          <w:color w:val="00000A"/>
        </w:rPr>
        <w:t xml:space="preserve"> Στην Ελλάδα για αρκετά χρόνια λειτουργούσαν δυο τέτοιοι οργανισμοί </w:t>
      </w:r>
      <w:r w:rsidRPr="00654BFB">
        <w:rPr>
          <w:color w:val="00000A"/>
        </w:rPr>
        <w:t xml:space="preserve">α) </w:t>
      </w:r>
      <w:r w:rsidRPr="00654BFB">
        <w:rPr>
          <w:bCs/>
          <w:color w:val="00000A"/>
        </w:rPr>
        <w:t xml:space="preserve">το ταμείο παρακαταθηκών και δανείων </w:t>
      </w:r>
      <w:r w:rsidRPr="00654BFB">
        <w:rPr>
          <w:color w:val="00000A"/>
        </w:rPr>
        <w:t xml:space="preserve">και β) </w:t>
      </w:r>
      <w:r w:rsidRPr="00654BFB">
        <w:rPr>
          <w:bCs/>
          <w:color w:val="00000A"/>
        </w:rPr>
        <w:t>το ταχυδρομικό ταμιευτήριο.</w:t>
      </w:r>
      <w:r w:rsidR="00D17F66">
        <w:rPr>
          <w:bCs/>
          <w:color w:val="00000A"/>
        </w:rPr>
        <w:t xml:space="preserve"> </w:t>
      </w:r>
    </w:p>
    <w:p w:rsidR="009B7F5C" w:rsidRDefault="00654BFB" w:rsidP="009B7F5C">
      <w:pPr>
        <w:suppressAutoHyphens/>
        <w:spacing w:line="360" w:lineRule="auto"/>
        <w:ind w:firstLine="547"/>
        <w:jc w:val="both"/>
        <w:rPr>
          <w:color w:val="00000A"/>
        </w:rPr>
      </w:pPr>
      <w:r w:rsidRPr="00654BFB">
        <w:rPr>
          <w:color w:val="00000A"/>
        </w:rPr>
        <w:t xml:space="preserve">Το </w:t>
      </w:r>
      <w:r w:rsidRPr="00654BFB">
        <w:rPr>
          <w:bCs/>
          <w:color w:val="00000A"/>
        </w:rPr>
        <w:t>ταμείο παρακαταθηκών και δανείων</w:t>
      </w:r>
      <w:r w:rsidRPr="00654BFB">
        <w:rPr>
          <w:color w:val="00000A"/>
        </w:rPr>
        <w:t xml:space="preserve"> είναι Ν.Π.Δ.Δ. με έτος ίδρυσης το 1919 και βασικούς σκοπούς τη φύλαξη και τη διαχείριση παρακαταθηκών, τη χορήγηση δανείων, την ταμειακή διαχείριση τ</w:t>
      </w:r>
      <w:r w:rsidR="0021531E">
        <w:rPr>
          <w:color w:val="00000A"/>
        </w:rPr>
        <w:t xml:space="preserve">ων κεφαλαίων των ΟΤΑ, κ.α. Πρόκειται για έναν </w:t>
      </w:r>
      <w:r w:rsidRPr="00654BFB">
        <w:rPr>
          <w:color w:val="00000A"/>
        </w:rPr>
        <w:t>αυτόνομο χρηματοπιστωτικό διαχειριστικό οργανισμό περιφερειακής ανάπτυξης με δική του περιουσία, κίνδυνο και πίστη. Διοικείται  από το διοικητ</w:t>
      </w:r>
      <w:r w:rsidR="0021531E">
        <w:rPr>
          <w:color w:val="00000A"/>
        </w:rPr>
        <w:t>ικό  συμβούλιο τριετούς θητείας</w:t>
      </w:r>
      <w:r w:rsidRPr="00654BFB">
        <w:rPr>
          <w:color w:val="00000A"/>
        </w:rPr>
        <w:t>, η σύνθεση και συγκρότηση του οποίου καθορίζεται με απόφαση του Υπουργού Οικονομικών, ο οποίος εποπτεύει τον οργανισμό. Παράλληλα εποπτεύεται  από την Κεντρική Τράπεζα για δραστηριότητες που εμπίπτουν στην αρμοδιότητα της.</w:t>
      </w:r>
    </w:p>
    <w:p w:rsidR="00172802" w:rsidRDefault="00654BFB" w:rsidP="009B7F5C">
      <w:pPr>
        <w:suppressAutoHyphens/>
        <w:spacing w:line="360" w:lineRule="auto"/>
        <w:ind w:firstLine="547"/>
        <w:jc w:val="both"/>
        <w:rPr>
          <w:color w:val="00000A"/>
        </w:rPr>
      </w:pPr>
      <w:r w:rsidRPr="00654BFB">
        <w:rPr>
          <w:color w:val="00000A"/>
        </w:rPr>
        <w:t xml:space="preserve">Το </w:t>
      </w:r>
      <w:r w:rsidRPr="00654BFB">
        <w:rPr>
          <w:bCs/>
          <w:color w:val="00000A"/>
        </w:rPr>
        <w:t xml:space="preserve">ταχυδρομικό ταμιευτήριο </w:t>
      </w:r>
      <w:r w:rsidRPr="00654BFB">
        <w:rPr>
          <w:color w:val="00000A"/>
        </w:rPr>
        <w:t xml:space="preserve">ιδρύθηκε το 1900 μέχρι το 2002, που με την ψήφιση νόμου μετατράπηκε σε ανώνυμη εταιρία ,υπήρξε αυτοτελής δημόσια υπηρεσία με διοικητική και οικονομική αποκέντρωση, εποπτευόμενη από τον Υπουργό μεταφορών &amp; επικοινωνιών. Αποστόλη τους είναι η </w:t>
      </w:r>
      <w:r w:rsidR="00525533">
        <w:rPr>
          <w:color w:val="00000A"/>
        </w:rPr>
        <w:t>δημιουργία</w:t>
      </w:r>
      <w:r w:rsidRPr="00654BFB">
        <w:rPr>
          <w:color w:val="00000A"/>
        </w:rPr>
        <w:t xml:space="preserve"> πνεύματος </w:t>
      </w:r>
      <w:r w:rsidR="0021531E" w:rsidRPr="00654BFB">
        <w:rPr>
          <w:color w:val="00000A"/>
        </w:rPr>
        <w:t>αποταμίευσης</w:t>
      </w:r>
      <w:r w:rsidRPr="00654BFB">
        <w:rPr>
          <w:color w:val="00000A"/>
        </w:rPr>
        <w:t xml:space="preserve"> </w:t>
      </w:r>
      <w:r w:rsidR="0021531E">
        <w:rPr>
          <w:color w:val="00000A"/>
        </w:rPr>
        <w:t xml:space="preserve">και </w:t>
      </w:r>
      <w:r w:rsidRPr="00654BFB">
        <w:rPr>
          <w:color w:val="00000A"/>
        </w:rPr>
        <w:t>αξιοποίηση των καταθέσεων για την οικονομική ανάπτυξη της χώρας και την εκπλήρωση γενικότερων κοινωφελών σκοπών.</w:t>
      </w:r>
      <w:r w:rsidR="00D17F66">
        <w:rPr>
          <w:color w:val="00000A"/>
        </w:rPr>
        <w:t xml:space="preserve"> </w:t>
      </w:r>
      <w:r w:rsidR="0021531E">
        <w:rPr>
          <w:color w:val="00000A"/>
        </w:rPr>
        <w:t xml:space="preserve">Μετά την πρόσφατη κρίση χρέους στην Ελλάδα και την αναδιάρθρωση του τραπεζικού τομέα εξαγοράστηκε από την τράπεζα </w:t>
      </w:r>
      <w:proofErr w:type="spellStart"/>
      <w:r w:rsidR="0021531E">
        <w:rPr>
          <w:color w:val="00000A"/>
          <w:lang w:val="en-US"/>
        </w:rPr>
        <w:t>Eurobank</w:t>
      </w:r>
      <w:proofErr w:type="spellEnd"/>
      <w:r w:rsidR="0021531E" w:rsidRPr="0021531E">
        <w:rPr>
          <w:color w:val="00000A"/>
        </w:rPr>
        <w:t xml:space="preserve">. </w:t>
      </w:r>
    </w:p>
    <w:p w:rsidR="002A671E" w:rsidRPr="00172802" w:rsidRDefault="00426A2D" w:rsidP="00525533">
      <w:pPr>
        <w:suppressAutoHyphens/>
        <w:spacing w:line="360" w:lineRule="auto"/>
        <w:ind w:firstLine="540"/>
        <w:jc w:val="both"/>
        <w:rPr>
          <w:color w:val="00000A"/>
        </w:rPr>
      </w:pPr>
      <w:r w:rsidRPr="00426A2D">
        <w:rPr>
          <w:rFonts w:eastAsiaTheme="minorHAnsi"/>
          <w:lang w:eastAsia="en-US"/>
        </w:rPr>
        <w:lastRenderedPageBreak/>
        <w:t>Σύμφωνα με στοιχεία που δημοσιεύονται από την Τράπεζα της Ελλάδος τα τραπεζικά προϊόντα και υπηρεσίες προσφέρονται σήμερα στην Ελλάδα από 483 πιστωτικούς οργανισμούς</w:t>
      </w:r>
      <w:r w:rsidR="002A671E">
        <w:rPr>
          <w:rStyle w:val="ac"/>
          <w:rFonts w:eastAsiaTheme="minorHAnsi"/>
          <w:lang w:eastAsia="en-US"/>
        </w:rPr>
        <w:footnoteReference w:id="3"/>
      </w:r>
      <w:r w:rsidRPr="00426A2D">
        <w:rPr>
          <w:rFonts w:eastAsiaTheme="minorHAnsi"/>
          <w:lang w:eastAsia="en-US"/>
        </w:rPr>
        <w:t>:</w:t>
      </w:r>
    </w:p>
    <w:p w:rsidR="00D17F66" w:rsidRDefault="00426A2D" w:rsidP="002E12D2">
      <w:pPr>
        <w:numPr>
          <w:ilvl w:val="0"/>
          <w:numId w:val="9"/>
        </w:numPr>
        <w:spacing w:line="360" w:lineRule="auto"/>
        <w:contextualSpacing/>
        <w:rPr>
          <w:rFonts w:eastAsiaTheme="minorHAnsi"/>
          <w:lang w:eastAsia="en-US"/>
        </w:rPr>
      </w:pPr>
      <w:r w:rsidRPr="00426A2D">
        <w:rPr>
          <w:rFonts w:eastAsiaTheme="minorHAnsi"/>
          <w:lang w:eastAsia="en-US"/>
        </w:rPr>
        <w:t>20 πιστωτικά ιδρύματα</w:t>
      </w:r>
      <w:r w:rsidR="00D17F66">
        <w:rPr>
          <w:rFonts w:eastAsiaTheme="minorHAnsi"/>
          <w:lang w:eastAsia="en-US"/>
        </w:rPr>
        <w:t xml:space="preserve"> </w:t>
      </w:r>
      <w:r w:rsidRPr="00426A2D">
        <w:rPr>
          <w:rFonts w:eastAsiaTheme="minorHAnsi"/>
          <w:lang w:eastAsia="en-US"/>
        </w:rPr>
        <w:t xml:space="preserve">(10 εμπορικές και 10 συνεταιριστικές τράπεζες) που εδρεύουν στην Ελλάδα και ελέγχονται από την </w:t>
      </w:r>
      <w:proofErr w:type="spellStart"/>
      <w:r w:rsidRPr="00426A2D">
        <w:rPr>
          <w:rFonts w:eastAsiaTheme="minorHAnsi"/>
          <w:lang w:eastAsia="en-US"/>
        </w:rPr>
        <w:t>ΤτΕ</w:t>
      </w:r>
      <w:proofErr w:type="spellEnd"/>
      <w:r w:rsidRPr="00426A2D">
        <w:rPr>
          <w:rFonts w:eastAsiaTheme="minorHAnsi"/>
          <w:lang w:eastAsia="en-US"/>
        </w:rPr>
        <w:t xml:space="preserve">, </w:t>
      </w:r>
    </w:p>
    <w:p w:rsidR="00D17F66" w:rsidRDefault="00426A2D" w:rsidP="002E12D2">
      <w:pPr>
        <w:numPr>
          <w:ilvl w:val="0"/>
          <w:numId w:val="9"/>
        </w:numPr>
        <w:spacing w:after="200" w:line="360" w:lineRule="auto"/>
        <w:contextualSpacing/>
        <w:rPr>
          <w:rFonts w:eastAsiaTheme="minorHAnsi"/>
          <w:lang w:eastAsia="en-US"/>
        </w:rPr>
      </w:pPr>
      <w:r w:rsidRPr="00426A2D">
        <w:rPr>
          <w:rFonts w:eastAsiaTheme="minorHAnsi"/>
          <w:lang w:eastAsia="en-US"/>
        </w:rPr>
        <w:t xml:space="preserve">15 υποκαταστήματα πιστωτικών ιδρυμάτων που έχουν την έδρα τους σε άλλο κράτος μέλος της ΕΕ, </w:t>
      </w:r>
    </w:p>
    <w:p w:rsidR="00426A2D" w:rsidRPr="00426A2D" w:rsidRDefault="00426A2D" w:rsidP="002E12D2">
      <w:pPr>
        <w:numPr>
          <w:ilvl w:val="0"/>
          <w:numId w:val="9"/>
        </w:numPr>
        <w:spacing w:after="200" w:line="360" w:lineRule="auto"/>
        <w:contextualSpacing/>
        <w:rPr>
          <w:rFonts w:eastAsiaTheme="minorHAnsi"/>
          <w:lang w:eastAsia="en-US"/>
        </w:rPr>
      </w:pPr>
      <w:r w:rsidRPr="00426A2D">
        <w:rPr>
          <w:rFonts w:eastAsiaTheme="minorHAnsi"/>
          <w:lang w:eastAsia="en-US"/>
        </w:rPr>
        <w:t xml:space="preserve">4 υποκαταστήματα πιστωτικών ιδρυμάτων που εδρεύουν εκτός ΕΕ και εποπτεύονται από την </w:t>
      </w:r>
      <w:proofErr w:type="spellStart"/>
      <w:r w:rsidRPr="00426A2D">
        <w:rPr>
          <w:rFonts w:eastAsiaTheme="minorHAnsi"/>
          <w:lang w:eastAsia="en-US"/>
        </w:rPr>
        <w:t>ΤτΕ</w:t>
      </w:r>
      <w:proofErr w:type="spellEnd"/>
      <w:r w:rsidRPr="00426A2D">
        <w:rPr>
          <w:rFonts w:eastAsiaTheme="minorHAnsi"/>
          <w:lang w:eastAsia="en-US"/>
        </w:rPr>
        <w:t xml:space="preserve"> και τέλος το Ταμείο Παρακαταθηκών και Δανείων.</w:t>
      </w:r>
    </w:p>
    <w:p w:rsidR="00525533" w:rsidRDefault="00426A2D" w:rsidP="002E12D2">
      <w:pPr>
        <w:numPr>
          <w:ilvl w:val="0"/>
          <w:numId w:val="9"/>
        </w:numPr>
        <w:spacing w:after="200" w:line="360" w:lineRule="auto"/>
        <w:contextualSpacing/>
        <w:rPr>
          <w:rFonts w:eastAsiaTheme="minorHAnsi"/>
          <w:lang w:eastAsia="en-US"/>
        </w:rPr>
      </w:pPr>
      <w:r w:rsidRPr="00525533">
        <w:rPr>
          <w:rFonts w:eastAsiaTheme="minorHAnsi"/>
          <w:lang w:eastAsia="en-US"/>
        </w:rPr>
        <w:t xml:space="preserve">382 πιστωτικά ιδρύματα τα οποία εδρεύουν σε άλλο κράτος μέλος του </w:t>
      </w:r>
      <w:proofErr w:type="spellStart"/>
      <w:r w:rsidRPr="00525533">
        <w:rPr>
          <w:rFonts w:eastAsiaTheme="minorHAnsi"/>
          <w:lang w:eastAsia="en-US"/>
        </w:rPr>
        <w:t>Ευρωπαικού</w:t>
      </w:r>
      <w:proofErr w:type="spellEnd"/>
      <w:r w:rsidRPr="00525533">
        <w:rPr>
          <w:rFonts w:eastAsiaTheme="minorHAnsi"/>
          <w:lang w:eastAsia="en-US"/>
        </w:rPr>
        <w:t xml:space="preserve"> Οικονομικού Χώρου (Ε.Ο.Χ.)</w:t>
      </w:r>
      <w:r w:rsidR="00525533">
        <w:rPr>
          <w:rStyle w:val="ac"/>
          <w:rFonts w:eastAsiaTheme="minorHAnsi"/>
          <w:lang w:eastAsia="en-US"/>
        </w:rPr>
        <w:footnoteReference w:id="4"/>
      </w:r>
      <w:r w:rsidRPr="00525533">
        <w:rPr>
          <w:rFonts w:eastAsiaTheme="minorHAnsi"/>
          <w:lang w:eastAsia="en-US"/>
        </w:rPr>
        <w:t xml:space="preserve"> και βρίσκονται υπό τον έλεγχο των αρμόδιων α</w:t>
      </w:r>
      <w:r w:rsidR="00525533">
        <w:rPr>
          <w:rFonts w:eastAsiaTheme="minorHAnsi"/>
          <w:lang w:eastAsia="en-US"/>
        </w:rPr>
        <w:t xml:space="preserve">ρχών της χώρας καταγωγής τους. </w:t>
      </w:r>
    </w:p>
    <w:p w:rsidR="00426A2D" w:rsidRPr="00525533" w:rsidRDefault="00426A2D" w:rsidP="002E12D2">
      <w:pPr>
        <w:numPr>
          <w:ilvl w:val="0"/>
          <w:numId w:val="9"/>
        </w:numPr>
        <w:spacing w:after="200" w:line="360" w:lineRule="auto"/>
        <w:contextualSpacing/>
        <w:rPr>
          <w:rFonts w:eastAsiaTheme="minorHAnsi"/>
          <w:lang w:eastAsia="en-US"/>
        </w:rPr>
      </w:pPr>
      <w:r w:rsidRPr="00525533">
        <w:rPr>
          <w:rFonts w:eastAsiaTheme="minorHAnsi"/>
          <w:lang w:eastAsia="en-US"/>
        </w:rPr>
        <w:t xml:space="preserve">81 εταιρίες του χρηματοπιστωτικού συστήματος οι οποίες παρέχουν εξειδικευμένες υπηρεσίες και βρίσκονται υπό την καθοδήγηση και τον έλεγχο της </w:t>
      </w:r>
      <w:proofErr w:type="spellStart"/>
      <w:r w:rsidRPr="00525533">
        <w:rPr>
          <w:rFonts w:eastAsiaTheme="minorHAnsi"/>
          <w:lang w:eastAsia="en-US"/>
        </w:rPr>
        <w:t>ΤτΕ</w:t>
      </w:r>
      <w:proofErr w:type="spellEnd"/>
      <w:r w:rsidRPr="00525533">
        <w:rPr>
          <w:rFonts w:eastAsiaTheme="minorHAnsi"/>
          <w:lang w:eastAsia="en-US"/>
        </w:rPr>
        <w:t>.</w:t>
      </w:r>
    </w:p>
    <w:p w:rsidR="00426A2D" w:rsidRDefault="00426A2D" w:rsidP="00E90AB3">
      <w:pPr>
        <w:autoSpaceDE w:val="0"/>
        <w:autoSpaceDN w:val="0"/>
        <w:adjustRightInd w:val="0"/>
        <w:rPr>
          <w:iCs/>
        </w:rPr>
      </w:pPr>
    </w:p>
    <w:p w:rsidR="00AC5FBF" w:rsidRPr="00777193" w:rsidRDefault="00AC5FBF" w:rsidP="00172802">
      <w:pPr>
        <w:spacing w:line="360" w:lineRule="auto"/>
        <w:jc w:val="both"/>
        <w:rPr>
          <w:b/>
          <w:i/>
          <w:u w:val="single"/>
        </w:rPr>
      </w:pPr>
      <w:r w:rsidRPr="00777193">
        <w:rPr>
          <w:b/>
          <w:i/>
          <w:u w:val="single"/>
        </w:rPr>
        <w:t>Πρόσφατες εξελίξεις στο Ελληνικό τραπεζικό σύστημα</w:t>
      </w:r>
    </w:p>
    <w:p w:rsidR="005671B0" w:rsidRDefault="00AC5FBF" w:rsidP="005671B0">
      <w:pPr>
        <w:suppressAutoHyphens/>
        <w:spacing w:line="360" w:lineRule="auto"/>
        <w:ind w:firstLine="540"/>
        <w:jc w:val="both"/>
      </w:pPr>
      <w:r>
        <w:t>Η</w:t>
      </w:r>
      <w:r w:rsidR="00172802" w:rsidRPr="009A6940">
        <w:t xml:space="preserve"> πρόσφατη χρηματοπιστωτική κρίση που ξέσπασε το φθινόπωρο του 2008, </w:t>
      </w:r>
      <w:r w:rsidR="00172802">
        <w:t xml:space="preserve">μετά την χρεοκοπία της </w:t>
      </w:r>
      <w:r w:rsidR="00172802">
        <w:rPr>
          <w:lang w:val="en-US"/>
        </w:rPr>
        <w:t>Lehman</w:t>
      </w:r>
      <w:r w:rsidR="00172802" w:rsidRPr="00172802">
        <w:t xml:space="preserve"> </w:t>
      </w:r>
      <w:r w:rsidR="00172802">
        <w:rPr>
          <w:lang w:val="en-US"/>
        </w:rPr>
        <w:t>Brothers</w:t>
      </w:r>
      <w:r w:rsidR="00172802" w:rsidRPr="00172802">
        <w:t xml:space="preserve"> </w:t>
      </w:r>
      <w:r w:rsidR="00172802">
        <w:t xml:space="preserve">επηρέασε σημαντικά τους όρους δανεισμού των τραπεζών και χώρες με αδύναμα οικονομικά στοιχεία όπως η Ελλάδα που έτρεχε για αρκετά χρόνια με την παρουσία δίδυμων ελλειμμάτων </w:t>
      </w:r>
      <w:r>
        <w:t>βρέθηκαν να επηρεάζονται αρνητικά. Η</w:t>
      </w:r>
      <w:r w:rsidR="00172802" w:rsidRPr="009A6940">
        <w:t xml:space="preserve"> Ελλάδα βρέθηκε στο επίκεντρο της δημοσιονομικής κρίσης λόγω των μεγάλων ελλειμμάτων και του συνεχώς αυξανόμενου δημόσιου χρέους, προκαλώντας τις άνευ προηγουμένου υποβαθμίσεις των οίκων αξιολόγησης και την επιτακτική ανάγκη προσαρμογής της οικονομίας της με την βοήθεια της Ευρωπαϊκής Ένωσης (ΕΕ), της Ευρωπαϊκής Κεντρικής Τράπεζας (ΕΚΤ) και του Διεθνούς Νομισματικού Ταμείου (ΔΝΤ). </w:t>
      </w:r>
    </w:p>
    <w:p w:rsidR="005671B0" w:rsidRDefault="00172802" w:rsidP="005671B0">
      <w:pPr>
        <w:suppressAutoHyphens/>
        <w:spacing w:line="360" w:lineRule="auto"/>
        <w:ind w:firstLine="540"/>
        <w:jc w:val="both"/>
      </w:pPr>
      <w:r w:rsidRPr="009A6940">
        <w:t xml:space="preserve">Οι ελληνικές τράπεζες, παρότι έδειχναν ανεπηρέαστες στα αρχικά στάδια της κρίσης, αφενός λόγω της αμελητέας έκθεσής τους σε τοξικά προϊόντα και αφετέρου λόγω του συγκριτικά μικρότερου χρηματοδοτικού ανοίγματος, έναντι του </w:t>
      </w:r>
      <w:r w:rsidRPr="009A6940">
        <w:lastRenderedPageBreak/>
        <w:t>ευρωπαϊκού μέσου όρου, ως απόρροια του μικρότερου λόγου δανείων προς καταθέσεις, εν τέλει εισήλθαν σε μια μακρά περίοδο αποκλεισμού τους</w:t>
      </w:r>
      <w:r w:rsidR="00AC5FBF">
        <w:t xml:space="preserve"> από τις διεθνείς κεφαλαιαγορές (Μιχαλόπουλος, 2011). </w:t>
      </w:r>
    </w:p>
    <w:p w:rsidR="00172802" w:rsidRDefault="00172802" w:rsidP="005671B0">
      <w:pPr>
        <w:suppressAutoHyphens/>
        <w:spacing w:line="360" w:lineRule="auto"/>
        <w:ind w:firstLine="540"/>
        <w:jc w:val="both"/>
      </w:pPr>
      <w:r w:rsidRPr="009A6940">
        <w:t>Οι συνεχείς υποβαθμίσεις της πιστοληπτικής αξιολόγησης των ελληνικών τραπεζών, αποτέλεσμα των αντίστοιχων υποβαθμίσεων της χώρας, ο αποκλεισμός τους από τις διεθνείς χρηματαγορές, ο περιορισμός της ρευστότητάς τους λόγω της αύξησης των επιτοκίων δανεισμού από τη διατραπεζική αγορά, η διόγκωση των επισφαλειών</w:t>
      </w:r>
      <w:r w:rsidRPr="009A6940">
        <w:rPr>
          <w:rStyle w:val="ac"/>
        </w:rPr>
        <w:footnoteReference w:id="5"/>
      </w:r>
      <w:r w:rsidRPr="009A6940">
        <w:t>, αλλά και η έντονη εκροή καταθέσεων που παρατηρήθηκε στην ελληνική αγορά κατά τη διάρκεια του 2010</w:t>
      </w:r>
      <w:r w:rsidRPr="009A6940">
        <w:rPr>
          <w:rStyle w:val="ac"/>
        </w:rPr>
        <w:footnoteReference w:id="6"/>
      </w:r>
      <w:r w:rsidRPr="009A6940">
        <w:t xml:space="preserve"> συνέβαλαν στην αστάθεια του ελληνικού τραπεζικού συστήματος. Τα παραπάνω, σε συνδυασμό με τις ζημίες που εμφάνισαν από τη συμμετοχή τους στο </w:t>
      </w:r>
      <w:r w:rsidRPr="009A6940">
        <w:rPr>
          <w:lang w:val="en-US"/>
        </w:rPr>
        <w:t>PSI</w:t>
      </w:r>
      <w:r w:rsidRPr="009A6940">
        <w:t xml:space="preserve"> (</w:t>
      </w:r>
      <w:proofErr w:type="spellStart"/>
      <w:r w:rsidRPr="009A6940">
        <w:rPr>
          <w:bCs/>
          <w:color w:val="000000"/>
          <w:shd w:val="clear" w:color="auto" w:fill="FFFFFF"/>
        </w:rPr>
        <w:t>Private</w:t>
      </w:r>
      <w:proofErr w:type="spellEnd"/>
      <w:r w:rsidRPr="009A6940">
        <w:rPr>
          <w:bCs/>
          <w:color w:val="000000"/>
          <w:shd w:val="clear" w:color="auto" w:fill="FFFFFF"/>
        </w:rPr>
        <w:t xml:space="preserve"> </w:t>
      </w:r>
      <w:proofErr w:type="spellStart"/>
      <w:r w:rsidRPr="009A6940">
        <w:rPr>
          <w:bCs/>
          <w:color w:val="000000"/>
          <w:shd w:val="clear" w:color="auto" w:fill="FFFFFF"/>
        </w:rPr>
        <w:t>Sector</w:t>
      </w:r>
      <w:proofErr w:type="spellEnd"/>
      <w:r w:rsidRPr="009A6940">
        <w:rPr>
          <w:bCs/>
          <w:color w:val="000000"/>
          <w:shd w:val="clear" w:color="auto" w:fill="FFFFFF"/>
        </w:rPr>
        <w:t xml:space="preserve"> </w:t>
      </w:r>
      <w:proofErr w:type="spellStart"/>
      <w:r w:rsidRPr="009A6940">
        <w:rPr>
          <w:bCs/>
          <w:color w:val="000000"/>
          <w:shd w:val="clear" w:color="auto" w:fill="FFFFFF"/>
        </w:rPr>
        <w:t>Involvement</w:t>
      </w:r>
      <w:proofErr w:type="spellEnd"/>
      <w:r w:rsidRPr="009A6940">
        <w:rPr>
          <w:bCs/>
          <w:color w:val="000000"/>
          <w:shd w:val="clear" w:color="auto" w:fill="FFFFFF"/>
        </w:rPr>
        <w:t>)</w:t>
      </w:r>
      <w:r w:rsidRPr="009A6940">
        <w:rPr>
          <w:rStyle w:val="ac"/>
          <w:color w:val="000000"/>
          <w:shd w:val="clear" w:color="auto" w:fill="FFFFFF"/>
        </w:rPr>
        <w:footnoteReference w:id="7"/>
      </w:r>
      <w:r w:rsidRPr="009A6940">
        <w:t xml:space="preserve">, αντισταθμίστηκαν κυρίως από τα συνδυασμένα μέτρα ενίσχυσης της ρευστότητας εκ μέρους του Ελληνικού Δημοσίου και της ΕΚΤ (Ελληνική Ένωση Τραπεζών, 2011). </w:t>
      </w:r>
    </w:p>
    <w:p w:rsidR="00172802" w:rsidRPr="009A6940" w:rsidRDefault="005671B0" w:rsidP="00172802">
      <w:pPr>
        <w:spacing w:line="360" w:lineRule="auto"/>
        <w:jc w:val="both"/>
      </w:pPr>
      <w:r>
        <w:t xml:space="preserve">Σύμφωνα με τους </w:t>
      </w:r>
      <w:proofErr w:type="spellStart"/>
      <w:r>
        <w:t>Καραβίας</w:t>
      </w:r>
      <w:proofErr w:type="spellEnd"/>
      <w:r w:rsidRPr="005671B0">
        <w:t xml:space="preserve"> </w:t>
      </w:r>
      <w:r>
        <w:t>και άλλοι (2012),</w:t>
      </w:r>
      <w:r w:rsidRPr="005671B0">
        <w:t xml:space="preserve"> </w:t>
      </w:r>
      <w:r>
        <w:t>η</w:t>
      </w:r>
      <w:r w:rsidR="00172802" w:rsidRPr="009A6940">
        <w:t xml:space="preserve"> ενίσχυση της κεφαλαιακής επάρκειας των τραπεζών </w:t>
      </w:r>
      <w:r w:rsidR="00AC5FBF">
        <w:t>έγινε</w:t>
      </w:r>
      <w:r w:rsidR="00172802" w:rsidRPr="009A6940">
        <w:t xml:space="preserve"> μέσω:</w:t>
      </w:r>
    </w:p>
    <w:p w:rsidR="00172802" w:rsidRPr="009A6940" w:rsidRDefault="00777193" w:rsidP="00172802">
      <w:pPr>
        <w:spacing w:line="360" w:lineRule="auto"/>
        <w:jc w:val="both"/>
      </w:pPr>
      <w:r>
        <w:t>α) Τ</w:t>
      </w:r>
      <w:r w:rsidR="00172802" w:rsidRPr="009A6940">
        <w:t xml:space="preserve">ης </w:t>
      </w:r>
      <w:proofErr w:type="spellStart"/>
      <w:r w:rsidR="00172802" w:rsidRPr="009A6940">
        <w:t>ανακεφαλαιοποίησής</w:t>
      </w:r>
      <w:proofErr w:type="spellEnd"/>
      <w:r w:rsidR="00172802" w:rsidRPr="009A6940">
        <w:t xml:space="preserve"> τους από το Ελληνικό Ταμείο Χρηματοπιστωτικής Σταθερότητας (ΤΧΣ)</w:t>
      </w:r>
      <w:r w:rsidR="00172802" w:rsidRPr="009A6940">
        <w:rPr>
          <w:rStyle w:val="ac"/>
        </w:rPr>
        <w:footnoteReference w:id="8"/>
      </w:r>
      <w:r w:rsidR="00AC5FBF">
        <w:t xml:space="preserve">, το οποίο δανειοδοτήθηκε από </w:t>
      </w:r>
      <w:r w:rsidR="00172802" w:rsidRPr="009A6940">
        <w:t>το αντίστοιχο Ευρωπαϊκό Ταμείο Χρηματοπιστωτικής Σταθερότητας (</w:t>
      </w:r>
      <w:proofErr w:type="spellStart"/>
      <w:r w:rsidR="00172802" w:rsidRPr="009A6940">
        <w:rPr>
          <w:shd w:val="clear" w:color="auto" w:fill="FFFFFF"/>
        </w:rPr>
        <w:t>European</w:t>
      </w:r>
      <w:proofErr w:type="spellEnd"/>
      <w:r w:rsidR="00172802" w:rsidRPr="009A6940">
        <w:rPr>
          <w:shd w:val="clear" w:color="auto" w:fill="FFFFFF"/>
        </w:rPr>
        <w:t xml:space="preserve"> </w:t>
      </w:r>
      <w:proofErr w:type="spellStart"/>
      <w:r w:rsidR="00172802" w:rsidRPr="009A6940">
        <w:rPr>
          <w:shd w:val="clear" w:color="auto" w:fill="FFFFFF"/>
        </w:rPr>
        <w:t>Financial</w:t>
      </w:r>
      <w:proofErr w:type="spellEnd"/>
      <w:r w:rsidR="00172802" w:rsidRPr="009A6940">
        <w:rPr>
          <w:shd w:val="clear" w:color="auto" w:fill="FFFFFF"/>
        </w:rPr>
        <w:t xml:space="preserve"> </w:t>
      </w:r>
      <w:proofErr w:type="spellStart"/>
      <w:r w:rsidR="00172802" w:rsidRPr="009A6940">
        <w:rPr>
          <w:shd w:val="clear" w:color="auto" w:fill="FFFFFF"/>
        </w:rPr>
        <w:t>Stability</w:t>
      </w:r>
      <w:proofErr w:type="spellEnd"/>
      <w:r w:rsidR="00172802" w:rsidRPr="009A6940">
        <w:rPr>
          <w:shd w:val="clear" w:color="auto" w:fill="FFFFFF"/>
        </w:rPr>
        <w:t xml:space="preserve"> </w:t>
      </w:r>
      <w:proofErr w:type="spellStart"/>
      <w:r w:rsidR="00172802" w:rsidRPr="009A6940">
        <w:rPr>
          <w:shd w:val="clear" w:color="auto" w:fill="FFFFFF"/>
        </w:rPr>
        <w:t>Facility</w:t>
      </w:r>
      <w:proofErr w:type="spellEnd"/>
      <w:r w:rsidR="00172802" w:rsidRPr="009A6940">
        <w:rPr>
          <w:shd w:val="clear" w:color="auto" w:fill="FFFFFF"/>
        </w:rPr>
        <w:t xml:space="preserve"> - </w:t>
      </w:r>
      <w:r w:rsidR="00172802" w:rsidRPr="009A6940">
        <w:t>EFSF)</w:t>
      </w:r>
      <w:r w:rsidR="00172802" w:rsidRPr="009A6940">
        <w:rPr>
          <w:rStyle w:val="ac"/>
        </w:rPr>
        <w:footnoteReference w:id="9"/>
      </w:r>
      <w:r w:rsidR="00172802" w:rsidRPr="009A6940">
        <w:t xml:space="preserve">. </w:t>
      </w:r>
      <w:r w:rsidR="005671B0">
        <w:t xml:space="preserve">Σχετικά με την διαδικασία </w:t>
      </w:r>
      <w:proofErr w:type="spellStart"/>
      <w:r w:rsidR="005671B0">
        <w:t>ανακεφαλαιοποίησης</w:t>
      </w:r>
      <w:proofErr w:type="spellEnd"/>
      <w:r w:rsidR="00172802" w:rsidRPr="009A6940">
        <w:t xml:space="preserve"> οι τράπεζες καταθέτουν σχέδια βιωσιμότητας στην </w:t>
      </w:r>
      <w:proofErr w:type="spellStart"/>
      <w:r w:rsidR="00172802" w:rsidRPr="009A6940">
        <w:t>ΤτΕ</w:t>
      </w:r>
      <w:proofErr w:type="spellEnd"/>
      <w:r w:rsidR="00172802" w:rsidRPr="009A6940">
        <w:t xml:space="preserve">. Όσες είναι βιώσιμες αντλούν κεφάλαια από το ΤΧΣ, δίνοντας ως αντάλλαγμα στο Δημόσιο κοινές με αναστολή ψήφου μετοχές (εκτός εάν η ιδιωτική συμμετοχή στην αύξηση κεφαλαίου είναι κάτω από ένα ελάχιστο όριο του 10%, οπότε η </w:t>
      </w:r>
      <w:proofErr w:type="spellStart"/>
      <w:r w:rsidR="00172802" w:rsidRPr="009A6940">
        <w:t>ανακεφαλαιοποίηση</w:t>
      </w:r>
      <w:proofErr w:type="spellEnd"/>
      <w:r w:rsidR="00172802" w:rsidRPr="009A6940">
        <w:t xml:space="preserve"> γίνεται με κοινές με ψήφο, δηλαδή με προσωρινή </w:t>
      </w:r>
      <w:r w:rsidR="00172802" w:rsidRPr="009A6940">
        <w:lastRenderedPageBreak/>
        <w:t xml:space="preserve">κρατικοποίηση της τράπεζας) ή ομολογιακά δάνεια, τα οποία εάν μετά τα 5 χρόνια περιθώριο δεν μπορεί η τράπεζα να ανταπεξέλθει, μετατρέπονται σε κοινές με ψήφο για το Δημόσιο. Ωστόσο, όσες τράπεζες δεν έχουν βιώσιμο σχέδιο, θα πρέπει είτε να εκκαθαριστούν, είτε να διαχωριστούν σε δύο κομμάτια, με το κακό κομμάτι να περνάει στο Δημόσιο, ενώ το καλό να απορροφηθεί από κάποια άλλη τράπεζα, είτε να εξαγοραστούν ως έχουν. Σε πρώτη φάση βιώσιμες κρίθηκαν οι 4 μεγάλες τράπεζες (Εθνική, Πειραιώς, </w:t>
      </w:r>
      <w:proofErr w:type="spellStart"/>
      <w:r w:rsidR="00172802" w:rsidRPr="009A6940">
        <w:t>Alpha</w:t>
      </w:r>
      <w:proofErr w:type="spellEnd"/>
      <w:r w:rsidR="00172802" w:rsidRPr="009A6940">
        <w:t xml:space="preserve"> </w:t>
      </w:r>
      <w:proofErr w:type="spellStart"/>
      <w:r w:rsidR="00172802" w:rsidRPr="009A6940">
        <w:t>Bank</w:t>
      </w:r>
      <w:proofErr w:type="spellEnd"/>
      <w:r w:rsidR="00172802" w:rsidRPr="009A6940">
        <w:t xml:space="preserve"> και </w:t>
      </w:r>
      <w:proofErr w:type="spellStart"/>
      <w:r w:rsidR="00172802" w:rsidRPr="009A6940">
        <w:t>Eurobank</w:t>
      </w:r>
      <w:proofErr w:type="spellEnd"/>
      <w:r w:rsidR="00172802" w:rsidRPr="009A6940">
        <w:t>) στις οποίες δόθηκαν κεφάλαια ύψους 18 δις, καθώς και άλλα 7 δις στο υγιές τμήμα της ΑΤΕ μετά την απορρόφησή της από την Πειραιώς</w:t>
      </w:r>
      <w:r w:rsidR="00172802" w:rsidRPr="009A6940">
        <w:rPr>
          <w:rStyle w:val="ac"/>
        </w:rPr>
        <w:footnoteReference w:id="10"/>
      </w:r>
      <w:r w:rsidR="00172802" w:rsidRPr="009A6940">
        <w:t xml:space="preserve">.  </w:t>
      </w:r>
    </w:p>
    <w:p w:rsidR="00172802" w:rsidRPr="009A6940" w:rsidRDefault="00777193" w:rsidP="00172802">
      <w:pPr>
        <w:spacing w:line="360" w:lineRule="auto"/>
        <w:jc w:val="both"/>
      </w:pPr>
      <w:r>
        <w:t>β) Τ</w:t>
      </w:r>
      <w:r w:rsidR="00172802" w:rsidRPr="009A6940">
        <w:t xml:space="preserve">ου Σχεδίου Ενίσχυσης Ρευστότητας, όπου το ελληνικό δημόσιο παρέχει κρατικές εγγυήσεις στα τραπεζικά ομόλογα, συνολικού ύψους 70 δις, τις οποίες χρησιμοποιούν οι εγχώριες τράπεζες, μαζί με άλλα στοιχεία του ενεργητικού τους, για την άντληση ρευστότητας από το </w:t>
      </w:r>
      <w:proofErr w:type="spellStart"/>
      <w:r w:rsidR="00172802" w:rsidRPr="009A6940">
        <w:t>Ευρωσύστημα</w:t>
      </w:r>
      <w:proofErr w:type="spellEnd"/>
      <w:r w:rsidR="00172802" w:rsidRPr="009A6940">
        <w:rPr>
          <w:rStyle w:val="ac"/>
        </w:rPr>
        <w:footnoteReference w:id="11"/>
      </w:r>
      <w:r w:rsidR="00172802" w:rsidRPr="009A6940">
        <w:t xml:space="preserve">.  </w:t>
      </w:r>
    </w:p>
    <w:p w:rsidR="00172802" w:rsidRPr="009A6940" w:rsidRDefault="00172802" w:rsidP="00172802">
      <w:pPr>
        <w:spacing w:line="360" w:lineRule="auto"/>
        <w:jc w:val="both"/>
      </w:pPr>
      <w:r>
        <w:t>γ</w:t>
      </w:r>
      <w:r w:rsidR="00777193">
        <w:t>) Τ</w:t>
      </w:r>
      <w:r w:rsidRPr="009A6940">
        <w:t xml:space="preserve">ης </w:t>
      </w:r>
      <w:r w:rsidR="00777193">
        <w:t>Τράπεζας της Ελλάδος (</w:t>
      </w:r>
      <w:proofErr w:type="spellStart"/>
      <w:r w:rsidRPr="009A6940">
        <w:t>ΤτΕ</w:t>
      </w:r>
      <w:proofErr w:type="spellEnd"/>
      <w:r w:rsidR="00777193">
        <w:t>)</w:t>
      </w:r>
      <w:r w:rsidRPr="009A6940">
        <w:t xml:space="preserve"> η οποία έχει τη δυνατότητα να παράσχει έκτακτη πίστωση σε όσες τράπεζες αντιμετωπίζουν προβλήματα βραχυπρόθεσμης ρευστότητας μέσω του Έκτακτου Μηχανισμού Ρευστότητας (</w:t>
      </w:r>
      <w:r w:rsidRPr="009A6940">
        <w:rPr>
          <w:lang w:val="en-US"/>
        </w:rPr>
        <w:t>Emergency</w:t>
      </w:r>
      <w:r w:rsidRPr="009A6940">
        <w:t xml:space="preserve"> </w:t>
      </w:r>
      <w:r w:rsidRPr="009A6940">
        <w:rPr>
          <w:lang w:val="en-US"/>
        </w:rPr>
        <w:t>Liquidity</w:t>
      </w:r>
      <w:r w:rsidRPr="009A6940">
        <w:t xml:space="preserve"> </w:t>
      </w:r>
      <w:r w:rsidRPr="009A6940">
        <w:rPr>
          <w:lang w:val="en-US"/>
        </w:rPr>
        <w:t>Assistance</w:t>
      </w:r>
      <w:r w:rsidRPr="009A6940">
        <w:t xml:space="preserve"> - </w:t>
      </w:r>
      <w:r w:rsidRPr="009A6940">
        <w:rPr>
          <w:lang w:val="en-US"/>
        </w:rPr>
        <w:t>ELA</w:t>
      </w:r>
      <w:r w:rsidRPr="009A6940">
        <w:t>)</w:t>
      </w:r>
      <w:r w:rsidRPr="009A6940">
        <w:rPr>
          <w:rStyle w:val="ac"/>
        </w:rPr>
        <w:footnoteReference w:id="12"/>
      </w:r>
      <w:r w:rsidRPr="009A6940">
        <w:t xml:space="preserve">. Η ρευστότητα που έχουν αντλήσει οι ελληνικές τράπεζες από τον </w:t>
      </w:r>
      <w:r w:rsidRPr="009A6940">
        <w:rPr>
          <w:lang w:val="en-US"/>
        </w:rPr>
        <w:t>ELA</w:t>
      </w:r>
      <w:r w:rsidRPr="009A6940">
        <w:t xml:space="preserve"> εκτιμάται ότι ανέρχονται σε 46,6 </w:t>
      </w:r>
      <w:r w:rsidRPr="005671B0">
        <w:t>δις</w:t>
      </w:r>
      <w:r w:rsidR="005671B0">
        <w:t>.</w:t>
      </w:r>
      <w:r w:rsidRPr="005671B0">
        <w:t xml:space="preserve"> </w:t>
      </w:r>
    </w:p>
    <w:p w:rsidR="00426A2D" w:rsidRDefault="00426A2D" w:rsidP="00E90AB3">
      <w:pPr>
        <w:autoSpaceDE w:val="0"/>
        <w:autoSpaceDN w:val="0"/>
        <w:adjustRightInd w:val="0"/>
        <w:rPr>
          <w:iCs/>
        </w:rPr>
      </w:pPr>
    </w:p>
    <w:p w:rsidR="00426A2D" w:rsidRPr="00242F3E" w:rsidRDefault="00426A2D" w:rsidP="00426A2D">
      <w:pPr>
        <w:pStyle w:val="ae"/>
        <w:autoSpaceDE w:val="0"/>
        <w:autoSpaceDN w:val="0"/>
        <w:adjustRightInd w:val="0"/>
        <w:rPr>
          <w:color w:val="000000"/>
          <w:sz w:val="23"/>
          <w:szCs w:val="23"/>
        </w:rPr>
      </w:pPr>
    </w:p>
    <w:p w:rsidR="00426A2D" w:rsidRDefault="00426A2D" w:rsidP="0040797E">
      <w:pPr>
        <w:spacing w:after="200" w:line="276" w:lineRule="auto"/>
        <w:ind w:left="720"/>
        <w:rPr>
          <w:rFonts w:ascii="AdvT207" w:eastAsia="Calibri" w:hAnsi="AdvT207" w:cs="AdvT207"/>
          <w:sz w:val="20"/>
          <w:szCs w:val="20"/>
          <w:lang w:eastAsia="en-US"/>
        </w:rPr>
      </w:pPr>
    </w:p>
    <w:p w:rsidR="0040797E" w:rsidRDefault="0040797E" w:rsidP="0040797E">
      <w:pPr>
        <w:pStyle w:val="2"/>
        <w:spacing w:before="0" w:after="0" w:line="360" w:lineRule="auto"/>
        <w:jc w:val="both"/>
        <w:rPr>
          <w:rFonts w:ascii="Times New Roman" w:hAnsi="Times New Roman" w:cs="Times New Roman"/>
          <w:i w:val="0"/>
        </w:rPr>
      </w:pPr>
      <w:bookmarkStart w:id="19" w:name="_Toc393111075"/>
      <w:r w:rsidRPr="00390868">
        <w:rPr>
          <w:rFonts w:ascii="Times New Roman" w:hAnsi="Times New Roman" w:cs="Times New Roman"/>
          <w:i w:val="0"/>
        </w:rPr>
        <w:t>Ερωτήσεις Μελέτης Κεφαλαίου</w:t>
      </w:r>
      <w:bookmarkEnd w:id="19"/>
    </w:p>
    <w:p w:rsidR="00EC6C31" w:rsidRPr="00EC6C31" w:rsidRDefault="00EC6C31" w:rsidP="002E12D2">
      <w:pPr>
        <w:pStyle w:val="ae"/>
        <w:numPr>
          <w:ilvl w:val="0"/>
          <w:numId w:val="12"/>
        </w:numPr>
        <w:spacing w:line="360" w:lineRule="auto"/>
        <w:ind w:left="360"/>
        <w:jc w:val="both"/>
      </w:pPr>
      <w:r>
        <w:t xml:space="preserve">Εξηγήστε συνοπτικά τα ακόλουθα εργαλεία της χρηματαγοράς: (α) ΕΓΔ, (β) </w:t>
      </w:r>
      <w:r>
        <w:rPr>
          <w:lang w:val="en-US"/>
        </w:rPr>
        <w:t>Repos</w:t>
      </w:r>
      <w:r w:rsidRPr="00EC6C31">
        <w:t xml:space="preserve">, </w:t>
      </w:r>
      <w:r>
        <w:t>(γ) Εμπορικά γραμμάτια</w:t>
      </w:r>
      <w:r w:rsidRPr="00EC6C31">
        <w:t xml:space="preserve"> - </w:t>
      </w:r>
      <w:r>
        <w:rPr>
          <w:lang w:val="en-US"/>
        </w:rPr>
        <w:t>Commercial</w:t>
      </w:r>
      <w:r w:rsidRPr="00EC6C31">
        <w:t xml:space="preserve"> </w:t>
      </w:r>
      <w:r>
        <w:rPr>
          <w:lang w:val="en-US"/>
        </w:rPr>
        <w:t>Papers</w:t>
      </w:r>
      <w:r w:rsidRPr="00EC6C31">
        <w:t xml:space="preserve">, </w:t>
      </w:r>
      <w:r>
        <w:rPr>
          <w:lang w:val="en-US"/>
        </w:rPr>
        <w:t>CP</w:t>
      </w:r>
      <w:r>
        <w:t xml:space="preserve">, (δ) Γραμμάτια κυμαινόμενου επιτοκίου – </w:t>
      </w:r>
      <w:r>
        <w:rPr>
          <w:lang w:val="en-US"/>
        </w:rPr>
        <w:t>Floating</w:t>
      </w:r>
      <w:r w:rsidRPr="00EC6C31">
        <w:t xml:space="preserve"> </w:t>
      </w:r>
      <w:r>
        <w:rPr>
          <w:lang w:val="en-US"/>
        </w:rPr>
        <w:t>Rate</w:t>
      </w:r>
      <w:r w:rsidRPr="00EC6C31">
        <w:t xml:space="preserve"> </w:t>
      </w:r>
      <w:r>
        <w:rPr>
          <w:lang w:val="en-US"/>
        </w:rPr>
        <w:t>Notes</w:t>
      </w:r>
      <w:r w:rsidRPr="00EC6C31">
        <w:t xml:space="preserve">, </w:t>
      </w:r>
      <w:r>
        <w:rPr>
          <w:lang w:val="en-US"/>
        </w:rPr>
        <w:t>FRN</w:t>
      </w:r>
      <w:r w:rsidRPr="00EC6C31">
        <w:t>.</w:t>
      </w:r>
    </w:p>
    <w:p w:rsidR="00EC6C31" w:rsidRDefault="00EC6C31" w:rsidP="002E12D2">
      <w:pPr>
        <w:pStyle w:val="ae"/>
        <w:numPr>
          <w:ilvl w:val="0"/>
          <w:numId w:val="12"/>
        </w:numPr>
        <w:spacing w:line="360" w:lineRule="auto"/>
        <w:ind w:left="360"/>
        <w:jc w:val="both"/>
      </w:pPr>
      <w:r>
        <w:t>Ποια η βασική διαφορά μεταξύ καταθέσεων και πιστοποιητικών καταθέσεων;</w:t>
      </w:r>
    </w:p>
    <w:p w:rsidR="00EC6C31" w:rsidRDefault="00A9131B" w:rsidP="002E12D2">
      <w:pPr>
        <w:pStyle w:val="ae"/>
        <w:numPr>
          <w:ilvl w:val="0"/>
          <w:numId w:val="12"/>
        </w:numPr>
        <w:spacing w:line="360" w:lineRule="auto"/>
        <w:ind w:left="360"/>
        <w:jc w:val="both"/>
      </w:pPr>
      <w:r>
        <w:t xml:space="preserve">Κάνοντας χρήση του κυκλώματος εισοδήματος δαπάνης σε μια ανοικτή οικονομία δείξτε τον ρόλο που διαδραματίζουν οι τράπεζες και οι </w:t>
      </w:r>
      <w:proofErr w:type="spellStart"/>
      <w:r>
        <w:t>κεφλαιαγορές</w:t>
      </w:r>
      <w:proofErr w:type="spellEnd"/>
      <w:r>
        <w:t>.</w:t>
      </w:r>
    </w:p>
    <w:p w:rsidR="00A9131B" w:rsidRDefault="00A9131B" w:rsidP="002E12D2">
      <w:pPr>
        <w:pStyle w:val="ae"/>
        <w:numPr>
          <w:ilvl w:val="0"/>
          <w:numId w:val="12"/>
        </w:numPr>
        <w:spacing w:line="360" w:lineRule="auto"/>
        <w:ind w:left="360"/>
        <w:jc w:val="both"/>
      </w:pPr>
      <w:r>
        <w:t>Σε ένα κείμενο είκοσι σειρών δείξτε την διάκριση μεταξύ χρήματος και πίστης.</w:t>
      </w:r>
    </w:p>
    <w:p w:rsidR="00A9131B" w:rsidRDefault="00A9131B" w:rsidP="002E12D2">
      <w:pPr>
        <w:pStyle w:val="ae"/>
        <w:numPr>
          <w:ilvl w:val="0"/>
          <w:numId w:val="12"/>
        </w:numPr>
        <w:spacing w:line="360" w:lineRule="auto"/>
        <w:ind w:left="360"/>
        <w:jc w:val="both"/>
      </w:pPr>
      <w:r>
        <w:lastRenderedPageBreak/>
        <w:t>Ποια η βασική διαφορά μεταξύ της νομισματικής σχολή σκέψης και της τραπεζικής σχολής σκέψης;</w:t>
      </w:r>
    </w:p>
    <w:p w:rsidR="00A9131B" w:rsidRDefault="00A9131B" w:rsidP="002E12D2">
      <w:pPr>
        <w:pStyle w:val="ae"/>
        <w:numPr>
          <w:ilvl w:val="0"/>
          <w:numId w:val="12"/>
        </w:numPr>
        <w:spacing w:line="360" w:lineRule="auto"/>
        <w:ind w:left="360"/>
        <w:jc w:val="both"/>
      </w:pPr>
      <w:r>
        <w:t>Τι ονομάζουμε διαμορφωτές αγοράς (</w:t>
      </w:r>
      <w:r>
        <w:rPr>
          <w:lang w:val="en-US"/>
        </w:rPr>
        <w:t>market</w:t>
      </w:r>
      <w:r w:rsidRPr="00A9131B">
        <w:t xml:space="preserve"> </w:t>
      </w:r>
      <w:r>
        <w:rPr>
          <w:lang w:val="en-US"/>
        </w:rPr>
        <w:t>makers</w:t>
      </w:r>
      <w:r>
        <w:t>);</w:t>
      </w:r>
    </w:p>
    <w:p w:rsidR="00A9131B" w:rsidRDefault="00A9131B" w:rsidP="002E12D2">
      <w:pPr>
        <w:pStyle w:val="ae"/>
        <w:numPr>
          <w:ilvl w:val="0"/>
          <w:numId w:val="12"/>
        </w:numPr>
        <w:spacing w:line="360" w:lineRule="auto"/>
        <w:ind w:left="360"/>
        <w:jc w:val="both"/>
      </w:pPr>
      <w:r>
        <w:t xml:space="preserve">Τι λέει ο περιορισμός επιβίωσης κατά τον </w:t>
      </w:r>
      <w:r>
        <w:rPr>
          <w:lang w:val="en-US"/>
        </w:rPr>
        <w:t>Minsky</w:t>
      </w:r>
      <w:r w:rsidRPr="00A9131B">
        <w:t xml:space="preserve"> (1986)</w:t>
      </w:r>
      <w:r>
        <w:t>;</w:t>
      </w:r>
      <w:r w:rsidR="0039778C">
        <w:t xml:space="preserve"> Δώστε ένα παράδειγμα που να διακρίνει την παρούσα από την μελλοντική αναντιστοιχία ρευστών.</w:t>
      </w:r>
    </w:p>
    <w:p w:rsidR="00A9131B" w:rsidRDefault="0039778C" w:rsidP="002E12D2">
      <w:pPr>
        <w:pStyle w:val="ae"/>
        <w:numPr>
          <w:ilvl w:val="0"/>
          <w:numId w:val="12"/>
        </w:numPr>
        <w:spacing w:line="360" w:lineRule="auto"/>
        <w:ind w:left="360"/>
        <w:jc w:val="both"/>
      </w:pPr>
      <w:r>
        <w:t>Πόσο συσχετίζονται τα προβλήματα φερεγγυότητας με τα προβλήματα ρευστότητας κατά την άποψη σας;</w:t>
      </w:r>
    </w:p>
    <w:p w:rsidR="0039778C" w:rsidRDefault="0039778C" w:rsidP="002E12D2">
      <w:pPr>
        <w:pStyle w:val="ae"/>
        <w:numPr>
          <w:ilvl w:val="0"/>
          <w:numId w:val="12"/>
        </w:numPr>
        <w:spacing w:line="360" w:lineRule="auto"/>
        <w:ind w:left="360"/>
        <w:jc w:val="both"/>
      </w:pPr>
      <w:r>
        <w:t>Να συμπληρώσετε τον ακόλουθο πίνακα με βάση τις συναλλαγές που έχουν γίνει.</w:t>
      </w:r>
    </w:p>
    <w:p w:rsidR="0039778C" w:rsidRPr="0039778C" w:rsidRDefault="00D36D53" w:rsidP="0039778C">
      <w:pPr>
        <w:jc w:val="both"/>
        <w:rPr>
          <w:rFonts w:cstheme="minorHAnsi"/>
        </w:rPr>
      </w:pPr>
      <w:r>
        <w:rPr>
          <w:b/>
        </w:rPr>
        <w:t>Πίνακας</w:t>
      </w:r>
      <w:r w:rsidR="0039778C">
        <w:t xml:space="preserve"> Συναλλαγές με διαθέσιμα στην ΚΤ</w:t>
      </w:r>
      <w:r w:rsidR="0039778C" w:rsidRPr="0039778C">
        <w:rPr>
          <w:rFonts w:cstheme="minorHAnsi"/>
        </w:rPr>
        <w:t xml:space="preserve">         </w:t>
      </w:r>
    </w:p>
    <w:tbl>
      <w:tblPr>
        <w:tblStyle w:val="af3"/>
        <w:tblW w:w="8910" w:type="dxa"/>
        <w:tblInd w:w="-252" w:type="dxa"/>
        <w:tblLayout w:type="fixed"/>
        <w:tblLook w:val="04A0" w:firstRow="1" w:lastRow="0" w:firstColumn="1" w:lastColumn="0" w:noHBand="0" w:noVBand="1"/>
      </w:tblPr>
      <w:tblGrid>
        <w:gridCol w:w="1620"/>
        <w:gridCol w:w="1170"/>
        <w:gridCol w:w="1440"/>
        <w:gridCol w:w="1890"/>
        <w:gridCol w:w="1620"/>
        <w:gridCol w:w="1170"/>
      </w:tblGrid>
      <w:tr w:rsidR="0039778C" w:rsidRPr="00777193" w:rsidTr="0057795A">
        <w:tc>
          <w:tcPr>
            <w:tcW w:w="2790" w:type="dxa"/>
            <w:gridSpan w:val="2"/>
            <w:shd w:val="clear" w:color="auto" w:fill="BFBFBF" w:themeFill="background1" w:themeFillShade="BF"/>
          </w:tcPr>
          <w:p w:rsidR="0039778C" w:rsidRPr="00777193" w:rsidRDefault="0039778C" w:rsidP="0057795A">
            <w:pPr>
              <w:jc w:val="center"/>
              <w:rPr>
                <w:rFonts w:ascii="Times New Roman" w:hAnsi="Times New Roman"/>
                <w:sz w:val="22"/>
                <w:szCs w:val="22"/>
              </w:rPr>
            </w:pPr>
            <w:r w:rsidRPr="00777193">
              <w:rPr>
                <w:rFonts w:ascii="Times New Roman" w:hAnsi="Times New Roman"/>
                <w:sz w:val="22"/>
                <w:szCs w:val="22"/>
              </w:rPr>
              <w:t>Τράπεζα Α</w:t>
            </w:r>
          </w:p>
        </w:tc>
        <w:tc>
          <w:tcPr>
            <w:tcW w:w="3330" w:type="dxa"/>
            <w:gridSpan w:val="2"/>
            <w:shd w:val="clear" w:color="auto" w:fill="BFBFBF" w:themeFill="background1" w:themeFillShade="BF"/>
          </w:tcPr>
          <w:p w:rsidR="0039778C" w:rsidRPr="00777193" w:rsidRDefault="0039778C" w:rsidP="0057795A">
            <w:pPr>
              <w:jc w:val="center"/>
              <w:rPr>
                <w:rFonts w:ascii="Times New Roman" w:hAnsi="Times New Roman"/>
                <w:sz w:val="22"/>
                <w:szCs w:val="22"/>
              </w:rPr>
            </w:pPr>
            <w:r w:rsidRPr="00777193">
              <w:rPr>
                <w:rFonts w:ascii="Times New Roman" w:hAnsi="Times New Roman"/>
                <w:sz w:val="22"/>
                <w:szCs w:val="22"/>
              </w:rPr>
              <w:t>κεντρική τράπεζα</w:t>
            </w:r>
          </w:p>
        </w:tc>
        <w:tc>
          <w:tcPr>
            <w:tcW w:w="2790" w:type="dxa"/>
            <w:gridSpan w:val="2"/>
            <w:shd w:val="clear" w:color="auto" w:fill="BFBFBF" w:themeFill="background1" w:themeFillShade="BF"/>
          </w:tcPr>
          <w:p w:rsidR="0039778C" w:rsidRPr="00777193" w:rsidRDefault="0039778C" w:rsidP="0057795A">
            <w:pPr>
              <w:jc w:val="center"/>
              <w:rPr>
                <w:rFonts w:ascii="Times New Roman" w:hAnsi="Times New Roman"/>
                <w:sz w:val="22"/>
                <w:szCs w:val="22"/>
              </w:rPr>
            </w:pPr>
            <w:r w:rsidRPr="00777193">
              <w:rPr>
                <w:rFonts w:ascii="Times New Roman" w:hAnsi="Times New Roman"/>
                <w:sz w:val="22"/>
                <w:szCs w:val="22"/>
              </w:rPr>
              <w:t>Τράπεζα Β</w:t>
            </w:r>
          </w:p>
        </w:tc>
      </w:tr>
      <w:tr w:rsidR="0039778C" w:rsidRPr="00777193" w:rsidTr="0057795A">
        <w:tc>
          <w:tcPr>
            <w:tcW w:w="162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Στοιχεία Ενεργητικού</w:t>
            </w:r>
          </w:p>
        </w:tc>
        <w:tc>
          <w:tcPr>
            <w:tcW w:w="117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Παθητικό</w:t>
            </w:r>
          </w:p>
        </w:tc>
        <w:tc>
          <w:tcPr>
            <w:tcW w:w="144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Στοιχεία Ενεργητικού</w:t>
            </w:r>
          </w:p>
        </w:tc>
        <w:tc>
          <w:tcPr>
            <w:tcW w:w="189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Παθητικό</w:t>
            </w:r>
          </w:p>
        </w:tc>
        <w:tc>
          <w:tcPr>
            <w:tcW w:w="162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Στοιχεία Ενεργητικού</w:t>
            </w:r>
          </w:p>
        </w:tc>
        <w:tc>
          <w:tcPr>
            <w:tcW w:w="1170" w:type="dxa"/>
          </w:tcPr>
          <w:p w:rsidR="0039778C" w:rsidRPr="00777193" w:rsidRDefault="0039778C" w:rsidP="0057795A">
            <w:pPr>
              <w:jc w:val="both"/>
              <w:rPr>
                <w:rFonts w:ascii="Times New Roman" w:hAnsi="Times New Roman"/>
                <w:b/>
                <w:sz w:val="22"/>
                <w:szCs w:val="22"/>
              </w:rPr>
            </w:pPr>
            <w:r w:rsidRPr="00777193">
              <w:rPr>
                <w:rFonts w:ascii="Times New Roman" w:hAnsi="Times New Roman"/>
                <w:b/>
                <w:sz w:val="22"/>
                <w:szCs w:val="22"/>
              </w:rPr>
              <w:t>Παθητικό</w:t>
            </w:r>
          </w:p>
        </w:tc>
      </w:tr>
      <w:tr w:rsidR="0039778C" w:rsidRPr="00777193" w:rsidTr="0057795A">
        <w:tc>
          <w:tcPr>
            <w:tcW w:w="1620" w:type="dxa"/>
          </w:tcPr>
          <w:p w:rsidR="0039778C" w:rsidRPr="00777193" w:rsidRDefault="0039778C" w:rsidP="0057795A">
            <w:pPr>
              <w:jc w:val="both"/>
              <w:rPr>
                <w:rFonts w:ascii="Times New Roman" w:hAnsi="Times New Roman"/>
                <w:sz w:val="22"/>
                <w:szCs w:val="22"/>
              </w:rPr>
            </w:pPr>
            <w:r w:rsidRPr="00777193">
              <w:rPr>
                <w:rFonts w:ascii="Times New Roman" w:hAnsi="Times New Roman"/>
                <w:sz w:val="22"/>
                <w:szCs w:val="22"/>
              </w:rPr>
              <w:t>+10 διαθέσιμα</w:t>
            </w:r>
          </w:p>
        </w:tc>
        <w:tc>
          <w:tcPr>
            <w:tcW w:w="1170" w:type="dxa"/>
          </w:tcPr>
          <w:p w:rsidR="0039778C" w:rsidRPr="00777193" w:rsidRDefault="0039778C" w:rsidP="0057795A">
            <w:pPr>
              <w:jc w:val="both"/>
              <w:rPr>
                <w:rFonts w:ascii="Times New Roman" w:hAnsi="Times New Roman"/>
                <w:sz w:val="22"/>
                <w:szCs w:val="22"/>
              </w:rPr>
            </w:pPr>
          </w:p>
          <w:p w:rsidR="0039778C" w:rsidRPr="00777193" w:rsidRDefault="0039778C" w:rsidP="0057795A">
            <w:pPr>
              <w:jc w:val="both"/>
              <w:rPr>
                <w:rFonts w:ascii="Times New Roman" w:hAnsi="Times New Roman"/>
                <w:sz w:val="22"/>
                <w:szCs w:val="22"/>
              </w:rPr>
            </w:pPr>
          </w:p>
          <w:p w:rsidR="0039778C" w:rsidRPr="00777193" w:rsidRDefault="0039778C" w:rsidP="0039778C">
            <w:pPr>
              <w:jc w:val="center"/>
              <w:rPr>
                <w:rFonts w:ascii="Times New Roman" w:hAnsi="Times New Roman"/>
                <w:sz w:val="22"/>
                <w:szCs w:val="22"/>
              </w:rPr>
            </w:pPr>
            <w:r w:rsidRPr="00777193">
              <w:rPr>
                <w:rFonts w:ascii="Times New Roman" w:hAnsi="Times New Roman"/>
                <w:sz w:val="22"/>
                <w:szCs w:val="22"/>
              </w:rPr>
              <w:t>;</w:t>
            </w:r>
          </w:p>
        </w:tc>
        <w:tc>
          <w:tcPr>
            <w:tcW w:w="1440" w:type="dxa"/>
          </w:tcPr>
          <w:p w:rsidR="0039778C" w:rsidRPr="00777193" w:rsidRDefault="0039778C" w:rsidP="0057795A">
            <w:pPr>
              <w:jc w:val="both"/>
              <w:rPr>
                <w:rFonts w:ascii="Times New Roman" w:hAnsi="Times New Roman"/>
                <w:sz w:val="22"/>
                <w:szCs w:val="22"/>
              </w:rPr>
            </w:pPr>
          </w:p>
          <w:p w:rsidR="0039778C" w:rsidRPr="00777193" w:rsidRDefault="0039778C" w:rsidP="0057795A">
            <w:pPr>
              <w:jc w:val="both"/>
              <w:rPr>
                <w:rFonts w:ascii="Times New Roman" w:hAnsi="Times New Roman"/>
                <w:sz w:val="22"/>
                <w:szCs w:val="22"/>
              </w:rPr>
            </w:pPr>
          </w:p>
        </w:tc>
        <w:tc>
          <w:tcPr>
            <w:tcW w:w="1890" w:type="dxa"/>
          </w:tcPr>
          <w:p w:rsidR="0039778C" w:rsidRPr="00777193" w:rsidRDefault="0039778C" w:rsidP="0057795A">
            <w:pPr>
              <w:jc w:val="both"/>
              <w:rPr>
                <w:rFonts w:ascii="Times New Roman" w:hAnsi="Times New Roman"/>
                <w:sz w:val="22"/>
                <w:szCs w:val="22"/>
              </w:rPr>
            </w:pPr>
            <w:r w:rsidRPr="00777193">
              <w:rPr>
                <w:rFonts w:ascii="Times New Roman" w:hAnsi="Times New Roman"/>
                <w:sz w:val="22"/>
                <w:szCs w:val="22"/>
              </w:rPr>
              <w:t>+10 Κατάθεση Α</w:t>
            </w:r>
          </w:p>
          <w:p w:rsidR="0039778C" w:rsidRPr="00777193" w:rsidRDefault="0039778C" w:rsidP="0057795A">
            <w:pPr>
              <w:jc w:val="both"/>
              <w:rPr>
                <w:rFonts w:ascii="Times New Roman" w:hAnsi="Times New Roman"/>
                <w:sz w:val="22"/>
                <w:szCs w:val="22"/>
              </w:rPr>
            </w:pPr>
          </w:p>
          <w:p w:rsidR="0039778C" w:rsidRPr="00777193" w:rsidRDefault="0039778C" w:rsidP="0039778C">
            <w:pPr>
              <w:jc w:val="center"/>
              <w:rPr>
                <w:rFonts w:ascii="Times New Roman" w:hAnsi="Times New Roman"/>
                <w:sz w:val="22"/>
                <w:szCs w:val="22"/>
              </w:rPr>
            </w:pPr>
            <w:r w:rsidRPr="00777193">
              <w:rPr>
                <w:rFonts w:ascii="Times New Roman" w:hAnsi="Times New Roman"/>
                <w:sz w:val="22"/>
                <w:szCs w:val="22"/>
              </w:rPr>
              <w:t>;</w:t>
            </w:r>
          </w:p>
        </w:tc>
        <w:tc>
          <w:tcPr>
            <w:tcW w:w="1620" w:type="dxa"/>
          </w:tcPr>
          <w:p w:rsidR="0039778C" w:rsidRPr="00777193" w:rsidRDefault="0039778C" w:rsidP="0039778C">
            <w:pPr>
              <w:jc w:val="center"/>
              <w:rPr>
                <w:rFonts w:ascii="Times New Roman" w:hAnsi="Times New Roman"/>
                <w:sz w:val="22"/>
                <w:szCs w:val="22"/>
              </w:rPr>
            </w:pPr>
            <w:r w:rsidRPr="00777193">
              <w:rPr>
                <w:rFonts w:ascii="Times New Roman" w:hAnsi="Times New Roman"/>
                <w:sz w:val="22"/>
                <w:szCs w:val="22"/>
              </w:rPr>
              <w:t>;</w:t>
            </w:r>
          </w:p>
          <w:p w:rsidR="0039778C" w:rsidRPr="00777193" w:rsidRDefault="0039778C" w:rsidP="0057795A">
            <w:pPr>
              <w:jc w:val="both"/>
              <w:rPr>
                <w:rFonts w:ascii="Times New Roman" w:hAnsi="Times New Roman"/>
                <w:sz w:val="22"/>
                <w:szCs w:val="22"/>
              </w:rPr>
            </w:pPr>
          </w:p>
          <w:p w:rsidR="0039778C" w:rsidRPr="00777193" w:rsidRDefault="0039778C" w:rsidP="0057795A">
            <w:pPr>
              <w:jc w:val="both"/>
              <w:rPr>
                <w:rFonts w:ascii="Times New Roman" w:hAnsi="Times New Roman"/>
                <w:sz w:val="22"/>
                <w:szCs w:val="22"/>
              </w:rPr>
            </w:pPr>
            <w:r w:rsidRPr="00777193">
              <w:rPr>
                <w:rFonts w:ascii="Times New Roman" w:hAnsi="Times New Roman"/>
                <w:sz w:val="22"/>
                <w:szCs w:val="22"/>
              </w:rPr>
              <w:t>+10 Διαθέσιμα</w:t>
            </w:r>
          </w:p>
          <w:p w:rsidR="0039778C" w:rsidRPr="00777193" w:rsidRDefault="0039778C" w:rsidP="0057795A">
            <w:pPr>
              <w:jc w:val="both"/>
              <w:rPr>
                <w:rFonts w:ascii="Times New Roman" w:hAnsi="Times New Roman"/>
                <w:sz w:val="22"/>
                <w:szCs w:val="22"/>
              </w:rPr>
            </w:pPr>
            <w:proofErr w:type="spellStart"/>
            <w:r w:rsidRPr="00777193">
              <w:rPr>
                <w:rFonts w:ascii="Times New Roman" w:hAnsi="Times New Roman"/>
                <w:sz w:val="22"/>
                <w:szCs w:val="22"/>
              </w:rPr>
              <w:t>Κεντρ</w:t>
            </w:r>
            <w:proofErr w:type="spellEnd"/>
            <w:r w:rsidRPr="00777193">
              <w:rPr>
                <w:rFonts w:ascii="Times New Roman" w:hAnsi="Times New Roman"/>
                <w:sz w:val="22"/>
                <w:szCs w:val="22"/>
              </w:rPr>
              <w:t>. τράπεζας</w:t>
            </w:r>
          </w:p>
        </w:tc>
        <w:tc>
          <w:tcPr>
            <w:tcW w:w="1170" w:type="dxa"/>
          </w:tcPr>
          <w:p w:rsidR="0039778C" w:rsidRPr="00777193" w:rsidRDefault="0039778C" w:rsidP="0057795A">
            <w:pPr>
              <w:jc w:val="both"/>
              <w:rPr>
                <w:rFonts w:ascii="Times New Roman" w:hAnsi="Times New Roman"/>
                <w:sz w:val="22"/>
                <w:szCs w:val="22"/>
              </w:rPr>
            </w:pPr>
          </w:p>
        </w:tc>
      </w:tr>
    </w:tbl>
    <w:p w:rsidR="0039778C" w:rsidRDefault="0039778C" w:rsidP="0039778C">
      <w:pPr>
        <w:pStyle w:val="ae"/>
        <w:spacing w:line="360" w:lineRule="auto"/>
        <w:ind w:left="360"/>
        <w:jc w:val="both"/>
      </w:pPr>
    </w:p>
    <w:p w:rsidR="0039778C" w:rsidRDefault="0039778C" w:rsidP="002E12D2">
      <w:pPr>
        <w:pStyle w:val="ae"/>
        <w:numPr>
          <w:ilvl w:val="0"/>
          <w:numId w:val="12"/>
        </w:numPr>
        <w:spacing w:line="360" w:lineRule="auto"/>
        <w:ind w:left="360"/>
        <w:jc w:val="both"/>
      </w:pPr>
      <w:r>
        <w:t xml:space="preserve">Πότε μια αγορά χαρακτηρίζεται ως </w:t>
      </w:r>
      <w:r w:rsidRPr="00721750">
        <w:t>ρευστή</w:t>
      </w:r>
      <w:r>
        <w:t>;</w:t>
      </w:r>
    </w:p>
    <w:p w:rsidR="0039778C" w:rsidRDefault="0039778C" w:rsidP="002E12D2">
      <w:pPr>
        <w:pStyle w:val="ae"/>
        <w:numPr>
          <w:ilvl w:val="0"/>
          <w:numId w:val="12"/>
        </w:numPr>
        <w:spacing w:line="360" w:lineRule="auto"/>
        <w:ind w:left="360"/>
        <w:jc w:val="both"/>
      </w:pPr>
      <w:r>
        <w:t>Ποια η</w:t>
      </w:r>
      <w:bookmarkStart w:id="20" w:name="_GoBack"/>
      <w:bookmarkEnd w:id="20"/>
      <w:r>
        <w:t xml:space="preserve"> βασική διαφορά μεταξύ </w:t>
      </w:r>
      <w:proofErr w:type="spellStart"/>
      <w:r w:rsidRPr="0039778C">
        <w:t>broker</w:t>
      </w:r>
      <w:proofErr w:type="spellEnd"/>
      <w:r>
        <w:t xml:space="preserve"> και </w:t>
      </w:r>
      <w:proofErr w:type="spellStart"/>
      <w:r w:rsidRPr="0039778C">
        <w:t>dealer</w:t>
      </w:r>
      <w:proofErr w:type="spellEnd"/>
      <w:r>
        <w:t>;</w:t>
      </w:r>
    </w:p>
    <w:p w:rsidR="00792B83" w:rsidRDefault="0039778C" w:rsidP="002E12D2">
      <w:pPr>
        <w:pStyle w:val="ae"/>
        <w:numPr>
          <w:ilvl w:val="0"/>
          <w:numId w:val="12"/>
        </w:numPr>
        <w:spacing w:line="360" w:lineRule="auto"/>
        <w:ind w:left="360"/>
        <w:jc w:val="both"/>
      </w:pPr>
      <w:r>
        <w:t xml:space="preserve"> Δώστε ένα παράδειγμα επέκτασης της ρευστότητας από την κεντρική τράπεζα δείχνοντας τις μεταβολές </w:t>
      </w:r>
      <w:r w:rsidR="00792B83">
        <w:t xml:space="preserve">στους ισολογισμούς </w:t>
      </w:r>
      <w:r>
        <w:t xml:space="preserve">σε καταθέσεις, </w:t>
      </w:r>
      <w:proofErr w:type="spellStart"/>
      <w:r>
        <w:t>ρέπος</w:t>
      </w:r>
      <w:proofErr w:type="spellEnd"/>
      <w:r>
        <w:t xml:space="preserve"> και διαθέσιμα για μια τράπεζα, τον </w:t>
      </w:r>
      <w:r>
        <w:rPr>
          <w:lang w:val="en-US"/>
        </w:rPr>
        <w:t>dealer</w:t>
      </w:r>
      <w:r w:rsidRPr="0039778C">
        <w:t xml:space="preserve">, </w:t>
      </w:r>
      <w:r>
        <w:t>και την κεντρική τράπεζα. Κάντε στην συνέχεια το ίδιο για την περίπτωση συρρίκνωσης της ρευστότητας από την κεντρική τράπεζα.</w:t>
      </w:r>
    </w:p>
    <w:p w:rsidR="00792B83" w:rsidRDefault="00792B83" w:rsidP="002E12D2">
      <w:pPr>
        <w:pStyle w:val="ae"/>
        <w:numPr>
          <w:ilvl w:val="0"/>
          <w:numId w:val="12"/>
        </w:numPr>
        <w:spacing w:line="360" w:lineRule="auto"/>
        <w:ind w:left="360"/>
        <w:jc w:val="both"/>
      </w:pPr>
      <w:r>
        <w:t>Τι καλούμε αγορά ευρωνομισμάτων;</w:t>
      </w:r>
    </w:p>
    <w:p w:rsidR="00792B83" w:rsidRDefault="00792B83" w:rsidP="002E12D2">
      <w:pPr>
        <w:pStyle w:val="ae"/>
        <w:numPr>
          <w:ilvl w:val="0"/>
          <w:numId w:val="12"/>
        </w:numPr>
        <w:spacing w:line="360" w:lineRule="auto"/>
        <w:ind w:left="360"/>
        <w:jc w:val="both"/>
      </w:pPr>
      <w:r>
        <w:t>Ποιοι οι βασικοί παράγοντες ανάπτυξης της αγοράς ευρωδολαρίων;</w:t>
      </w:r>
    </w:p>
    <w:p w:rsidR="009F1AF7" w:rsidRPr="000B3097" w:rsidRDefault="009F1AF7" w:rsidP="002E12D2">
      <w:pPr>
        <w:pStyle w:val="ae"/>
        <w:numPr>
          <w:ilvl w:val="0"/>
          <w:numId w:val="12"/>
        </w:numPr>
        <w:spacing w:line="360" w:lineRule="auto"/>
        <w:ind w:left="360"/>
        <w:jc w:val="both"/>
      </w:pPr>
      <w:r w:rsidRPr="000B3097">
        <w:t xml:space="preserve">Πόσα λεφτά είστε διατεθειμένος να πληρώσετε για ένα ΕΓΔ ονομαστικής </w:t>
      </w:r>
      <w:proofErr w:type="spellStart"/>
      <w:r w:rsidRPr="000B3097">
        <w:t>ξίας</w:t>
      </w:r>
      <w:proofErr w:type="spellEnd"/>
      <w:r w:rsidRPr="000B3097">
        <w:t xml:space="preserve"> $50000 που λήγει σε 40 ημέρες όταν η απόδοση ενός αξιόγραφου ανάλογου κινδύνου είναι 4% ετησίως;</w:t>
      </w:r>
    </w:p>
    <w:p w:rsidR="009F1AF7" w:rsidRPr="000B3097" w:rsidRDefault="009F1AF7" w:rsidP="002E12D2">
      <w:pPr>
        <w:pStyle w:val="ae"/>
        <w:numPr>
          <w:ilvl w:val="0"/>
          <w:numId w:val="12"/>
        </w:numPr>
        <w:spacing w:line="360" w:lineRule="auto"/>
        <w:ind w:left="360"/>
        <w:jc w:val="both"/>
      </w:pPr>
      <w:r w:rsidRPr="000B3097">
        <w:t xml:space="preserve">Περιγράψτε πως θα υπολογίσουμε την απόδοση στη λήξη ενός 18μηνου πιστοποιητικού καταθέσεων σε </w:t>
      </w:r>
      <w:proofErr w:type="spellStart"/>
      <w:r w:rsidRPr="000B3097">
        <w:t>Ευρωκαναδικά</w:t>
      </w:r>
      <w:proofErr w:type="spellEnd"/>
      <w:r w:rsidRPr="000B3097">
        <w:t xml:space="preserve"> δολάρια που πωλείται στη </w:t>
      </w:r>
      <w:r>
        <w:t>τιμή των 99 με ετήσιο επιτόκιο 8</w:t>
      </w:r>
      <w:r w:rsidRPr="000B3097">
        <w:t>% και οι τόκοι καταβάλλονται κάθε 6 μήνες;</w:t>
      </w:r>
    </w:p>
    <w:p w:rsidR="009F1AF7" w:rsidRDefault="009F1AF7" w:rsidP="002E12D2">
      <w:pPr>
        <w:pStyle w:val="ae"/>
        <w:numPr>
          <w:ilvl w:val="0"/>
          <w:numId w:val="12"/>
        </w:numPr>
        <w:spacing w:line="360" w:lineRule="auto"/>
        <w:ind w:left="360"/>
        <w:jc w:val="both"/>
      </w:pPr>
      <w:r w:rsidRPr="000B3097">
        <w:t>Αν μια τράπεζα συμφωνήσει να αγοράσει $100000000 ΕΓΔ με λήξη σε 60 ημέρες στη τιμή των $99346760 και να τα ξανά πουλήσει στον κάτοχο τους μέσα σε 10 ημέρες στη τιμή των $99455040, ποια θα είναι η απόδοση συμφωνίας επαναγοράς (</w:t>
      </w:r>
      <w:proofErr w:type="spellStart"/>
      <w:r w:rsidRPr="000B3097">
        <w:t>repo</w:t>
      </w:r>
      <w:proofErr w:type="spellEnd"/>
      <w:r w:rsidRPr="000B3097">
        <w:t xml:space="preserve"> </w:t>
      </w:r>
      <w:proofErr w:type="spellStart"/>
      <w:r w:rsidRPr="000B3097">
        <w:t>rate</w:t>
      </w:r>
      <w:proofErr w:type="spellEnd"/>
      <w:r w:rsidRPr="000B3097">
        <w:t xml:space="preserve">); </w:t>
      </w:r>
    </w:p>
    <w:p w:rsidR="00792B83" w:rsidRDefault="00792B83" w:rsidP="002E12D2">
      <w:pPr>
        <w:pStyle w:val="ae"/>
        <w:numPr>
          <w:ilvl w:val="0"/>
          <w:numId w:val="12"/>
        </w:numPr>
        <w:spacing w:line="360" w:lineRule="auto"/>
        <w:ind w:left="360"/>
        <w:jc w:val="both"/>
      </w:pPr>
      <w:r>
        <w:lastRenderedPageBreak/>
        <w:t xml:space="preserve">Να αναφέρεται τις βασικές αρχές του υποδείγματος του </w:t>
      </w:r>
      <w:proofErr w:type="spellStart"/>
      <w:r>
        <w:rPr>
          <w:lang w:val="en-US"/>
        </w:rPr>
        <w:t>Treynor</w:t>
      </w:r>
      <w:proofErr w:type="spellEnd"/>
      <w:r w:rsidRPr="00792B83">
        <w:t xml:space="preserve"> </w:t>
      </w:r>
      <w:r>
        <w:t xml:space="preserve">που εξηγεί την λειτουργία των </w:t>
      </w:r>
      <w:r>
        <w:rPr>
          <w:lang w:val="en-US"/>
        </w:rPr>
        <w:t>dealers</w:t>
      </w:r>
      <w:r w:rsidRPr="00792B83">
        <w:t xml:space="preserve">. </w:t>
      </w:r>
      <w:r>
        <w:t>Απαραίτητη η γραφική απεικόνιση.</w:t>
      </w:r>
    </w:p>
    <w:p w:rsidR="00DD28F2" w:rsidRDefault="0039778C" w:rsidP="002E12D2">
      <w:pPr>
        <w:pStyle w:val="ae"/>
        <w:numPr>
          <w:ilvl w:val="0"/>
          <w:numId w:val="12"/>
        </w:numPr>
        <w:spacing w:line="360" w:lineRule="auto"/>
        <w:ind w:left="360"/>
        <w:jc w:val="both"/>
      </w:pPr>
      <w:r>
        <w:t xml:space="preserve"> Ποιοι βασικοί λόγοι συνέβαλαν στην αστάθεια του Ελληνικού τραπεζικού συστήματος;</w:t>
      </w:r>
    </w:p>
    <w:p w:rsidR="00DD28F2" w:rsidRPr="000B3097" w:rsidRDefault="00DD28F2" w:rsidP="002E12D2">
      <w:pPr>
        <w:pStyle w:val="ae"/>
        <w:numPr>
          <w:ilvl w:val="0"/>
          <w:numId w:val="12"/>
        </w:numPr>
        <w:spacing w:line="360" w:lineRule="auto"/>
        <w:ind w:left="360"/>
        <w:jc w:val="both"/>
      </w:pPr>
      <w:r>
        <w:t xml:space="preserve"> Χρησιμοποιώντας το γράφημα 4.12 εξηγήστε την αρχιτεκτονική του τραπεζικού συστήματος των ΗΠΑ οριοθετώντας τις βασικές αρμοδιότητες της κάθε επιμέρους κλίμακας.</w:t>
      </w:r>
    </w:p>
    <w:p w:rsidR="009F1AF7" w:rsidRDefault="009F1AF7" w:rsidP="000D79D8">
      <w:pPr>
        <w:pStyle w:val="2"/>
        <w:spacing w:before="0" w:after="0" w:line="360" w:lineRule="auto"/>
        <w:jc w:val="both"/>
        <w:rPr>
          <w:rFonts w:ascii="Times New Roman" w:hAnsi="Times New Roman" w:cs="Times New Roman"/>
          <w:i w:val="0"/>
        </w:rPr>
      </w:pPr>
    </w:p>
    <w:p w:rsidR="001672EE" w:rsidRPr="005671B0" w:rsidRDefault="000D79D8" w:rsidP="000D79D8">
      <w:pPr>
        <w:pStyle w:val="2"/>
        <w:spacing w:before="0" w:after="0" w:line="360" w:lineRule="auto"/>
        <w:jc w:val="both"/>
        <w:rPr>
          <w:rFonts w:ascii="Times New Roman" w:hAnsi="Times New Roman" w:cs="Times New Roman"/>
          <w:i w:val="0"/>
        </w:rPr>
      </w:pPr>
      <w:bookmarkStart w:id="21" w:name="_Toc393111076"/>
      <w:r w:rsidRPr="000D79D8">
        <w:rPr>
          <w:rFonts w:ascii="Times New Roman" w:hAnsi="Times New Roman" w:cs="Times New Roman"/>
          <w:i w:val="0"/>
        </w:rPr>
        <w:t>Βιβλιογραφικές</w:t>
      </w:r>
      <w:r w:rsidRPr="005671B0">
        <w:rPr>
          <w:rFonts w:ascii="Times New Roman" w:hAnsi="Times New Roman" w:cs="Times New Roman"/>
          <w:i w:val="0"/>
        </w:rPr>
        <w:t xml:space="preserve"> </w:t>
      </w:r>
      <w:r w:rsidRPr="000D79D8">
        <w:rPr>
          <w:rFonts w:ascii="Times New Roman" w:hAnsi="Times New Roman" w:cs="Times New Roman"/>
          <w:i w:val="0"/>
        </w:rPr>
        <w:t>Αναφορές</w:t>
      </w:r>
      <w:r w:rsidRPr="005671B0">
        <w:rPr>
          <w:rFonts w:ascii="Times New Roman" w:hAnsi="Times New Roman" w:cs="Times New Roman"/>
          <w:i w:val="0"/>
        </w:rPr>
        <w:t xml:space="preserve"> </w:t>
      </w:r>
      <w:r w:rsidRPr="000D79D8">
        <w:rPr>
          <w:rFonts w:ascii="Times New Roman" w:hAnsi="Times New Roman" w:cs="Times New Roman"/>
          <w:i w:val="0"/>
        </w:rPr>
        <w:t>Κεφαλαίου</w:t>
      </w:r>
      <w:bookmarkEnd w:id="21"/>
    </w:p>
    <w:p w:rsidR="00FF62DF" w:rsidRPr="00FF62DF" w:rsidRDefault="00FF62DF" w:rsidP="00FF62DF">
      <w:pPr>
        <w:autoSpaceDE w:val="0"/>
        <w:autoSpaceDN w:val="0"/>
        <w:adjustRightInd w:val="0"/>
        <w:spacing w:line="360" w:lineRule="auto"/>
        <w:rPr>
          <w:b/>
          <w:color w:val="000000"/>
        </w:rPr>
      </w:pPr>
      <w:r w:rsidRPr="00FF62DF">
        <w:rPr>
          <w:b/>
          <w:color w:val="000000"/>
        </w:rPr>
        <w:t>Ελληνική Βιβλιογραφία</w:t>
      </w:r>
    </w:p>
    <w:p w:rsidR="00FF62DF" w:rsidRDefault="00FF62DF" w:rsidP="00FF62DF">
      <w:pPr>
        <w:suppressAutoHyphens/>
        <w:spacing w:after="120" w:line="360" w:lineRule="auto"/>
        <w:jc w:val="both"/>
      </w:pPr>
      <w:r w:rsidRPr="00393FBE">
        <w:t xml:space="preserve">Αγγελόπουλος Π. (2008). </w:t>
      </w:r>
      <w:r w:rsidRPr="00EC6C31">
        <w:rPr>
          <w:i/>
        </w:rPr>
        <w:t>Τράπεζες και Χρηματοπιστωτικό Σύστημα.</w:t>
      </w:r>
      <w:r w:rsidRPr="00393FBE">
        <w:t xml:space="preserve"> Εκδ</w:t>
      </w:r>
      <w:r w:rsidR="008C2AE3">
        <w:t xml:space="preserve">όσεις </w:t>
      </w:r>
      <w:proofErr w:type="spellStart"/>
      <w:r w:rsidRPr="00393FBE">
        <w:t>Σταμούλη</w:t>
      </w:r>
      <w:proofErr w:type="spellEnd"/>
      <w:r w:rsidRPr="00393FBE">
        <w:t>.</w:t>
      </w:r>
    </w:p>
    <w:p w:rsidR="00FF62DF" w:rsidRPr="00242F3E" w:rsidRDefault="00FF62DF" w:rsidP="00FF62DF">
      <w:pPr>
        <w:spacing w:after="120" w:line="360" w:lineRule="auto"/>
        <w:contextualSpacing/>
        <w:jc w:val="both"/>
      </w:pPr>
      <w:proofErr w:type="spellStart"/>
      <w:r>
        <w:t>Δερτιλής</w:t>
      </w:r>
      <w:proofErr w:type="spellEnd"/>
      <w:r>
        <w:t xml:space="preserve"> Γ. (2005). </w:t>
      </w:r>
      <w:r w:rsidRPr="00242F3E">
        <w:t xml:space="preserve">Η ιστορία </w:t>
      </w:r>
      <w:r>
        <w:t>του ελληνικού κράτους 1830-1920.</w:t>
      </w:r>
      <w:r w:rsidRPr="00242F3E">
        <w:t xml:space="preserve"> Τόμος Α, Εστία</w:t>
      </w:r>
      <w:r>
        <w:t>.</w:t>
      </w:r>
    </w:p>
    <w:p w:rsidR="00FF62DF" w:rsidRPr="00242F3E" w:rsidRDefault="00FF62DF" w:rsidP="00FF62DF">
      <w:pPr>
        <w:spacing w:after="120" w:line="360" w:lineRule="auto"/>
        <w:contextualSpacing/>
        <w:jc w:val="both"/>
      </w:pPr>
      <w:proofErr w:type="spellStart"/>
      <w:r w:rsidRPr="00242F3E">
        <w:t>Δερτιλής</w:t>
      </w:r>
      <w:proofErr w:type="spellEnd"/>
      <w:r>
        <w:t>, Γ. (1980). Το ζήτημα των τραπεζών.</w:t>
      </w:r>
      <w:r w:rsidRPr="00242F3E">
        <w:t xml:space="preserve"> ΜΙΕΤ (Κεφ.</w:t>
      </w:r>
      <w:r>
        <w:t xml:space="preserve"> </w:t>
      </w:r>
      <w:r w:rsidRPr="00242F3E">
        <w:t>Γ</w:t>
      </w:r>
      <w:r>
        <w:t>΄</w:t>
      </w:r>
      <w:r w:rsidRPr="00242F3E">
        <w:t>)</w:t>
      </w:r>
      <w:r>
        <w:t>.</w:t>
      </w:r>
    </w:p>
    <w:p w:rsidR="00FF62DF" w:rsidRPr="009A6940" w:rsidRDefault="00FF62DF" w:rsidP="00FF62DF">
      <w:pPr>
        <w:spacing w:after="120" w:line="360" w:lineRule="auto"/>
        <w:jc w:val="both"/>
      </w:pPr>
      <w:r>
        <w:t xml:space="preserve">Ελληνική Ένωση Τραπεζών (2011). </w:t>
      </w:r>
      <w:r w:rsidRPr="009A6940">
        <w:t xml:space="preserve">Το Ελληνικό Τραπεζικό </w:t>
      </w:r>
      <w:r>
        <w:t>Σύστημα το 2010.</w:t>
      </w:r>
      <w:r w:rsidRPr="009A6940">
        <w:t xml:space="preserve"> Αθήνα .</w:t>
      </w:r>
    </w:p>
    <w:p w:rsidR="00FF62DF" w:rsidRPr="009A6940" w:rsidRDefault="00FF62DF" w:rsidP="00FF62DF">
      <w:pPr>
        <w:spacing w:after="120" w:line="360" w:lineRule="auto"/>
        <w:jc w:val="both"/>
      </w:pPr>
      <w:proofErr w:type="spellStart"/>
      <w:r w:rsidRPr="009A6940">
        <w:t>Καραβίας</w:t>
      </w:r>
      <w:proofErr w:type="spellEnd"/>
      <w:r w:rsidRPr="009A6940">
        <w:t xml:space="preserve"> Φ., </w:t>
      </w:r>
      <w:proofErr w:type="spellStart"/>
      <w:r w:rsidRPr="009A6940">
        <w:t>Μονοκρούσος</w:t>
      </w:r>
      <w:proofErr w:type="spellEnd"/>
      <w:r w:rsidRPr="009A6940">
        <w:t xml:space="preserve"> Πλ., </w:t>
      </w:r>
      <w:proofErr w:type="spellStart"/>
      <w:r w:rsidRPr="009A6940">
        <w:t>Μαλλιαρόπο</w:t>
      </w:r>
      <w:r>
        <w:t>υλος</w:t>
      </w:r>
      <w:proofErr w:type="spellEnd"/>
      <w:r>
        <w:t xml:space="preserve"> Δ., </w:t>
      </w:r>
      <w:proofErr w:type="spellStart"/>
      <w:r>
        <w:t>Αναστασάτος</w:t>
      </w:r>
      <w:proofErr w:type="spellEnd"/>
      <w:r>
        <w:t xml:space="preserve"> Τ. (2012). </w:t>
      </w:r>
      <w:r w:rsidRPr="009A6940">
        <w:t>Ελληνικό τραπεζικό σύστημα, μέτρα ενίσχυσης της ρευστότητας και χρηματοδότ</w:t>
      </w:r>
      <w:r>
        <w:t>ηση της πραγματικής οικονομίας.</w:t>
      </w:r>
      <w:r w:rsidRPr="009A6940">
        <w:t xml:space="preserve"> </w:t>
      </w:r>
      <w:r w:rsidRPr="00EC6C31">
        <w:rPr>
          <w:i/>
        </w:rPr>
        <w:t xml:space="preserve">Οικονομία &amp; Αγορές – </w:t>
      </w:r>
      <w:proofErr w:type="spellStart"/>
      <w:r w:rsidRPr="00EC6C31">
        <w:rPr>
          <w:i/>
          <w:lang w:val="en-US"/>
        </w:rPr>
        <w:t>Eurobank</w:t>
      </w:r>
      <w:proofErr w:type="spellEnd"/>
      <w:r w:rsidRPr="00EC6C31">
        <w:rPr>
          <w:i/>
        </w:rPr>
        <w:t xml:space="preserve"> </w:t>
      </w:r>
      <w:r w:rsidRPr="00EC6C31">
        <w:rPr>
          <w:i/>
          <w:lang w:val="en-US"/>
        </w:rPr>
        <w:t>Research</w:t>
      </w:r>
      <w:r w:rsidRPr="009A6940">
        <w:t xml:space="preserve">. </w:t>
      </w:r>
    </w:p>
    <w:p w:rsidR="00FF62DF" w:rsidRDefault="00FF62DF" w:rsidP="00FF62DF">
      <w:pPr>
        <w:suppressAutoHyphens/>
        <w:spacing w:after="120" w:line="360" w:lineRule="auto"/>
        <w:jc w:val="both"/>
      </w:pPr>
      <w:proofErr w:type="spellStart"/>
      <w:r>
        <w:t>Κιντής</w:t>
      </w:r>
      <w:proofErr w:type="spellEnd"/>
      <w:r>
        <w:t xml:space="preserve">, Σ. (2004). </w:t>
      </w:r>
      <w:r w:rsidRPr="00EC6C31">
        <w:rPr>
          <w:i/>
        </w:rPr>
        <w:t>Συνεταιριστικές τράπεζες</w:t>
      </w:r>
      <w:r>
        <w:t xml:space="preserve">, </w:t>
      </w:r>
      <w:proofErr w:type="spellStart"/>
      <w:r>
        <w:t>Εκδ</w:t>
      </w:r>
      <w:proofErr w:type="spellEnd"/>
      <w:r>
        <w:t xml:space="preserve">. </w:t>
      </w:r>
      <w:proofErr w:type="spellStart"/>
      <w:r>
        <w:t>Σάκκουλα</w:t>
      </w:r>
      <w:proofErr w:type="spellEnd"/>
      <w:r>
        <w:t xml:space="preserve"> , Αθήνα – Κομοτηνή.</w:t>
      </w:r>
    </w:p>
    <w:p w:rsidR="00FF62DF" w:rsidRPr="00242F3E" w:rsidRDefault="00FF62DF" w:rsidP="00FF62DF">
      <w:pPr>
        <w:spacing w:after="120" w:line="360" w:lineRule="auto"/>
        <w:contextualSpacing/>
        <w:jc w:val="both"/>
      </w:pPr>
      <w:r w:rsidRPr="00242F3E">
        <w:t>Κωστής</w:t>
      </w:r>
      <w:r>
        <w:t xml:space="preserve">, Κ. (2003). </w:t>
      </w:r>
      <w:r w:rsidRPr="00242F3E">
        <w:t>Η ιστορία της Εθνικής</w:t>
      </w:r>
      <w:r>
        <w:t xml:space="preserve"> Τράπεζας της Ελλάδος 1914-1940.</w:t>
      </w:r>
      <w:r w:rsidRPr="00242F3E">
        <w:t xml:space="preserve"> Αθήνα</w:t>
      </w:r>
      <w:r>
        <w:t>.</w:t>
      </w:r>
    </w:p>
    <w:p w:rsidR="00FF62DF" w:rsidRPr="009A6940" w:rsidRDefault="00FF62DF" w:rsidP="00FF62DF">
      <w:pPr>
        <w:spacing w:after="120" w:line="360" w:lineRule="auto"/>
        <w:jc w:val="both"/>
      </w:pPr>
      <w:r>
        <w:t xml:space="preserve">Μιχαλόπουλος, Γ. (2011). </w:t>
      </w:r>
      <w:r w:rsidRPr="009A6940">
        <w:t>Χρηματοδότηση των ελληνικών τρ</w:t>
      </w:r>
      <w:r>
        <w:t>απεζών στη διάρκεια της κρίσης.</w:t>
      </w:r>
      <w:r w:rsidRPr="009A6940">
        <w:t xml:space="preserve"> </w:t>
      </w:r>
      <w:r w:rsidRPr="000204AB">
        <w:rPr>
          <w:lang w:val="en-US"/>
        </w:rPr>
        <w:t>Alpha</w:t>
      </w:r>
      <w:r w:rsidRPr="009A6940">
        <w:t xml:space="preserve"> </w:t>
      </w:r>
      <w:r w:rsidRPr="000204AB">
        <w:rPr>
          <w:lang w:val="en-US"/>
        </w:rPr>
        <w:t>Bank</w:t>
      </w:r>
      <w:r w:rsidRPr="009A6940">
        <w:t xml:space="preserve">. </w:t>
      </w:r>
    </w:p>
    <w:p w:rsidR="00FF62DF" w:rsidRPr="009A6940" w:rsidRDefault="00FF62DF" w:rsidP="00FF62DF">
      <w:pPr>
        <w:spacing w:after="120" w:line="360" w:lineRule="auto"/>
        <w:jc w:val="both"/>
      </w:pPr>
      <w:proofErr w:type="spellStart"/>
      <w:r w:rsidRPr="009A6940">
        <w:t>Νούλας</w:t>
      </w:r>
      <w:proofErr w:type="spellEnd"/>
      <w:r w:rsidRPr="009A6940">
        <w:t xml:space="preserve"> Α.Γ. (2005) </w:t>
      </w:r>
      <w:r w:rsidRPr="000204AB">
        <w:rPr>
          <w:i/>
        </w:rPr>
        <w:t>Χρήμα &amp; Τράπεζες</w:t>
      </w:r>
      <w:r w:rsidRPr="009A6940">
        <w:t xml:space="preserve">, </w:t>
      </w:r>
      <w:proofErr w:type="spellStart"/>
      <w:r>
        <w:t>Εκδ</w:t>
      </w:r>
      <w:proofErr w:type="spellEnd"/>
      <w:r>
        <w:t>. Πανεπιστήμιο Μακεδονίας,</w:t>
      </w:r>
      <w:r w:rsidRPr="009A6940">
        <w:t xml:space="preserve"> </w:t>
      </w:r>
      <w:r>
        <w:t>Θεσσαλονίκη.</w:t>
      </w:r>
    </w:p>
    <w:p w:rsidR="00FF62DF" w:rsidRDefault="00FF62DF" w:rsidP="00FF62DF">
      <w:pPr>
        <w:spacing w:after="120" w:line="360" w:lineRule="auto"/>
        <w:jc w:val="both"/>
      </w:pPr>
      <w:proofErr w:type="spellStart"/>
      <w:r w:rsidRPr="000204AB">
        <w:rPr>
          <w:bCs/>
        </w:rPr>
        <w:t>Φίλιππας</w:t>
      </w:r>
      <w:proofErr w:type="spellEnd"/>
      <w:r w:rsidRPr="000204AB">
        <w:rPr>
          <w:bCs/>
        </w:rPr>
        <w:t>, Ν (2010)</w:t>
      </w:r>
      <w:r w:rsidRPr="00FD0FDD">
        <w:t xml:space="preserve"> </w:t>
      </w:r>
      <w:r w:rsidRPr="00EC6C31">
        <w:rPr>
          <w:i/>
        </w:rPr>
        <w:t>Αμοιβαία Κεφάλαια, Η ελληνική πραγματικότητα και οι σύγχρονες διεθνείς εξελίξει</w:t>
      </w:r>
      <w:r>
        <w:t>ς. Ιδιωτική έκδοση.</w:t>
      </w:r>
    </w:p>
    <w:p w:rsidR="00FF62DF" w:rsidRPr="00EC6C31" w:rsidRDefault="00FF62DF" w:rsidP="00FF62DF">
      <w:pPr>
        <w:spacing w:after="120" w:line="360" w:lineRule="auto"/>
        <w:jc w:val="both"/>
      </w:pPr>
      <w:r w:rsidRPr="00EC6C31">
        <w:t xml:space="preserve">Μελάς, Κ. (2002). </w:t>
      </w:r>
      <w:r w:rsidRPr="00EC6C31">
        <w:rPr>
          <w:i/>
        </w:rPr>
        <w:t>Εισαγωγή στην τραπεζική χρηματοοικονομική διοικητική</w:t>
      </w:r>
      <w:r w:rsidRPr="00EC6C31">
        <w:t xml:space="preserve">, </w:t>
      </w:r>
      <w:proofErr w:type="spellStart"/>
      <w:r w:rsidRPr="00EC6C31">
        <w:t>Εκδ</w:t>
      </w:r>
      <w:proofErr w:type="spellEnd"/>
      <w:r w:rsidRPr="00EC6C31">
        <w:t>. Εξάντας.</w:t>
      </w:r>
    </w:p>
    <w:p w:rsidR="00FF62DF" w:rsidRPr="00EC6C31" w:rsidRDefault="00FF62DF" w:rsidP="00FF62DF">
      <w:pPr>
        <w:spacing w:after="120" w:line="360" w:lineRule="auto"/>
        <w:jc w:val="both"/>
      </w:pPr>
      <w:r w:rsidRPr="00EC6C31">
        <w:lastRenderedPageBreak/>
        <w:t xml:space="preserve">Μελάς, Κ., Χρηστίδου, Φ. (1999). </w:t>
      </w:r>
      <w:r w:rsidRPr="00EC6C31">
        <w:rPr>
          <w:i/>
        </w:rPr>
        <w:t>Διεθνής τραπεζική στην αλλαγή του αιώνα</w:t>
      </w:r>
      <w:r w:rsidRPr="00EC6C31">
        <w:t xml:space="preserve">, </w:t>
      </w:r>
      <w:proofErr w:type="spellStart"/>
      <w:r w:rsidRPr="00EC6C31">
        <w:t>Εκδ</w:t>
      </w:r>
      <w:proofErr w:type="spellEnd"/>
      <w:r w:rsidRPr="00EC6C31">
        <w:t xml:space="preserve">. </w:t>
      </w:r>
      <w:proofErr w:type="spellStart"/>
      <w:r w:rsidRPr="00EC6C31">
        <w:t>Μπένου</w:t>
      </w:r>
      <w:proofErr w:type="spellEnd"/>
      <w:r w:rsidRPr="00EC6C31">
        <w:t xml:space="preserve"> Ε.</w:t>
      </w:r>
    </w:p>
    <w:p w:rsidR="00FF62DF" w:rsidRDefault="00FF62DF" w:rsidP="00FF62DF">
      <w:pPr>
        <w:spacing w:after="120" w:line="360" w:lineRule="auto"/>
        <w:jc w:val="both"/>
      </w:pPr>
      <w:proofErr w:type="spellStart"/>
      <w:r w:rsidRPr="00EC6C31">
        <w:t>Giddy</w:t>
      </w:r>
      <w:proofErr w:type="spellEnd"/>
      <w:r w:rsidRPr="00EC6C31">
        <w:t xml:space="preserve">, I. (1996) </w:t>
      </w:r>
      <w:r w:rsidRPr="00EC6C31">
        <w:rPr>
          <w:i/>
        </w:rPr>
        <w:t>Παγκόσμιες χρηματοπιστωτικές αγορές</w:t>
      </w:r>
      <w:r w:rsidR="006119E5" w:rsidRPr="006119E5">
        <w:t>.</w:t>
      </w:r>
      <w:r w:rsidRPr="00EC6C31">
        <w:t xml:space="preserve"> </w:t>
      </w:r>
      <w:r w:rsidR="006119E5">
        <w:rPr>
          <w:lang w:val="en-US"/>
        </w:rPr>
        <w:t>E</w:t>
      </w:r>
      <w:proofErr w:type="spellStart"/>
      <w:r w:rsidRPr="00EC6C31">
        <w:t>πιστημονική</w:t>
      </w:r>
      <w:proofErr w:type="spellEnd"/>
      <w:r w:rsidRPr="00EC6C31">
        <w:t xml:space="preserve"> επιμέλεια, Π</w:t>
      </w:r>
      <w:r w:rsidR="006119E5" w:rsidRPr="006119E5">
        <w:t>.</w:t>
      </w:r>
      <w:r w:rsidRPr="00EC6C31">
        <w:t xml:space="preserve"> Ε. </w:t>
      </w:r>
      <w:proofErr w:type="spellStart"/>
      <w:r w:rsidRPr="00EC6C31">
        <w:t>Πετράκης</w:t>
      </w:r>
      <w:proofErr w:type="spellEnd"/>
      <w:r w:rsidRPr="00EC6C31">
        <w:t>, Κ</w:t>
      </w:r>
      <w:r w:rsidR="006119E5" w:rsidRPr="006119E5">
        <w:t>.</w:t>
      </w:r>
      <w:r w:rsidR="006119E5">
        <w:t xml:space="preserve"> </w:t>
      </w:r>
      <w:proofErr w:type="spellStart"/>
      <w:r w:rsidR="006119E5">
        <w:t>Βενεκές</w:t>
      </w:r>
      <w:proofErr w:type="spellEnd"/>
      <w:r w:rsidR="006119E5" w:rsidRPr="006119E5">
        <w:t>.</w:t>
      </w:r>
      <w:r w:rsidR="006119E5">
        <w:t xml:space="preserve"> </w:t>
      </w:r>
      <w:r w:rsidR="006119E5">
        <w:rPr>
          <w:lang w:val="en-US"/>
        </w:rPr>
        <w:t>M</w:t>
      </w:r>
      <w:proofErr w:type="spellStart"/>
      <w:r w:rsidRPr="00EC6C31">
        <w:t>ετάφραση</w:t>
      </w:r>
      <w:proofErr w:type="spellEnd"/>
      <w:r w:rsidRPr="006119E5">
        <w:rPr>
          <w:lang w:val="en-US"/>
        </w:rPr>
        <w:t xml:space="preserve">, </w:t>
      </w:r>
      <w:r w:rsidRPr="00EC6C31">
        <w:t>Κ</w:t>
      </w:r>
      <w:r w:rsidR="006119E5" w:rsidRPr="006119E5">
        <w:rPr>
          <w:lang w:val="en-US"/>
        </w:rPr>
        <w:t>.</w:t>
      </w:r>
      <w:r w:rsidRPr="006119E5">
        <w:rPr>
          <w:lang w:val="en-US"/>
        </w:rPr>
        <w:t xml:space="preserve"> </w:t>
      </w:r>
      <w:proofErr w:type="spellStart"/>
      <w:r w:rsidRPr="00EC6C31">
        <w:t>Κουφόπουλος</w:t>
      </w:r>
      <w:proofErr w:type="spellEnd"/>
      <w:r w:rsidRPr="006119E5">
        <w:rPr>
          <w:lang w:val="en-US"/>
        </w:rPr>
        <w:t>.</w:t>
      </w:r>
      <w:r w:rsidR="006119E5">
        <w:t xml:space="preserve"> Εκδόσεις</w:t>
      </w:r>
      <w:r w:rsidRPr="006119E5">
        <w:rPr>
          <w:lang w:val="en-US"/>
        </w:rPr>
        <w:t xml:space="preserve"> </w:t>
      </w:r>
      <w:proofErr w:type="spellStart"/>
      <w:r w:rsidR="006119E5" w:rsidRPr="00EC6C31">
        <w:t>Παπαζήσης</w:t>
      </w:r>
      <w:proofErr w:type="spellEnd"/>
      <w:r w:rsidR="006119E5">
        <w:t xml:space="preserve">: </w:t>
      </w:r>
      <w:r w:rsidRPr="00EC6C31">
        <w:t>Αθήνα</w:t>
      </w:r>
      <w:r w:rsidRPr="006119E5">
        <w:rPr>
          <w:lang w:val="en-US"/>
        </w:rPr>
        <w:t>.</w:t>
      </w:r>
    </w:p>
    <w:p w:rsidR="006119E5" w:rsidRPr="006119E5" w:rsidRDefault="006119E5" w:rsidP="00FF62DF">
      <w:pPr>
        <w:spacing w:after="120" w:line="360" w:lineRule="auto"/>
        <w:jc w:val="both"/>
      </w:pPr>
    </w:p>
    <w:p w:rsidR="000204AB" w:rsidRPr="006119E5" w:rsidRDefault="000204AB" w:rsidP="000204AB">
      <w:pPr>
        <w:spacing w:line="360" w:lineRule="auto"/>
        <w:rPr>
          <w:b/>
        </w:rPr>
      </w:pPr>
      <w:r w:rsidRPr="00FF62DF">
        <w:rPr>
          <w:b/>
        </w:rPr>
        <w:t>Ξένη</w:t>
      </w:r>
      <w:r w:rsidR="00792B83" w:rsidRPr="006119E5">
        <w:rPr>
          <w:b/>
        </w:rPr>
        <w:t xml:space="preserve"> </w:t>
      </w:r>
      <w:r w:rsidR="00792B83" w:rsidRPr="00FF62DF">
        <w:rPr>
          <w:b/>
        </w:rPr>
        <w:t>Βιβλιογραφία</w:t>
      </w:r>
    </w:p>
    <w:p w:rsidR="00EC6C31" w:rsidRPr="000C510F" w:rsidRDefault="00EC6C31" w:rsidP="00EC6C31">
      <w:pPr>
        <w:spacing w:after="120" w:line="360" w:lineRule="auto"/>
        <w:jc w:val="both"/>
        <w:rPr>
          <w:lang w:val="en-US"/>
        </w:rPr>
      </w:pPr>
      <w:proofErr w:type="spellStart"/>
      <w:proofErr w:type="gramStart"/>
      <w:r w:rsidRPr="0061056A">
        <w:rPr>
          <w:lang w:val="en-US"/>
        </w:rPr>
        <w:t>Bartiloro</w:t>
      </w:r>
      <w:proofErr w:type="spellEnd"/>
      <w:r w:rsidRPr="000C510F">
        <w:rPr>
          <w:lang w:val="en-US"/>
        </w:rPr>
        <w:t xml:space="preserve">, </w:t>
      </w:r>
      <w:r w:rsidRPr="0061056A">
        <w:rPr>
          <w:lang w:val="en-US"/>
        </w:rPr>
        <w:t>L</w:t>
      </w:r>
      <w:r w:rsidRPr="000C510F">
        <w:rPr>
          <w:lang w:val="en-US"/>
        </w:rPr>
        <w:t xml:space="preserve">., </w:t>
      </w:r>
      <w:r w:rsidRPr="0061056A">
        <w:rPr>
          <w:lang w:val="en-US"/>
        </w:rPr>
        <w:t>Allen</w:t>
      </w:r>
      <w:r w:rsidRPr="000C510F">
        <w:rPr>
          <w:lang w:val="en-US"/>
        </w:rPr>
        <w:t xml:space="preserve">, </w:t>
      </w:r>
      <w:r w:rsidRPr="0061056A">
        <w:rPr>
          <w:lang w:val="en-US"/>
        </w:rPr>
        <w:t>F</w:t>
      </w:r>
      <w:r w:rsidRPr="000C510F">
        <w:rPr>
          <w:lang w:val="en-US"/>
        </w:rPr>
        <w:t xml:space="preserve">., </w:t>
      </w:r>
      <w:proofErr w:type="spellStart"/>
      <w:r w:rsidRPr="0061056A">
        <w:rPr>
          <w:lang w:val="en-US"/>
        </w:rPr>
        <w:t>Kowalewski</w:t>
      </w:r>
      <w:proofErr w:type="spellEnd"/>
      <w:r w:rsidRPr="000C510F">
        <w:rPr>
          <w:lang w:val="en-US"/>
        </w:rPr>
        <w:t xml:space="preserve">, </w:t>
      </w:r>
      <w:r w:rsidRPr="0061056A">
        <w:rPr>
          <w:lang w:val="en-US"/>
        </w:rPr>
        <w:t>O</w:t>
      </w:r>
      <w:r w:rsidRPr="000C510F">
        <w:rPr>
          <w:lang w:val="en-US"/>
        </w:rPr>
        <w:t>. (2005).</w:t>
      </w:r>
      <w:proofErr w:type="gramEnd"/>
      <w:r w:rsidRPr="000C510F">
        <w:rPr>
          <w:lang w:val="en-US"/>
        </w:rPr>
        <w:t xml:space="preserve"> </w:t>
      </w:r>
      <w:proofErr w:type="gramStart"/>
      <w:r w:rsidRPr="0061056A">
        <w:rPr>
          <w:lang w:val="en-US"/>
        </w:rPr>
        <w:t>The</w:t>
      </w:r>
      <w:r w:rsidRPr="006119E5">
        <w:rPr>
          <w:lang w:val="en-US"/>
        </w:rPr>
        <w:t xml:space="preserve"> </w:t>
      </w:r>
      <w:r w:rsidRPr="0061056A">
        <w:rPr>
          <w:lang w:val="en-US"/>
        </w:rPr>
        <w:t>Financial</w:t>
      </w:r>
      <w:r w:rsidRPr="006119E5">
        <w:rPr>
          <w:lang w:val="en-US"/>
        </w:rPr>
        <w:t xml:space="preserve"> </w:t>
      </w:r>
      <w:r w:rsidRPr="0061056A">
        <w:rPr>
          <w:lang w:val="en-US"/>
        </w:rPr>
        <w:t>System</w:t>
      </w:r>
      <w:r w:rsidRPr="006119E5">
        <w:rPr>
          <w:lang w:val="en-US"/>
        </w:rPr>
        <w:t xml:space="preserve"> </w:t>
      </w:r>
      <w:r w:rsidRPr="0061056A">
        <w:rPr>
          <w:lang w:val="en-US"/>
        </w:rPr>
        <w:t>of</w:t>
      </w:r>
      <w:r w:rsidRPr="006119E5">
        <w:rPr>
          <w:lang w:val="en-US"/>
        </w:rPr>
        <w:t xml:space="preserve"> </w:t>
      </w:r>
      <w:r w:rsidRPr="0061056A">
        <w:rPr>
          <w:lang w:val="en-US"/>
        </w:rPr>
        <w:t>the</w:t>
      </w:r>
      <w:r w:rsidRPr="006119E5">
        <w:rPr>
          <w:lang w:val="en-US"/>
        </w:rPr>
        <w:t xml:space="preserve"> </w:t>
      </w:r>
      <w:r w:rsidRPr="0061056A">
        <w:rPr>
          <w:lang w:val="en-US"/>
        </w:rPr>
        <w:t>EU</w:t>
      </w:r>
      <w:r w:rsidRPr="006119E5">
        <w:rPr>
          <w:lang w:val="en-US"/>
        </w:rPr>
        <w:t xml:space="preserve"> 25.</w:t>
      </w:r>
      <w:proofErr w:type="gramEnd"/>
      <w:r w:rsidRPr="0061056A">
        <w:rPr>
          <w:lang w:val="en-US"/>
        </w:rPr>
        <w:t> </w:t>
      </w:r>
      <w:proofErr w:type="gramStart"/>
      <w:r w:rsidRPr="00AC15B1">
        <w:rPr>
          <w:i/>
          <w:iCs/>
          <w:lang w:val="en-US"/>
        </w:rPr>
        <w:t>SSRN</w:t>
      </w:r>
      <w:r w:rsidRPr="006119E5">
        <w:rPr>
          <w:i/>
          <w:iCs/>
          <w:lang w:val="en-US"/>
        </w:rPr>
        <w:t xml:space="preserve"> </w:t>
      </w:r>
      <w:r w:rsidRPr="00AC15B1">
        <w:rPr>
          <w:i/>
          <w:iCs/>
          <w:lang w:val="en-US"/>
        </w:rPr>
        <w:t>Working</w:t>
      </w:r>
      <w:r w:rsidRPr="006119E5">
        <w:rPr>
          <w:i/>
          <w:iCs/>
          <w:lang w:val="en-US"/>
        </w:rPr>
        <w:t xml:space="preserve"> </w:t>
      </w:r>
      <w:r w:rsidRPr="00AC15B1">
        <w:rPr>
          <w:i/>
          <w:iCs/>
          <w:lang w:val="en-US"/>
        </w:rPr>
        <w:t>Paper</w:t>
      </w:r>
      <w:r w:rsidRPr="006119E5">
        <w:rPr>
          <w:i/>
          <w:iCs/>
          <w:lang w:val="en-US"/>
        </w:rPr>
        <w:t xml:space="preserve"> </w:t>
      </w:r>
      <w:r w:rsidRPr="00AC15B1">
        <w:rPr>
          <w:i/>
          <w:iCs/>
          <w:lang w:val="en-US"/>
        </w:rPr>
        <w:t>Series</w:t>
      </w:r>
      <w:r w:rsidRPr="000C510F">
        <w:rPr>
          <w:i/>
          <w:iCs/>
          <w:lang w:val="en-US"/>
        </w:rPr>
        <w:t>}</w:t>
      </w:r>
      <w:r w:rsidRPr="000C510F">
        <w:rPr>
          <w:lang w:val="en-US"/>
        </w:rPr>
        <w:t>.</w:t>
      </w:r>
      <w:proofErr w:type="gramEnd"/>
    </w:p>
    <w:p w:rsidR="00EC6C31" w:rsidRPr="00D52AE7" w:rsidRDefault="00EC6C31" w:rsidP="00EC6C31">
      <w:pPr>
        <w:spacing w:after="120" w:line="360" w:lineRule="auto"/>
        <w:jc w:val="both"/>
        <w:rPr>
          <w:lang w:val="en-US"/>
        </w:rPr>
      </w:pPr>
      <w:proofErr w:type="spellStart"/>
      <w:r w:rsidRPr="002B38E1">
        <w:rPr>
          <w:lang w:val="en-US"/>
        </w:rPr>
        <w:t>Chatzoglou</w:t>
      </w:r>
      <w:proofErr w:type="spellEnd"/>
      <w:r w:rsidRPr="006119E5">
        <w:rPr>
          <w:lang w:val="en-US"/>
        </w:rPr>
        <w:t xml:space="preserve">, </w:t>
      </w:r>
      <w:r w:rsidRPr="002B38E1">
        <w:rPr>
          <w:lang w:val="en-US"/>
        </w:rPr>
        <w:t xml:space="preserve">P. D., </w:t>
      </w:r>
      <w:proofErr w:type="spellStart"/>
      <w:r w:rsidRPr="002B38E1">
        <w:rPr>
          <w:lang w:val="en-US"/>
        </w:rPr>
        <w:t>Diamantidis</w:t>
      </w:r>
      <w:proofErr w:type="spellEnd"/>
      <w:r w:rsidRPr="002B38E1">
        <w:rPr>
          <w:lang w:val="en-US"/>
        </w:rPr>
        <w:t xml:space="preserve">, A. D., </w:t>
      </w:r>
      <w:proofErr w:type="spellStart"/>
      <w:r w:rsidRPr="002B38E1">
        <w:rPr>
          <w:lang w:val="en-US"/>
        </w:rPr>
        <w:t>Vraimaki</w:t>
      </w:r>
      <w:proofErr w:type="spellEnd"/>
      <w:r w:rsidRPr="002B38E1">
        <w:rPr>
          <w:lang w:val="en-US"/>
        </w:rPr>
        <w:t xml:space="preserve">, E., </w:t>
      </w:r>
      <w:proofErr w:type="spellStart"/>
      <w:r w:rsidRPr="002B38E1">
        <w:rPr>
          <w:lang w:val="en-US"/>
        </w:rPr>
        <w:t>Polychrou</w:t>
      </w:r>
      <w:proofErr w:type="spellEnd"/>
      <w:r w:rsidRPr="002B38E1">
        <w:rPr>
          <w:lang w:val="en-US"/>
        </w:rPr>
        <w:t xml:space="preserve">, E., </w:t>
      </w:r>
      <w:proofErr w:type="spellStart"/>
      <w:r w:rsidRPr="002B38E1">
        <w:rPr>
          <w:lang w:val="en-US"/>
        </w:rPr>
        <w:t>Chatzitheodorou</w:t>
      </w:r>
      <w:proofErr w:type="spellEnd"/>
      <w:r w:rsidRPr="002B38E1">
        <w:rPr>
          <w:lang w:val="en-US"/>
        </w:rPr>
        <w:t xml:space="preserve">, K. (2010). </w:t>
      </w:r>
      <w:proofErr w:type="gramStart"/>
      <w:r w:rsidRPr="002B38E1">
        <w:rPr>
          <w:lang w:val="en-US"/>
        </w:rPr>
        <w:t>Banking productivity: an overview of the Greek banking system.</w:t>
      </w:r>
      <w:proofErr w:type="gramEnd"/>
      <w:r w:rsidRPr="002B38E1">
        <w:rPr>
          <w:lang w:val="en-US"/>
        </w:rPr>
        <w:t> </w:t>
      </w:r>
      <w:r w:rsidRPr="002B38E1">
        <w:rPr>
          <w:i/>
          <w:iCs/>
          <w:lang w:val="en-US"/>
        </w:rPr>
        <w:t>Managerial Finance</w:t>
      </w:r>
      <w:r w:rsidRPr="002B38E1">
        <w:rPr>
          <w:lang w:val="en-US"/>
        </w:rPr>
        <w:t>, </w:t>
      </w:r>
      <w:r w:rsidRPr="002B38E1">
        <w:rPr>
          <w:i/>
          <w:iCs/>
          <w:lang w:val="en-US"/>
        </w:rPr>
        <w:t>36</w:t>
      </w:r>
      <w:r w:rsidRPr="002B38E1">
        <w:rPr>
          <w:lang w:val="en-US"/>
        </w:rPr>
        <w:t>(12), 1007-1027.</w:t>
      </w:r>
    </w:p>
    <w:p w:rsidR="00EC6C31" w:rsidRPr="00EC6C31" w:rsidRDefault="00EC6C31" w:rsidP="00EC6C31">
      <w:pPr>
        <w:spacing w:after="120" w:line="360" w:lineRule="auto"/>
        <w:jc w:val="both"/>
        <w:rPr>
          <w:lang w:val="en-US"/>
        </w:rPr>
      </w:pPr>
      <w:proofErr w:type="spellStart"/>
      <w:r w:rsidRPr="002B38E1">
        <w:rPr>
          <w:lang w:val="en-US"/>
        </w:rPr>
        <w:t>Chortareas</w:t>
      </w:r>
      <w:proofErr w:type="spellEnd"/>
      <w:r w:rsidRPr="002B38E1">
        <w:rPr>
          <w:lang w:val="en-US"/>
        </w:rPr>
        <w:t xml:space="preserve">, G. E., </w:t>
      </w:r>
      <w:proofErr w:type="spellStart"/>
      <w:r w:rsidRPr="002B38E1">
        <w:rPr>
          <w:lang w:val="en-US"/>
        </w:rPr>
        <w:t>Girardone</w:t>
      </w:r>
      <w:proofErr w:type="spellEnd"/>
      <w:r w:rsidRPr="002B38E1">
        <w:rPr>
          <w:lang w:val="en-US"/>
        </w:rPr>
        <w:t xml:space="preserve">, C., </w:t>
      </w:r>
      <w:proofErr w:type="spellStart"/>
      <w:r w:rsidRPr="002B38E1">
        <w:rPr>
          <w:lang w:val="en-US"/>
        </w:rPr>
        <w:t>Ventouri</w:t>
      </w:r>
      <w:proofErr w:type="spellEnd"/>
      <w:r w:rsidRPr="002B38E1">
        <w:rPr>
          <w:lang w:val="en-US"/>
        </w:rPr>
        <w:t xml:space="preserve">, A. (2009). </w:t>
      </w:r>
      <w:proofErr w:type="gramStart"/>
      <w:r w:rsidRPr="002B38E1">
        <w:rPr>
          <w:lang w:val="en-US"/>
        </w:rPr>
        <w:t>Efficiency and productivity of Greek banks in the EMU era.</w:t>
      </w:r>
      <w:proofErr w:type="gramEnd"/>
      <w:r w:rsidRPr="002B38E1">
        <w:rPr>
          <w:lang w:val="en-US"/>
        </w:rPr>
        <w:t> </w:t>
      </w:r>
      <w:r w:rsidRPr="00EC6C31">
        <w:rPr>
          <w:i/>
          <w:iCs/>
          <w:lang w:val="en-US"/>
        </w:rPr>
        <w:t>Applied Financial Economics</w:t>
      </w:r>
      <w:proofErr w:type="gramStart"/>
      <w:r w:rsidRPr="00EC6C31">
        <w:rPr>
          <w:lang w:val="en-US"/>
        </w:rPr>
        <w:t>,</w:t>
      </w:r>
      <w:r w:rsidRPr="00EC6C31">
        <w:rPr>
          <w:i/>
          <w:iCs/>
          <w:lang w:val="en-US"/>
        </w:rPr>
        <w:t>19</w:t>
      </w:r>
      <w:proofErr w:type="gramEnd"/>
      <w:r w:rsidRPr="00EC6C31">
        <w:rPr>
          <w:lang w:val="en-US"/>
        </w:rPr>
        <w:t>(16), 1317-1328.</w:t>
      </w:r>
    </w:p>
    <w:p w:rsidR="00EC6C31" w:rsidRPr="0061056A" w:rsidRDefault="00EC6C31" w:rsidP="00EC6C31">
      <w:pPr>
        <w:spacing w:after="120" w:line="360" w:lineRule="auto"/>
        <w:jc w:val="both"/>
        <w:rPr>
          <w:lang w:val="en-US"/>
        </w:rPr>
      </w:pPr>
      <w:proofErr w:type="gramStart"/>
      <w:r w:rsidRPr="0061056A">
        <w:rPr>
          <w:lang w:val="en-US"/>
        </w:rPr>
        <w:t xml:space="preserve">Goddard, J., </w:t>
      </w:r>
      <w:proofErr w:type="spellStart"/>
      <w:r w:rsidRPr="0061056A">
        <w:rPr>
          <w:lang w:val="en-US"/>
        </w:rPr>
        <w:t>Molyneux</w:t>
      </w:r>
      <w:proofErr w:type="spellEnd"/>
      <w:r w:rsidRPr="0061056A">
        <w:rPr>
          <w:lang w:val="en-US"/>
        </w:rPr>
        <w:t xml:space="preserve">, P., Wilson, J. O., </w:t>
      </w:r>
      <w:proofErr w:type="spellStart"/>
      <w:r w:rsidRPr="0061056A">
        <w:rPr>
          <w:lang w:val="en-US"/>
        </w:rPr>
        <w:t>Tavakoli</w:t>
      </w:r>
      <w:proofErr w:type="spellEnd"/>
      <w:r w:rsidRPr="0061056A">
        <w:rPr>
          <w:lang w:val="en-US"/>
        </w:rPr>
        <w:t>, M. (2007).</w:t>
      </w:r>
      <w:proofErr w:type="gramEnd"/>
      <w:r w:rsidRPr="0061056A">
        <w:rPr>
          <w:lang w:val="en-US"/>
        </w:rPr>
        <w:t xml:space="preserve"> </w:t>
      </w:r>
      <w:r w:rsidRPr="00D52AE7">
        <w:rPr>
          <w:lang w:val="en-US"/>
        </w:rPr>
        <w:t>European banking: An overview. </w:t>
      </w:r>
      <w:r w:rsidRPr="00D52AE7">
        <w:rPr>
          <w:i/>
          <w:iCs/>
          <w:lang w:val="en-US"/>
        </w:rPr>
        <w:t>Journal of Banking &amp; Finance</w:t>
      </w:r>
      <w:r w:rsidRPr="00D52AE7">
        <w:rPr>
          <w:lang w:val="en-US"/>
        </w:rPr>
        <w:t>, </w:t>
      </w:r>
      <w:r w:rsidRPr="00D52AE7">
        <w:rPr>
          <w:i/>
          <w:iCs/>
          <w:lang w:val="en-US"/>
        </w:rPr>
        <w:t>31</w:t>
      </w:r>
      <w:r w:rsidRPr="00D52AE7">
        <w:rPr>
          <w:lang w:val="en-US"/>
        </w:rPr>
        <w:t>(7), 1911-1935.</w:t>
      </w:r>
    </w:p>
    <w:p w:rsidR="00EC6C31" w:rsidRDefault="00EC6C31" w:rsidP="00EC6C31">
      <w:pPr>
        <w:spacing w:after="120" w:line="360" w:lineRule="auto"/>
        <w:jc w:val="both"/>
        <w:rPr>
          <w:lang w:val="en-US"/>
        </w:rPr>
      </w:pPr>
      <w:r w:rsidRPr="00677A7C">
        <w:rPr>
          <w:lang w:val="en-US"/>
        </w:rPr>
        <w:t xml:space="preserve">Gurley, J. G., Shaw, E. S., </w:t>
      </w:r>
      <w:proofErr w:type="spellStart"/>
      <w:r w:rsidRPr="00677A7C">
        <w:rPr>
          <w:lang w:val="en-US"/>
        </w:rPr>
        <w:t>Enthoven</w:t>
      </w:r>
      <w:proofErr w:type="spellEnd"/>
      <w:r w:rsidRPr="00677A7C">
        <w:rPr>
          <w:lang w:val="en-US"/>
        </w:rPr>
        <w:t>, A. C. (1960). </w:t>
      </w:r>
      <w:r w:rsidRPr="00677A7C">
        <w:rPr>
          <w:i/>
          <w:iCs/>
          <w:lang w:val="en-US"/>
        </w:rPr>
        <w:t>Money in a Theory of Finance</w:t>
      </w:r>
      <w:r w:rsidRPr="00677A7C">
        <w:rPr>
          <w:lang w:val="en-US"/>
        </w:rPr>
        <w:t xml:space="preserve"> (p. 49). </w:t>
      </w:r>
      <w:r w:rsidRPr="00EC6C31">
        <w:rPr>
          <w:lang w:val="en-US"/>
        </w:rPr>
        <w:t>Washington, DC: Brookings Institution</w:t>
      </w:r>
    </w:p>
    <w:p w:rsidR="00EC6C31" w:rsidRPr="00D52AE7" w:rsidRDefault="00EC6C31" w:rsidP="00EC6C31">
      <w:pPr>
        <w:spacing w:after="120" w:line="360" w:lineRule="auto"/>
        <w:jc w:val="both"/>
        <w:rPr>
          <w:lang w:val="en-US"/>
        </w:rPr>
      </w:pPr>
      <w:proofErr w:type="spellStart"/>
      <w:r w:rsidRPr="002B38E1">
        <w:rPr>
          <w:lang w:val="en-US"/>
        </w:rPr>
        <w:t>Liargovas</w:t>
      </w:r>
      <w:proofErr w:type="spellEnd"/>
      <w:r w:rsidRPr="002B38E1">
        <w:rPr>
          <w:lang w:val="en-US"/>
        </w:rPr>
        <w:t xml:space="preserve">, P., </w:t>
      </w:r>
      <w:proofErr w:type="spellStart"/>
      <w:r w:rsidRPr="002B38E1">
        <w:rPr>
          <w:lang w:val="en-US"/>
        </w:rPr>
        <w:t>Repousis</w:t>
      </w:r>
      <w:proofErr w:type="spellEnd"/>
      <w:r w:rsidRPr="002B38E1">
        <w:rPr>
          <w:lang w:val="en-US"/>
        </w:rPr>
        <w:t>, S. (2010). The impact of mergers and acquisitions on the performance of the Greek banking sector: an event study approach.</w:t>
      </w:r>
      <w:r w:rsidR="00606267">
        <w:rPr>
          <w:lang w:val="en-US"/>
        </w:rPr>
        <w:t xml:space="preserve"> </w:t>
      </w:r>
      <w:r w:rsidRPr="002B38E1">
        <w:rPr>
          <w:i/>
          <w:iCs/>
          <w:lang w:val="en-US"/>
        </w:rPr>
        <w:t>International Journal of Economics and Finance</w:t>
      </w:r>
      <w:r w:rsidRPr="002B38E1">
        <w:rPr>
          <w:lang w:val="en-US"/>
        </w:rPr>
        <w:t>, </w:t>
      </w:r>
      <w:r w:rsidRPr="002B38E1">
        <w:rPr>
          <w:i/>
          <w:iCs/>
          <w:lang w:val="en-US"/>
        </w:rPr>
        <w:t>3</w:t>
      </w:r>
      <w:r w:rsidR="00606267">
        <w:rPr>
          <w:lang w:val="en-US"/>
        </w:rPr>
        <w:t xml:space="preserve">(2), </w:t>
      </w:r>
      <w:r w:rsidRPr="002B38E1">
        <w:rPr>
          <w:lang w:val="en-US"/>
        </w:rPr>
        <w:t>89</w:t>
      </w:r>
      <w:r w:rsidR="00564FE6">
        <w:rPr>
          <w:lang w:val="en-US"/>
        </w:rPr>
        <w:t>-100</w:t>
      </w:r>
      <w:r w:rsidRPr="002B38E1">
        <w:rPr>
          <w:lang w:val="en-US"/>
        </w:rPr>
        <w:t>.</w:t>
      </w:r>
    </w:p>
    <w:p w:rsidR="00EC6C31" w:rsidRDefault="00EC6C31" w:rsidP="00EC6C31">
      <w:pPr>
        <w:spacing w:after="120" w:line="360" w:lineRule="auto"/>
        <w:jc w:val="both"/>
        <w:rPr>
          <w:lang w:val="en-US"/>
        </w:rPr>
      </w:pPr>
      <w:proofErr w:type="spellStart"/>
      <w:r w:rsidRPr="00585DD7">
        <w:rPr>
          <w:lang w:val="en-US"/>
        </w:rPr>
        <w:t>Mehrling</w:t>
      </w:r>
      <w:proofErr w:type="spellEnd"/>
      <w:r w:rsidRPr="00585DD7">
        <w:rPr>
          <w:lang w:val="en-US"/>
        </w:rPr>
        <w:t>, P. (2010). </w:t>
      </w:r>
      <w:r w:rsidRPr="00585DD7">
        <w:rPr>
          <w:i/>
          <w:iCs/>
          <w:lang w:val="en-US"/>
        </w:rPr>
        <w:t>The New Lombard Street: How the Fed Became the Dealer of Last Resort</w:t>
      </w:r>
      <w:r w:rsidRPr="00585DD7">
        <w:rPr>
          <w:lang w:val="en-US"/>
        </w:rPr>
        <w:t xml:space="preserve">. </w:t>
      </w:r>
      <w:proofErr w:type="gramStart"/>
      <w:r w:rsidRPr="00EC6C31">
        <w:rPr>
          <w:lang w:val="en-US"/>
        </w:rPr>
        <w:t>Princeton University Press.</w:t>
      </w:r>
      <w:proofErr w:type="gramEnd"/>
    </w:p>
    <w:p w:rsidR="00EC6C31" w:rsidRPr="00EC6C31" w:rsidRDefault="00EC6C31" w:rsidP="00EC6C31">
      <w:pPr>
        <w:spacing w:after="120" w:line="360" w:lineRule="auto"/>
        <w:jc w:val="both"/>
        <w:rPr>
          <w:lang w:val="en-US"/>
        </w:rPr>
      </w:pPr>
      <w:proofErr w:type="spellStart"/>
      <w:r w:rsidRPr="00585DD7">
        <w:rPr>
          <w:lang w:val="en-US"/>
        </w:rPr>
        <w:t>Mehrling</w:t>
      </w:r>
      <w:proofErr w:type="spellEnd"/>
      <w:r w:rsidRPr="00585DD7">
        <w:rPr>
          <w:lang w:val="en-US"/>
        </w:rPr>
        <w:t>, P. (2011). </w:t>
      </w:r>
      <w:proofErr w:type="gramStart"/>
      <w:r w:rsidRPr="00585DD7">
        <w:rPr>
          <w:i/>
          <w:iCs/>
          <w:lang w:val="en-US"/>
        </w:rPr>
        <w:t>Fischer Black and the revolutionary idea of finance</w:t>
      </w:r>
      <w:r w:rsidRPr="00585DD7">
        <w:rPr>
          <w:lang w:val="en-US"/>
        </w:rPr>
        <w:t>.</w:t>
      </w:r>
      <w:proofErr w:type="gramEnd"/>
      <w:r w:rsidRPr="00585DD7">
        <w:rPr>
          <w:lang w:val="en-US"/>
        </w:rPr>
        <w:t xml:space="preserve"> </w:t>
      </w:r>
      <w:proofErr w:type="gramStart"/>
      <w:r w:rsidRPr="00EC6C31">
        <w:rPr>
          <w:lang w:val="en-US"/>
        </w:rPr>
        <w:t>John Wiley &amp; Sons.</w:t>
      </w:r>
      <w:proofErr w:type="gramEnd"/>
    </w:p>
    <w:p w:rsidR="00EC6C31" w:rsidRDefault="00EC6C31" w:rsidP="00EC6C31">
      <w:pPr>
        <w:spacing w:after="120" w:line="360" w:lineRule="auto"/>
        <w:jc w:val="both"/>
        <w:rPr>
          <w:lang w:val="en-US"/>
        </w:rPr>
      </w:pPr>
      <w:proofErr w:type="gramStart"/>
      <w:r w:rsidRPr="00432219">
        <w:rPr>
          <w:bCs/>
          <w:lang w:val="en-US"/>
        </w:rPr>
        <w:t>Minsky</w:t>
      </w:r>
      <w:r w:rsidRPr="00432219">
        <w:rPr>
          <w:lang w:val="en-US"/>
        </w:rPr>
        <w:t>, H. P. (</w:t>
      </w:r>
      <w:r w:rsidRPr="00432219">
        <w:rPr>
          <w:bCs/>
          <w:lang w:val="en-US"/>
        </w:rPr>
        <w:t>1986)</w:t>
      </w:r>
      <w:r w:rsidRPr="00432219">
        <w:rPr>
          <w:lang w:val="en-US"/>
        </w:rPr>
        <w:t>.</w:t>
      </w:r>
      <w:proofErr w:type="gramEnd"/>
      <w:r w:rsidRPr="00432219">
        <w:rPr>
          <w:lang w:val="en-US"/>
        </w:rPr>
        <w:t> </w:t>
      </w:r>
      <w:r w:rsidRPr="00432219">
        <w:rPr>
          <w:bCs/>
          <w:i/>
          <w:lang w:val="en-US"/>
        </w:rPr>
        <w:t>Stabilizing</w:t>
      </w:r>
      <w:r w:rsidRPr="00432219">
        <w:rPr>
          <w:i/>
          <w:lang w:val="en-US"/>
        </w:rPr>
        <w:t> </w:t>
      </w:r>
      <w:proofErr w:type="gramStart"/>
      <w:r w:rsidRPr="00432219">
        <w:rPr>
          <w:i/>
          <w:lang w:val="en-US"/>
        </w:rPr>
        <w:t>An</w:t>
      </w:r>
      <w:proofErr w:type="gramEnd"/>
      <w:r w:rsidRPr="00432219">
        <w:rPr>
          <w:i/>
          <w:lang w:val="en-US"/>
        </w:rPr>
        <w:t> </w:t>
      </w:r>
      <w:r w:rsidRPr="00432219">
        <w:rPr>
          <w:bCs/>
          <w:i/>
          <w:lang w:val="en-US"/>
        </w:rPr>
        <w:t>Unstable</w:t>
      </w:r>
      <w:r w:rsidRPr="00432219">
        <w:rPr>
          <w:i/>
          <w:lang w:val="en-US"/>
        </w:rPr>
        <w:t> Economy</w:t>
      </w:r>
      <w:r w:rsidRPr="00432219">
        <w:rPr>
          <w:lang w:val="en-US"/>
        </w:rPr>
        <w:t xml:space="preserve">. </w:t>
      </w:r>
      <w:r w:rsidRPr="00EC6C31">
        <w:rPr>
          <w:lang w:val="en-US"/>
        </w:rPr>
        <w:t>Yale University Press</w:t>
      </w:r>
    </w:p>
    <w:p w:rsidR="00EC6C31" w:rsidRPr="00D52AE7" w:rsidRDefault="00EC6C31" w:rsidP="00EC6C31">
      <w:pPr>
        <w:spacing w:after="120" w:line="360" w:lineRule="auto"/>
        <w:jc w:val="both"/>
        <w:rPr>
          <w:lang w:val="en-US"/>
        </w:rPr>
      </w:pPr>
      <w:proofErr w:type="spellStart"/>
      <w:r w:rsidRPr="002B38E1">
        <w:rPr>
          <w:lang w:val="en-US"/>
        </w:rPr>
        <w:t>Mylonidis</w:t>
      </w:r>
      <w:proofErr w:type="spellEnd"/>
      <w:r w:rsidRPr="002B38E1">
        <w:rPr>
          <w:lang w:val="en-US"/>
        </w:rPr>
        <w:t xml:space="preserve">, N., </w:t>
      </w:r>
      <w:proofErr w:type="spellStart"/>
      <w:r w:rsidRPr="002B38E1">
        <w:rPr>
          <w:lang w:val="en-US"/>
        </w:rPr>
        <w:t>Kelnikola</w:t>
      </w:r>
      <w:proofErr w:type="spellEnd"/>
      <w:r w:rsidRPr="002B38E1">
        <w:rPr>
          <w:lang w:val="en-US"/>
        </w:rPr>
        <w:t xml:space="preserve">, I. (2005). </w:t>
      </w:r>
      <w:proofErr w:type="gramStart"/>
      <w:r w:rsidRPr="002B38E1">
        <w:rPr>
          <w:lang w:val="en-US"/>
        </w:rPr>
        <w:t>Merging activity in the Greek banking system: a financial accounting perspective.</w:t>
      </w:r>
      <w:proofErr w:type="gramEnd"/>
      <w:r w:rsidRPr="002B38E1">
        <w:rPr>
          <w:lang w:val="en-US"/>
        </w:rPr>
        <w:t> </w:t>
      </w:r>
      <w:r w:rsidRPr="00D52AE7">
        <w:rPr>
          <w:i/>
          <w:iCs/>
          <w:lang w:val="en-US"/>
        </w:rPr>
        <w:t>South Eastern Europe Journal of Economics</w:t>
      </w:r>
      <w:r w:rsidRPr="00D52AE7">
        <w:rPr>
          <w:lang w:val="en-US"/>
        </w:rPr>
        <w:t>, </w:t>
      </w:r>
      <w:r w:rsidRPr="00D52AE7">
        <w:rPr>
          <w:i/>
          <w:iCs/>
          <w:lang w:val="en-US"/>
        </w:rPr>
        <w:t>1</w:t>
      </w:r>
      <w:r w:rsidRPr="00D52AE7">
        <w:rPr>
          <w:lang w:val="en-US"/>
        </w:rPr>
        <w:t>, 121-144.</w:t>
      </w:r>
    </w:p>
    <w:p w:rsidR="00EC6C31" w:rsidRPr="00EC6C31" w:rsidRDefault="00EC6C31" w:rsidP="00EC6C31">
      <w:pPr>
        <w:spacing w:after="120" w:line="360" w:lineRule="auto"/>
        <w:jc w:val="both"/>
        <w:rPr>
          <w:lang w:val="en-US"/>
        </w:rPr>
      </w:pPr>
      <w:proofErr w:type="spellStart"/>
      <w:r w:rsidRPr="00296F44">
        <w:rPr>
          <w:lang w:val="en-US"/>
        </w:rPr>
        <w:lastRenderedPageBreak/>
        <w:t>Noet</w:t>
      </w:r>
      <w:r>
        <w:rPr>
          <w:lang w:val="en-US"/>
        </w:rPr>
        <w:t>h</w:t>
      </w:r>
      <w:proofErr w:type="spellEnd"/>
      <w:r w:rsidRPr="00EC6C31">
        <w:rPr>
          <w:lang w:val="en-US"/>
        </w:rPr>
        <w:t xml:space="preserve">, </w:t>
      </w:r>
      <w:r>
        <w:rPr>
          <w:lang w:val="en-US"/>
        </w:rPr>
        <w:t>B</w:t>
      </w:r>
      <w:r w:rsidRPr="00EC6C31">
        <w:rPr>
          <w:lang w:val="en-US"/>
        </w:rPr>
        <w:t xml:space="preserve">., </w:t>
      </w:r>
      <w:proofErr w:type="spellStart"/>
      <w:r>
        <w:rPr>
          <w:lang w:val="en-US"/>
        </w:rPr>
        <w:t>Sengupta</w:t>
      </w:r>
      <w:proofErr w:type="spellEnd"/>
      <w:r w:rsidRPr="00EC6C31">
        <w:rPr>
          <w:lang w:val="en-US"/>
        </w:rPr>
        <w:t xml:space="preserve">, </w:t>
      </w:r>
      <w:r>
        <w:rPr>
          <w:lang w:val="en-US"/>
        </w:rPr>
        <w:t>R</w:t>
      </w:r>
      <w:r w:rsidRPr="00EC6C31">
        <w:rPr>
          <w:lang w:val="en-US"/>
        </w:rPr>
        <w:t xml:space="preserve">. (2012). </w:t>
      </w:r>
      <w:proofErr w:type="gramStart"/>
      <w:r w:rsidRPr="00296F44">
        <w:rPr>
          <w:lang w:val="en-US"/>
        </w:rPr>
        <w:t>Global European Banks and the Financial Crisis</w:t>
      </w:r>
      <w:r w:rsidRPr="00CF5CCF">
        <w:rPr>
          <w:lang w:val="en-US"/>
        </w:rPr>
        <w:t>.</w:t>
      </w:r>
      <w:proofErr w:type="gramEnd"/>
      <w:r w:rsidRPr="00CF5CCF">
        <w:rPr>
          <w:lang w:val="en-US"/>
        </w:rPr>
        <w:t xml:space="preserve"> </w:t>
      </w:r>
      <w:r w:rsidRPr="00296F44">
        <w:rPr>
          <w:i/>
          <w:lang w:val="en-US"/>
        </w:rPr>
        <w:t>Federal Reserve Bank of St. Louis Review</w:t>
      </w:r>
      <w:r>
        <w:rPr>
          <w:lang w:val="en-US"/>
        </w:rPr>
        <w:t>, 94</w:t>
      </w:r>
      <w:r w:rsidRPr="00EC6C31">
        <w:rPr>
          <w:lang w:val="en-US"/>
        </w:rPr>
        <w:t>(</w:t>
      </w:r>
      <w:r w:rsidRPr="00296F44">
        <w:rPr>
          <w:lang w:val="en-US"/>
        </w:rPr>
        <w:t>6</w:t>
      </w:r>
      <w:r w:rsidRPr="00EC6C31">
        <w:rPr>
          <w:lang w:val="en-US"/>
        </w:rPr>
        <w:t>)</w:t>
      </w:r>
      <w:r>
        <w:rPr>
          <w:lang w:val="en-US"/>
        </w:rPr>
        <w:t xml:space="preserve">, </w:t>
      </w:r>
      <w:r w:rsidRPr="00296F44">
        <w:rPr>
          <w:lang w:val="en-US"/>
        </w:rPr>
        <w:t>457-</w:t>
      </w:r>
      <w:r w:rsidRPr="00EC6C31">
        <w:rPr>
          <w:lang w:val="en-US"/>
        </w:rPr>
        <w:t>4</w:t>
      </w:r>
      <w:r w:rsidRPr="00296F44">
        <w:rPr>
          <w:lang w:val="en-US"/>
        </w:rPr>
        <w:t>79.</w:t>
      </w:r>
    </w:p>
    <w:p w:rsidR="00EC6C31" w:rsidRPr="00EC6C31" w:rsidRDefault="00EC6C31" w:rsidP="00EC6C31">
      <w:pPr>
        <w:spacing w:after="120" w:line="360" w:lineRule="auto"/>
        <w:jc w:val="both"/>
        <w:rPr>
          <w:lang w:val="en-US"/>
        </w:rPr>
      </w:pPr>
      <w:proofErr w:type="spellStart"/>
      <w:proofErr w:type="gramStart"/>
      <w:r w:rsidRPr="00C92AC3">
        <w:rPr>
          <w:lang w:val="en-US"/>
        </w:rPr>
        <w:t>Pasiouras</w:t>
      </w:r>
      <w:proofErr w:type="spellEnd"/>
      <w:r w:rsidRPr="00C92AC3">
        <w:rPr>
          <w:lang w:val="en-US"/>
        </w:rPr>
        <w:t>, F. (2008).</w:t>
      </w:r>
      <w:proofErr w:type="gramEnd"/>
      <w:r w:rsidRPr="00C92AC3">
        <w:rPr>
          <w:lang w:val="en-US"/>
        </w:rPr>
        <w:t xml:space="preserve"> Estimating the technical and scale efficiency of Greek commercial banks: the impact of credit risk, off-balance sheet activities, and international operations. </w:t>
      </w:r>
      <w:r w:rsidRPr="00EC6C31">
        <w:rPr>
          <w:i/>
          <w:iCs/>
          <w:lang w:val="en-US"/>
        </w:rPr>
        <w:t>Research in International Business and Finance</w:t>
      </w:r>
      <w:r w:rsidRPr="00EC6C31">
        <w:rPr>
          <w:lang w:val="en-US"/>
        </w:rPr>
        <w:t>, </w:t>
      </w:r>
      <w:r w:rsidRPr="00EC6C31">
        <w:rPr>
          <w:i/>
          <w:iCs/>
          <w:lang w:val="en-US"/>
        </w:rPr>
        <w:t>22</w:t>
      </w:r>
      <w:r w:rsidRPr="00EC6C31">
        <w:rPr>
          <w:lang w:val="en-US"/>
        </w:rPr>
        <w:t>(3), 301-318.</w:t>
      </w:r>
    </w:p>
    <w:p w:rsidR="00EC6C31" w:rsidRPr="00D52AE7" w:rsidRDefault="00EC6C31" w:rsidP="00EC6C31">
      <w:pPr>
        <w:spacing w:after="120" w:line="360" w:lineRule="auto"/>
        <w:jc w:val="both"/>
        <w:rPr>
          <w:lang w:val="en-US"/>
        </w:rPr>
      </w:pPr>
      <w:proofErr w:type="spellStart"/>
      <w:proofErr w:type="gramStart"/>
      <w:r w:rsidRPr="00AC15B1">
        <w:rPr>
          <w:lang w:val="en-US"/>
        </w:rPr>
        <w:t>Spathis</w:t>
      </w:r>
      <w:proofErr w:type="spellEnd"/>
      <w:r w:rsidRPr="00AC15B1">
        <w:rPr>
          <w:lang w:val="en-US"/>
        </w:rPr>
        <w:t xml:space="preserve">, C., </w:t>
      </w:r>
      <w:proofErr w:type="spellStart"/>
      <w:r w:rsidRPr="00AC15B1">
        <w:rPr>
          <w:lang w:val="en-US"/>
        </w:rPr>
        <w:t>Kosmidou</w:t>
      </w:r>
      <w:proofErr w:type="spellEnd"/>
      <w:r w:rsidRPr="00AC15B1">
        <w:rPr>
          <w:lang w:val="en-US"/>
        </w:rPr>
        <w:t xml:space="preserve">, K., </w:t>
      </w:r>
      <w:proofErr w:type="spellStart"/>
      <w:r w:rsidRPr="00AC15B1">
        <w:rPr>
          <w:lang w:val="en-US"/>
        </w:rPr>
        <w:t>Doumpos</w:t>
      </w:r>
      <w:proofErr w:type="spellEnd"/>
      <w:r w:rsidRPr="00AC15B1">
        <w:rPr>
          <w:lang w:val="en-US"/>
        </w:rPr>
        <w:t>, M. (2002).</w:t>
      </w:r>
      <w:proofErr w:type="gramEnd"/>
      <w:r w:rsidRPr="00AC15B1">
        <w:rPr>
          <w:lang w:val="en-US"/>
        </w:rPr>
        <w:t xml:space="preserve"> </w:t>
      </w:r>
      <w:proofErr w:type="gramStart"/>
      <w:r w:rsidRPr="00AC15B1">
        <w:rPr>
          <w:lang w:val="en-US"/>
        </w:rPr>
        <w:t xml:space="preserve">Assessing profitability factors in the Greek banking system: A </w:t>
      </w:r>
      <w:proofErr w:type="spellStart"/>
      <w:r w:rsidRPr="00AC15B1">
        <w:rPr>
          <w:lang w:val="en-US"/>
        </w:rPr>
        <w:t>multicriteria</w:t>
      </w:r>
      <w:proofErr w:type="spellEnd"/>
      <w:r w:rsidRPr="00AC15B1">
        <w:rPr>
          <w:lang w:val="en-US"/>
        </w:rPr>
        <w:t xml:space="preserve"> methodology.</w:t>
      </w:r>
      <w:proofErr w:type="gramEnd"/>
      <w:r w:rsidRPr="00AC15B1">
        <w:rPr>
          <w:lang w:val="en-US"/>
        </w:rPr>
        <w:t> </w:t>
      </w:r>
      <w:r w:rsidRPr="00D52AE7">
        <w:rPr>
          <w:i/>
          <w:iCs/>
          <w:lang w:val="en-US"/>
        </w:rPr>
        <w:t>International Transactions in Operational Research</w:t>
      </w:r>
      <w:r w:rsidRPr="00D52AE7">
        <w:rPr>
          <w:lang w:val="en-US"/>
        </w:rPr>
        <w:t>, </w:t>
      </w:r>
      <w:r w:rsidRPr="00D52AE7">
        <w:rPr>
          <w:i/>
          <w:iCs/>
          <w:lang w:val="en-US"/>
        </w:rPr>
        <w:t>9</w:t>
      </w:r>
      <w:r w:rsidRPr="00D52AE7">
        <w:rPr>
          <w:lang w:val="en-US"/>
        </w:rPr>
        <w:t>(5), 517-530.</w:t>
      </w:r>
    </w:p>
    <w:p w:rsidR="00EC6C31" w:rsidRPr="00AC15B1" w:rsidRDefault="00EC6C31" w:rsidP="00EC6C31">
      <w:pPr>
        <w:spacing w:after="120" w:line="360" w:lineRule="auto"/>
        <w:jc w:val="both"/>
        <w:rPr>
          <w:lang w:val="en-US"/>
        </w:rPr>
      </w:pPr>
      <w:proofErr w:type="spellStart"/>
      <w:proofErr w:type="gramStart"/>
      <w:r w:rsidRPr="00097572">
        <w:rPr>
          <w:lang w:val="en-US"/>
        </w:rPr>
        <w:t>Stigum</w:t>
      </w:r>
      <w:proofErr w:type="spellEnd"/>
      <w:r w:rsidRPr="00097572">
        <w:rPr>
          <w:lang w:val="en-US"/>
        </w:rPr>
        <w:t>, M. (1983).</w:t>
      </w:r>
      <w:proofErr w:type="gramEnd"/>
      <w:r w:rsidRPr="00097572">
        <w:rPr>
          <w:lang w:val="en-US"/>
        </w:rPr>
        <w:t> </w:t>
      </w:r>
      <w:proofErr w:type="gramStart"/>
      <w:r w:rsidRPr="00097572">
        <w:rPr>
          <w:i/>
          <w:iCs/>
          <w:lang w:val="en-US"/>
        </w:rPr>
        <w:t>The money market</w:t>
      </w:r>
      <w:r w:rsidRPr="00097572">
        <w:rPr>
          <w:lang w:val="en-US"/>
        </w:rPr>
        <w:t>.</w:t>
      </w:r>
      <w:proofErr w:type="gramEnd"/>
      <w:r w:rsidRPr="00097572">
        <w:rPr>
          <w:lang w:val="en-US"/>
        </w:rPr>
        <w:t xml:space="preserve"> Homewood, IL: Dow Jones-Irwin.</w:t>
      </w:r>
    </w:p>
    <w:p w:rsidR="00EC6C31" w:rsidRPr="00FF62DF" w:rsidRDefault="00EC6C31" w:rsidP="00EC6C31">
      <w:pPr>
        <w:spacing w:after="120" w:line="360" w:lineRule="auto"/>
        <w:jc w:val="both"/>
      </w:pPr>
      <w:proofErr w:type="spellStart"/>
      <w:r w:rsidRPr="00AC15B1">
        <w:rPr>
          <w:lang w:val="en-US"/>
        </w:rPr>
        <w:t>Tsionas</w:t>
      </w:r>
      <w:proofErr w:type="spellEnd"/>
      <w:r w:rsidRPr="00AC15B1">
        <w:rPr>
          <w:lang w:val="en-US"/>
        </w:rPr>
        <w:t xml:space="preserve">, E. G., Lolos, S. E., </w:t>
      </w:r>
      <w:proofErr w:type="spellStart"/>
      <w:r w:rsidRPr="00AC15B1">
        <w:rPr>
          <w:lang w:val="en-US"/>
        </w:rPr>
        <w:t>Christopoulos</w:t>
      </w:r>
      <w:proofErr w:type="spellEnd"/>
      <w:r w:rsidRPr="00AC15B1">
        <w:rPr>
          <w:lang w:val="en-US"/>
        </w:rPr>
        <w:t>, D. K. (2003). The performance of the Greek banking system in view of the EMU: results from a non-parametric approach. </w:t>
      </w:r>
      <w:r w:rsidRPr="00EC6C31">
        <w:rPr>
          <w:i/>
          <w:iCs/>
          <w:lang w:val="en-US"/>
        </w:rPr>
        <w:t>Economic</w:t>
      </w:r>
      <w:r w:rsidRPr="00FF62DF">
        <w:rPr>
          <w:i/>
          <w:iCs/>
        </w:rPr>
        <w:t xml:space="preserve"> </w:t>
      </w:r>
      <w:r w:rsidR="006119E5">
        <w:rPr>
          <w:i/>
          <w:iCs/>
        </w:rPr>
        <w:t>Μ</w:t>
      </w:r>
      <w:proofErr w:type="spellStart"/>
      <w:r w:rsidRPr="00EC6C31">
        <w:rPr>
          <w:i/>
          <w:iCs/>
          <w:lang w:val="en-US"/>
        </w:rPr>
        <w:t>odelling</w:t>
      </w:r>
      <w:proofErr w:type="spellEnd"/>
      <w:r w:rsidRPr="00FF62DF">
        <w:t>,</w:t>
      </w:r>
      <w:r w:rsidRPr="00EC6C31">
        <w:rPr>
          <w:lang w:val="en-US"/>
        </w:rPr>
        <w:t> </w:t>
      </w:r>
      <w:r w:rsidRPr="00FF62DF">
        <w:rPr>
          <w:i/>
          <w:iCs/>
        </w:rPr>
        <w:t>20</w:t>
      </w:r>
      <w:r w:rsidRPr="00FF62DF">
        <w:t>(3), 571-592.</w:t>
      </w:r>
    </w:p>
    <w:p w:rsidR="00EC6C31" w:rsidRPr="000204AB" w:rsidRDefault="00EC6C31" w:rsidP="00EC6C31">
      <w:pPr>
        <w:spacing w:after="120" w:line="360" w:lineRule="auto"/>
        <w:ind w:left="360"/>
        <w:jc w:val="both"/>
      </w:pPr>
    </w:p>
    <w:p w:rsidR="0040797E" w:rsidRPr="006119E5" w:rsidRDefault="0040797E">
      <w:pPr>
        <w:spacing w:line="360" w:lineRule="auto"/>
        <w:jc w:val="both"/>
        <w:rPr>
          <w:lang w:val="en-US"/>
        </w:rPr>
      </w:pPr>
    </w:p>
    <w:sectPr w:rsidR="0040797E" w:rsidRPr="006119E5" w:rsidSect="00CD205A">
      <w:footerReference w:type="default" r:id="rId49"/>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1E3" w:rsidRDefault="00E651E3">
      <w:r>
        <w:separator/>
      </w:r>
    </w:p>
  </w:endnote>
  <w:endnote w:type="continuationSeparator" w:id="0">
    <w:p w:rsidR="00E651E3" w:rsidRDefault="00E6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 w:name="Segoe UI">
    <w:panose1 w:val="020B0502040204020203"/>
    <w:charset w:val="A1"/>
    <w:family w:val="swiss"/>
    <w:pitch w:val="variable"/>
    <w:sig w:usb0="E4002EFF" w:usb1="C000E47F" w:usb2="00000009" w:usb3="00000000" w:csb0="000001FF" w:csb1="00000000"/>
  </w:font>
  <w:font w:name="TimesNewRomanPSMT">
    <w:altName w:val="Times New Roman"/>
    <w:charset w:val="00"/>
    <w:family w:val="roman"/>
    <w:pitch w:val="default"/>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1">
    <w:charset w:val="00"/>
    <w:family w:val="auto"/>
    <w:pitch w:val="variable"/>
  </w:font>
  <w:font w:name="TimesNewRomanPS-BoldMT">
    <w:altName w:val="MS Mincho"/>
    <w:panose1 w:val="00000000000000000000"/>
    <w:charset w:val="80"/>
    <w:family w:val="auto"/>
    <w:notTrueType/>
    <w:pitch w:val="default"/>
    <w:sig w:usb0="00000000" w:usb1="08070000" w:usb2="00000010" w:usb3="00000000" w:csb0="00020000" w:csb1="00000000"/>
  </w:font>
  <w:font w:name="AdvT207">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0F" w:rsidRDefault="000C510F">
    <w:pPr>
      <w:pStyle w:val="a4"/>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Σελίδα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613B48" w:rsidRPr="00613B48">
      <w:rPr>
        <w:rFonts w:asciiTheme="majorHAnsi" w:eastAsiaTheme="majorEastAsia" w:hAnsiTheme="majorHAnsi" w:cstheme="majorBidi"/>
        <w:noProof/>
      </w:rPr>
      <w:t>75</w:t>
    </w:r>
    <w:r>
      <w:rPr>
        <w:rFonts w:asciiTheme="majorHAnsi" w:eastAsiaTheme="majorEastAsia" w:hAnsiTheme="majorHAnsi" w:cstheme="majorBidi"/>
      </w:rPr>
      <w:fldChar w:fldCharType="end"/>
    </w:r>
  </w:p>
  <w:p w:rsidR="000C510F" w:rsidRPr="00394D9C" w:rsidRDefault="000C510F">
    <w:pPr>
      <w:pStyle w:val="a4"/>
    </w:pPr>
  </w:p>
  <w:p w:rsidR="000C510F" w:rsidRDefault="000C510F"/>
  <w:p w:rsidR="000C510F" w:rsidRDefault="000C51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1E3" w:rsidRDefault="00E651E3">
      <w:r>
        <w:separator/>
      </w:r>
    </w:p>
  </w:footnote>
  <w:footnote w:type="continuationSeparator" w:id="0">
    <w:p w:rsidR="00E651E3" w:rsidRDefault="00E651E3">
      <w:r>
        <w:continuationSeparator/>
      </w:r>
    </w:p>
  </w:footnote>
  <w:footnote w:id="1">
    <w:p w:rsidR="000C510F" w:rsidRPr="00067223" w:rsidRDefault="000C510F" w:rsidP="00593FDA">
      <w:pPr>
        <w:pStyle w:val="ab"/>
        <w:jc w:val="both"/>
      </w:pPr>
      <w:r w:rsidRPr="006622C2">
        <w:rPr>
          <w:rStyle w:val="ac"/>
        </w:rPr>
        <w:footnoteRef/>
      </w:r>
      <w:r w:rsidRPr="006622C2">
        <w:t xml:space="preserve"> </w:t>
      </w:r>
      <w:r w:rsidRPr="00067223">
        <w:t xml:space="preserve">Σύμφωνα με τους </w:t>
      </w:r>
      <w:proofErr w:type="spellStart"/>
      <w:r w:rsidRPr="00067223">
        <w:rPr>
          <w:lang w:val="en-US"/>
        </w:rPr>
        <w:t>Tsionas</w:t>
      </w:r>
      <w:proofErr w:type="spellEnd"/>
      <w:r w:rsidRPr="00067223">
        <w:t xml:space="preserve">, </w:t>
      </w:r>
      <w:r w:rsidRPr="00067223">
        <w:rPr>
          <w:lang w:val="en-US"/>
        </w:rPr>
        <w:t>Lolos</w:t>
      </w:r>
      <w:r w:rsidRPr="00067223">
        <w:t xml:space="preserve">, και </w:t>
      </w:r>
      <w:proofErr w:type="spellStart"/>
      <w:r w:rsidRPr="00067223">
        <w:rPr>
          <w:lang w:val="en-US"/>
        </w:rPr>
        <w:t>Christopoulos</w:t>
      </w:r>
      <w:proofErr w:type="spellEnd"/>
      <w:r w:rsidRPr="00067223">
        <w:t xml:space="preserve"> (2003), έως το 1991 τα τραπεζικά ιδρύματα είχαν την υποχρέωση να διατηρούν το 40% του χαρτοφυλακίου τους σε κρατικούς τίτλους.   </w:t>
      </w:r>
    </w:p>
  </w:footnote>
  <w:footnote w:id="2">
    <w:p w:rsidR="000C510F" w:rsidRDefault="000C510F">
      <w:pPr>
        <w:pStyle w:val="ab"/>
      </w:pPr>
      <w:r>
        <w:rPr>
          <w:rStyle w:val="ac"/>
        </w:rPr>
        <w:footnoteRef/>
      </w:r>
      <w:r>
        <w:t xml:space="preserve"> </w:t>
      </w:r>
      <w:r>
        <w:rPr>
          <w:color w:val="00000A"/>
        </w:rPr>
        <w:t xml:space="preserve">Για μια εμπεριστατωμένη ανάλυση της αγοράς αμοιβαίων κεφαλαίων δείτε </w:t>
      </w:r>
      <w:proofErr w:type="spellStart"/>
      <w:r>
        <w:rPr>
          <w:color w:val="00000A"/>
        </w:rPr>
        <w:t>Φίλιππας</w:t>
      </w:r>
      <w:proofErr w:type="spellEnd"/>
      <w:r>
        <w:rPr>
          <w:color w:val="00000A"/>
        </w:rPr>
        <w:t>, (2010).</w:t>
      </w:r>
    </w:p>
  </w:footnote>
  <w:footnote w:id="3">
    <w:p w:rsidR="000C510F" w:rsidRPr="002A671E" w:rsidRDefault="000C510F" w:rsidP="002A671E">
      <w:pPr>
        <w:rPr>
          <w:rFonts w:eastAsiaTheme="minorHAnsi"/>
          <w:b/>
          <w:sz w:val="20"/>
          <w:szCs w:val="20"/>
          <w:lang w:eastAsia="en-US"/>
        </w:rPr>
      </w:pPr>
      <w:r>
        <w:rPr>
          <w:rStyle w:val="ac"/>
        </w:rPr>
        <w:footnoteRef/>
      </w:r>
      <w:r>
        <w:t xml:space="preserve"> </w:t>
      </w:r>
      <w:r w:rsidRPr="002A671E">
        <w:rPr>
          <w:rFonts w:eastAsiaTheme="minorHAnsi"/>
          <w:sz w:val="20"/>
          <w:szCs w:val="20"/>
          <w:lang w:eastAsia="en-US"/>
        </w:rPr>
        <w:t>http://www.bankofgreece.gr/Pages/el/Supervision/SupervisedInstitutions/default.aspx</w:t>
      </w:r>
    </w:p>
  </w:footnote>
  <w:footnote w:id="4">
    <w:p w:rsidR="000C510F" w:rsidRDefault="000C510F">
      <w:pPr>
        <w:pStyle w:val="ab"/>
      </w:pPr>
      <w:r>
        <w:rPr>
          <w:rStyle w:val="ac"/>
        </w:rPr>
        <w:footnoteRef/>
      </w:r>
      <w:r>
        <w:t xml:space="preserve"> </w:t>
      </w:r>
      <w:r w:rsidRPr="00525533">
        <w:t>Ο ΕΟΧ περιλαμβάνει 27 κράτη μέλη της ΕΕ και συμπληρωματικά την Ισλανδία,</w:t>
      </w:r>
      <w:r>
        <w:t xml:space="preserve"> το Λιχτενστάιν και τη Νορβηγία.</w:t>
      </w:r>
    </w:p>
  </w:footnote>
  <w:footnote w:id="5">
    <w:p w:rsidR="000C510F" w:rsidRPr="00067223" w:rsidRDefault="000C510F" w:rsidP="00172802">
      <w:pPr>
        <w:pStyle w:val="ab"/>
        <w:jc w:val="both"/>
      </w:pPr>
      <w:r w:rsidRPr="00067223">
        <w:rPr>
          <w:rStyle w:val="ac"/>
        </w:rPr>
        <w:footnoteRef/>
      </w:r>
      <w:r w:rsidRPr="00067223">
        <w:t xml:space="preserve"> </w:t>
      </w:r>
      <w:r w:rsidRPr="00067223">
        <w:rPr>
          <w:color w:val="000000"/>
        </w:rPr>
        <w:t>Τα ‘κόκκινα’ δάνεια που δεν εξυπηρετούνται από τα νοικοκυριά και τις επιχειρήσεις και δεν έχουν προοπτική να εισπραχθούν από την τράπεζα (είτε λόγω πτώχευσης του οφειλέτη, είτε λόγω έλλειψης εγγυήσεων).</w:t>
      </w:r>
    </w:p>
  </w:footnote>
  <w:footnote w:id="6">
    <w:p w:rsidR="000C510F" w:rsidRPr="00067223" w:rsidRDefault="000C510F" w:rsidP="00172802">
      <w:pPr>
        <w:pStyle w:val="ab"/>
        <w:jc w:val="both"/>
      </w:pPr>
      <w:r w:rsidRPr="00067223">
        <w:rPr>
          <w:rStyle w:val="ac"/>
        </w:rPr>
        <w:footnoteRef/>
      </w:r>
      <w:r w:rsidRPr="00067223">
        <w:t xml:space="preserve"> Η συνεχής μείωση των καταθέσεων, κατά περίπου €40 δισ. από τις αρχές του 2010 έως και τον Φεβρουάριο του 2011, συνέβαλε στην άνοδο του δείκτη δανείων προς καταθέσεις άνω του 100% (Ελληνική Ένωση Τραπεζών, 2011).</w:t>
      </w:r>
    </w:p>
  </w:footnote>
  <w:footnote w:id="7">
    <w:p w:rsidR="000C510F" w:rsidRPr="00067223" w:rsidRDefault="000C510F" w:rsidP="00172802">
      <w:pPr>
        <w:pStyle w:val="ab"/>
        <w:jc w:val="both"/>
      </w:pPr>
      <w:r w:rsidRPr="00067223">
        <w:rPr>
          <w:rStyle w:val="ac"/>
        </w:rPr>
        <w:footnoteRef/>
      </w:r>
      <w:r w:rsidRPr="00067223">
        <w:t xml:space="preserve"> Πρόκειται για ένα πρόγραμμα ανταλλαγής των ομολόγων των πιστωτών της Ελλάδας, πλην του επίσημου τομέα (κρατών της ευρωζώνης, ΔΝΤ και ΕΚΤ) με νέα μειωμένης ονομαστικής αξίας κατά 50%, προκειμένου να αποφορτιστεί το ελληνικό χρέος.  </w:t>
      </w:r>
    </w:p>
  </w:footnote>
  <w:footnote w:id="8">
    <w:p w:rsidR="000C510F" w:rsidRPr="00067223" w:rsidRDefault="000C510F" w:rsidP="00172802">
      <w:pPr>
        <w:pStyle w:val="ab"/>
        <w:jc w:val="both"/>
      </w:pPr>
      <w:r w:rsidRPr="00067223">
        <w:rPr>
          <w:rStyle w:val="ac"/>
        </w:rPr>
        <w:footnoteRef/>
      </w:r>
      <w:r w:rsidRPr="00067223">
        <w:t xml:space="preserve"> Ιδρύθηκε τον Ιούλιο του 2010 (Ν.3864/2010) ως νομικό πρόσωπο ιδιωτικού δικαίου, δεν ανήκει στο δημόσιο τομέα και διαθέτει διοικητική και οικονομική αυτοτέλεια. Σκοπός του ταμείου είναι η διατήρηση της σταθερότητας του ελληνικού τραπεζικού συστήματος, μέσω της ενίσχυσης της κεφαλαιακής επάρκειας των πιστωτικών ιδρυμάτων (</w:t>
      </w:r>
      <w:hyperlink r:id="rId1" w:history="1">
        <w:r w:rsidRPr="00067223">
          <w:rPr>
            <w:rStyle w:val="-"/>
            <w:lang w:val="en-US"/>
          </w:rPr>
          <w:t>www</w:t>
        </w:r>
        <w:r w:rsidRPr="00067223">
          <w:rPr>
            <w:rStyle w:val="-"/>
          </w:rPr>
          <w:t>.</w:t>
        </w:r>
        <w:proofErr w:type="spellStart"/>
        <w:r w:rsidRPr="00067223">
          <w:rPr>
            <w:rStyle w:val="-"/>
            <w:lang w:val="en-US"/>
          </w:rPr>
          <w:t>hfsf</w:t>
        </w:r>
        <w:proofErr w:type="spellEnd"/>
        <w:r w:rsidRPr="00067223">
          <w:rPr>
            <w:rStyle w:val="-"/>
          </w:rPr>
          <w:t>.</w:t>
        </w:r>
        <w:r w:rsidRPr="00067223">
          <w:rPr>
            <w:rStyle w:val="-"/>
            <w:lang w:val="en-US"/>
          </w:rPr>
          <w:t>gr</w:t>
        </w:r>
      </w:hyperlink>
      <w:r w:rsidRPr="00067223">
        <w:t>).</w:t>
      </w:r>
    </w:p>
  </w:footnote>
  <w:footnote w:id="9">
    <w:p w:rsidR="000C510F" w:rsidRPr="00067223" w:rsidRDefault="000C510F" w:rsidP="00172802">
      <w:pPr>
        <w:pStyle w:val="ab"/>
        <w:jc w:val="both"/>
      </w:pPr>
      <w:r w:rsidRPr="00067223">
        <w:rPr>
          <w:rStyle w:val="ac"/>
        </w:rPr>
        <w:footnoteRef/>
      </w:r>
      <w:r w:rsidRPr="00067223">
        <w:t xml:space="preserve"> </w:t>
      </w:r>
      <w:r w:rsidRPr="00067223">
        <w:rPr>
          <w:color w:val="000000"/>
          <w:shd w:val="clear" w:color="auto" w:fill="FFFFFF"/>
        </w:rPr>
        <w:t>Είναι ένα όργανο ειδικού σκοπού που συμφωνήθηκε από τα 27 κράτη μέλη της ΕΕ στις 9 Μαΐου 2010</w:t>
      </w:r>
      <w:r w:rsidRPr="00067223">
        <w:rPr>
          <w:rStyle w:val="apple-converted-space"/>
          <w:color w:val="000000"/>
          <w:shd w:val="clear" w:color="auto" w:fill="FFFFFF"/>
        </w:rPr>
        <w:t> </w:t>
      </w:r>
      <w:r w:rsidRPr="00067223">
        <w:rPr>
          <w:color w:val="000000"/>
          <w:shd w:val="clear" w:color="auto" w:fill="FFFFFF"/>
        </w:rPr>
        <w:t>με στόχο τη διατήρηση της οικονομικής σταθερότητας στην Ευρώπη μέσω της παροχής οικονομικής βοήθειας προς τα κράτη της</w:t>
      </w:r>
      <w:r w:rsidRPr="00067223">
        <w:rPr>
          <w:rStyle w:val="apple-converted-space"/>
          <w:color w:val="000000"/>
          <w:shd w:val="clear" w:color="auto" w:fill="FFFFFF"/>
        </w:rPr>
        <w:t> ευρωζώνης </w:t>
      </w:r>
      <w:r w:rsidRPr="00067223">
        <w:rPr>
          <w:color w:val="000000"/>
          <w:shd w:val="clear" w:color="auto" w:fill="FFFFFF"/>
        </w:rPr>
        <w:t>σε οικονομική δυσκολία</w:t>
      </w:r>
      <w:r>
        <w:rPr>
          <w:color w:val="000000"/>
          <w:shd w:val="clear" w:color="auto" w:fill="FFFFFF"/>
        </w:rPr>
        <w:t>.</w:t>
      </w:r>
    </w:p>
  </w:footnote>
  <w:footnote w:id="10">
    <w:p w:rsidR="000C510F" w:rsidRPr="00067223" w:rsidRDefault="000C510F" w:rsidP="00172802">
      <w:pPr>
        <w:shd w:val="clear" w:color="auto" w:fill="FFFFFF"/>
        <w:rPr>
          <w:sz w:val="20"/>
          <w:szCs w:val="20"/>
        </w:rPr>
      </w:pPr>
      <w:r w:rsidRPr="00067223">
        <w:rPr>
          <w:rStyle w:val="ac"/>
          <w:sz w:val="20"/>
          <w:szCs w:val="20"/>
        </w:rPr>
        <w:footnoteRef/>
      </w:r>
      <w:r w:rsidRPr="00067223">
        <w:rPr>
          <w:sz w:val="20"/>
          <w:szCs w:val="20"/>
        </w:rPr>
        <w:t xml:space="preserve"> </w:t>
      </w:r>
      <w:hyperlink r:id="rId2" w:anchor="commentForm" w:history="1">
        <w:r w:rsidRPr="00067223">
          <w:rPr>
            <w:rStyle w:val="-"/>
            <w:sz w:val="20"/>
            <w:szCs w:val="20"/>
            <w:lang w:val="en-US"/>
          </w:rPr>
          <w:t>http</w:t>
        </w:r>
        <w:r w:rsidRPr="00067223">
          <w:rPr>
            <w:rStyle w:val="-"/>
            <w:sz w:val="20"/>
            <w:szCs w:val="20"/>
          </w:rPr>
          <w:t>://</w:t>
        </w:r>
        <w:r w:rsidRPr="00067223">
          <w:rPr>
            <w:rStyle w:val="-"/>
            <w:sz w:val="20"/>
            <w:szCs w:val="20"/>
            <w:lang w:val="en-US"/>
          </w:rPr>
          <w:t>www</w:t>
        </w:r>
        <w:r w:rsidRPr="00067223">
          <w:rPr>
            <w:rStyle w:val="-"/>
            <w:sz w:val="20"/>
            <w:szCs w:val="20"/>
          </w:rPr>
          <w:t>.</w:t>
        </w:r>
        <w:proofErr w:type="spellStart"/>
        <w:r w:rsidRPr="00067223">
          <w:rPr>
            <w:rStyle w:val="-"/>
            <w:sz w:val="20"/>
            <w:szCs w:val="20"/>
            <w:lang w:val="en-US"/>
          </w:rPr>
          <w:t>tovima</w:t>
        </w:r>
        <w:proofErr w:type="spellEnd"/>
        <w:r w:rsidRPr="00067223">
          <w:rPr>
            <w:rStyle w:val="-"/>
            <w:sz w:val="20"/>
            <w:szCs w:val="20"/>
          </w:rPr>
          <w:t>.</w:t>
        </w:r>
        <w:r w:rsidRPr="00067223">
          <w:rPr>
            <w:rStyle w:val="-"/>
            <w:sz w:val="20"/>
            <w:szCs w:val="20"/>
            <w:lang w:val="en-US"/>
          </w:rPr>
          <w:t>gr</w:t>
        </w:r>
        <w:r w:rsidRPr="00067223">
          <w:rPr>
            <w:rStyle w:val="-"/>
            <w:sz w:val="20"/>
            <w:szCs w:val="20"/>
          </w:rPr>
          <w:t>/</w:t>
        </w:r>
        <w:r w:rsidRPr="00067223">
          <w:rPr>
            <w:rStyle w:val="-"/>
            <w:sz w:val="20"/>
            <w:szCs w:val="20"/>
            <w:lang w:val="en-US"/>
          </w:rPr>
          <w:t>finance</w:t>
        </w:r>
        <w:r w:rsidRPr="00067223">
          <w:rPr>
            <w:rStyle w:val="-"/>
            <w:sz w:val="20"/>
            <w:szCs w:val="20"/>
          </w:rPr>
          <w:t>/</w:t>
        </w:r>
        <w:r w:rsidRPr="00067223">
          <w:rPr>
            <w:rStyle w:val="-"/>
            <w:sz w:val="20"/>
            <w:szCs w:val="20"/>
            <w:lang w:val="en-US"/>
          </w:rPr>
          <w:t>article</w:t>
        </w:r>
        <w:r w:rsidRPr="00067223">
          <w:rPr>
            <w:rStyle w:val="-"/>
            <w:sz w:val="20"/>
            <w:szCs w:val="20"/>
          </w:rPr>
          <w:t>/?</w:t>
        </w:r>
        <w:r w:rsidRPr="00067223">
          <w:rPr>
            <w:rStyle w:val="-"/>
            <w:sz w:val="20"/>
            <w:szCs w:val="20"/>
            <w:lang w:val="en-US"/>
          </w:rPr>
          <w:t>aid</w:t>
        </w:r>
        <w:r w:rsidRPr="00067223">
          <w:rPr>
            <w:rStyle w:val="-"/>
            <w:sz w:val="20"/>
            <w:szCs w:val="20"/>
          </w:rPr>
          <w:t>=472858&amp;</w:t>
        </w:r>
        <w:r w:rsidRPr="00067223">
          <w:rPr>
            <w:rStyle w:val="-"/>
            <w:sz w:val="20"/>
            <w:szCs w:val="20"/>
            <w:lang w:val="en-US"/>
          </w:rPr>
          <w:t>h</w:t>
        </w:r>
        <w:r w:rsidRPr="00067223">
          <w:rPr>
            <w:rStyle w:val="-"/>
            <w:sz w:val="20"/>
            <w:szCs w:val="20"/>
          </w:rPr>
          <w:t>1=</w:t>
        </w:r>
        <w:r w:rsidRPr="00067223">
          <w:rPr>
            <w:rStyle w:val="-"/>
            <w:sz w:val="20"/>
            <w:szCs w:val="20"/>
            <w:lang w:val="en-US"/>
          </w:rPr>
          <w:t>true</w:t>
        </w:r>
        <w:r w:rsidRPr="00067223">
          <w:rPr>
            <w:rStyle w:val="-"/>
            <w:sz w:val="20"/>
            <w:szCs w:val="20"/>
          </w:rPr>
          <w:t>#</w:t>
        </w:r>
        <w:proofErr w:type="spellStart"/>
        <w:r w:rsidRPr="00067223">
          <w:rPr>
            <w:rStyle w:val="-"/>
            <w:sz w:val="20"/>
            <w:szCs w:val="20"/>
            <w:lang w:val="en-US"/>
          </w:rPr>
          <w:t>commentForm</w:t>
        </w:r>
        <w:proofErr w:type="spellEnd"/>
      </w:hyperlink>
    </w:p>
  </w:footnote>
  <w:footnote w:id="11">
    <w:p w:rsidR="000C510F" w:rsidRPr="00067223" w:rsidRDefault="000C510F" w:rsidP="00172802">
      <w:pPr>
        <w:pStyle w:val="ab"/>
        <w:jc w:val="both"/>
      </w:pPr>
      <w:r w:rsidRPr="00067223">
        <w:rPr>
          <w:rStyle w:val="ac"/>
        </w:rPr>
        <w:footnoteRef/>
      </w:r>
      <w:r w:rsidRPr="00067223">
        <w:t xml:space="preserve"> </w:t>
      </w:r>
      <w:r w:rsidRPr="00067223">
        <w:rPr>
          <w:color w:val="383838"/>
          <w:shd w:val="clear" w:color="auto" w:fill="FFFFFF"/>
        </w:rPr>
        <w:t xml:space="preserve">Το </w:t>
      </w:r>
      <w:proofErr w:type="spellStart"/>
      <w:r w:rsidRPr="00067223">
        <w:rPr>
          <w:color w:val="383838"/>
          <w:shd w:val="clear" w:color="auto" w:fill="FFFFFF"/>
        </w:rPr>
        <w:t>Ευρωσύστημα</w:t>
      </w:r>
      <w:proofErr w:type="spellEnd"/>
      <w:r w:rsidRPr="00067223">
        <w:rPr>
          <w:color w:val="383838"/>
          <w:shd w:val="clear" w:color="auto" w:fill="FFFFFF"/>
        </w:rPr>
        <w:t xml:space="preserve"> συγκροτείται από την</w:t>
      </w:r>
      <w:r w:rsidRPr="00067223">
        <w:rPr>
          <w:rStyle w:val="apple-converted-space"/>
          <w:color w:val="383838"/>
          <w:shd w:val="clear" w:color="auto" w:fill="FFFFFF"/>
        </w:rPr>
        <w:t> ΕΚΤ </w:t>
      </w:r>
      <w:r w:rsidRPr="00067223">
        <w:rPr>
          <w:color w:val="383838"/>
          <w:shd w:val="clear" w:color="auto" w:fill="FFFFFF"/>
        </w:rPr>
        <w:t>από κοινού με τις κεντρικές τράπεζες των χωρών της Ευρωζώνης (</w:t>
      </w:r>
      <w:hyperlink r:id="rId3" w:history="1">
        <w:r w:rsidRPr="00067223">
          <w:rPr>
            <w:rStyle w:val="-"/>
            <w:shd w:val="clear" w:color="auto" w:fill="FFFFFF"/>
          </w:rPr>
          <w:t>http://ec.europa.eu</w:t>
        </w:r>
      </w:hyperlink>
      <w:r w:rsidRPr="00067223">
        <w:rPr>
          <w:color w:val="383838"/>
          <w:shd w:val="clear" w:color="auto" w:fill="FFFFFF"/>
        </w:rPr>
        <w:t>).</w:t>
      </w:r>
    </w:p>
  </w:footnote>
  <w:footnote w:id="12">
    <w:p w:rsidR="000C510F" w:rsidRPr="00067223" w:rsidRDefault="000C510F" w:rsidP="00172802">
      <w:pPr>
        <w:pStyle w:val="ab"/>
        <w:jc w:val="both"/>
      </w:pPr>
      <w:r w:rsidRPr="00067223">
        <w:rPr>
          <w:rStyle w:val="ac"/>
        </w:rPr>
        <w:footnoteRef/>
      </w:r>
      <w:r w:rsidRPr="00067223">
        <w:t xml:space="preserve"> Το </w:t>
      </w:r>
      <w:r w:rsidRPr="00067223">
        <w:rPr>
          <w:lang w:val="en-US"/>
        </w:rPr>
        <w:t>ELA</w:t>
      </w:r>
      <w:r w:rsidRPr="00067223">
        <w:t xml:space="preserve"> αποτελεί ένα εργαλείο της </w:t>
      </w:r>
      <w:proofErr w:type="spellStart"/>
      <w:r w:rsidRPr="00067223">
        <w:t>ΤτΕ</w:t>
      </w:r>
      <w:proofErr w:type="spellEnd"/>
      <w:r w:rsidRPr="00067223">
        <w:t xml:space="preserve"> με το οποίο δύναται να αποφορτίσει τυχόν εμπλοκή με τις εγγυήσεις των τραπεζών στην ΕΚΤ (</w:t>
      </w:r>
      <w:hyperlink r:id="rId4" w:history="1">
        <w:r w:rsidRPr="00067223">
          <w:rPr>
            <w:rStyle w:val="-"/>
            <w:lang w:val="en-US"/>
          </w:rPr>
          <w:t>http</w:t>
        </w:r>
        <w:r w:rsidRPr="00067223">
          <w:rPr>
            <w:rStyle w:val="-"/>
          </w:rPr>
          <w:t>://</w:t>
        </w:r>
        <w:proofErr w:type="spellStart"/>
        <w:r w:rsidRPr="00067223">
          <w:rPr>
            <w:rStyle w:val="-"/>
            <w:lang w:val="en-US"/>
          </w:rPr>
          <w:t>bankingnews</w:t>
        </w:r>
        <w:proofErr w:type="spellEnd"/>
        <w:r w:rsidRPr="00067223">
          <w:rPr>
            <w:rStyle w:val="-"/>
          </w:rPr>
          <w:t>.</w:t>
        </w:r>
        <w:r w:rsidRPr="00067223">
          <w:rPr>
            <w:rStyle w:val="-"/>
            <w:lang w:val="en-US"/>
          </w:rPr>
          <w:t>gr</w:t>
        </w:r>
      </w:hyperlink>
      <w:r w:rsidRPr="00067223">
        <w:t>).</w:t>
      </w:r>
      <w:r w:rsidRPr="00067223">
        <w:rPr>
          <w:color w:val="444444"/>
          <w:shd w:val="clear" w:color="auto" w:fill="FFF1E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35"/>
        </w:tabs>
      </w:pPr>
    </w:lvl>
  </w:abstractNum>
  <w:abstractNum w:abstractNumId="1">
    <w:nsid w:val="00000003"/>
    <w:multiLevelType w:val="singleLevel"/>
    <w:tmpl w:val="00000003"/>
    <w:name w:val="WW8Num3"/>
    <w:lvl w:ilvl="0">
      <w:start w:val="1"/>
      <w:numFmt w:val="decimal"/>
      <w:lvlText w:val="(%1)"/>
      <w:lvlJc w:val="left"/>
      <w:pPr>
        <w:tabs>
          <w:tab w:val="num" w:pos="720"/>
        </w:tabs>
      </w:pPr>
    </w:lvl>
  </w:abstractNum>
  <w:abstractNum w:abstractNumId="2">
    <w:nsid w:val="00000005"/>
    <w:multiLevelType w:val="singleLevel"/>
    <w:tmpl w:val="00000005"/>
    <w:name w:val="WW8Num5"/>
    <w:lvl w:ilvl="0">
      <w:start w:val="1"/>
      <w:numFmt w:val="decimal"/>
      <w:lvlText w:val="(%1)"/>
      <w:lvlJc w:val="left"/>
      <w:pPr>
        <w:tabs>
          <w:tab w:val="num" w:pos="750"/>
        </w:tabs>
      </w:pPr>
    </w:lvl>
  </w:abstractNum>
  <w:abstractNum w:abstractNumId="3">
    <w:nsid w:val="01BF2B0C"/>
    <w:multiLevelType w:val="hybridMultilevel"/>
    <w:tmpl w:val="4E8CA4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0F06FD1"/>
    <w:multiLevelType w:val="hybridMultilevel"/>
    <w:tmpl w:val="F072037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6980339"/>
    <w:multiLevelType w:val="hybridMultilevel"/>
    <w:tmpl w:val="96F23124"/>
    <w:lvl w:ilvl="0" w:tplc="04080005">
      <w:start w:val="1"/>
      <w:numFmt w:val="bullet"/>
      <w:lvlText w:val=""/>
      <w:lvlJc w:val="left"/>
      <w:pPr>
        <w:ind w:left="1142" w:hanging="360"/>
      </w:pPr>
      <w:rPr>
        <w:rFonts w:ascii="Wingdings" w:hAnsi="Wingdings" w:hint="default"/>
      </w:rPr>
    </w:lvl>
    <w:lvl w:ilvl="1" w:tplc="04080003" w:tentative="1">
      <w:start w:val="1"/>
      <w:numFmt w:val="bullet"/>
      <w:lvlText w:val="o"/>
      <w:lvlJc w:val="left"/>
      <w:pPr>
        <w:ind w:left="1862" w:hanging="360"/>
      </w:pPr>
      <w:rPr>
        <w:rFonts w:ascii="Courier New" w:hAnsi="Courier New" w:cs="Courier New" w:hint="default"/>
      </w:rPr>
    </w:lvl>
    <w:lvl w:ilvl="2" w:tplc="04080005" w:tentative="1">
      <w:start w:val="1"/>
      <w:numFmt w:val="bullet"/>
      <w:lvlText w:val=""/>
      <w:lvlJc w:val="left"/>
      <w:pPr>
        <w:ind w:left="2582" w:hanging="360"/>
      </w:pPr>
      <w:rPr>
        <w:rFonts w:ascii="Wingdings" w:hAnsi="Wingdings" w:hint="default"/>
      </w:rPr>
    </w:lvl>
    <w:lvl w:ilvl="3" w:tplc="04080001" w:tentative="1">
      <w:start w:val="1"/>
      <w:numFmt w:val="bullet"/>
      <w:lvlText w:val=""/>
      <w:lvlJc w:val="left"/>
      <w:pPr>
        <w:ind w:left="3302" w:hanging="360"/>
      </w:pPr>
      <w:rPr>
        <w:rFonts w:ascii="Symbol" w:hAnsi="Symbol" w:hint="default"/>
      </w:rPr>
    </w:lvl>
    <w:lvl w:ilvl="4" w:tplc="04080003" w:tentative="1">
      <w:start w:val="1"/>
      <w:numFmt w:val="bullet"/>
      <w:lvlText w:val="o"/>
      <w:lvlJc w:val="left"/>
      <w:pPr>
        <w:ind w:left="4022" w:hanging="360"/>
      </w:pPr>
      <w:rPr>
        <w:rFonts w:ascii="Courier New" w:hAnsi="Courier New" w:cs="Courier New" w:hint="default"/>
      </w:rPr>
    </w:lvl>
    <w:lvl w:ilvl="5" w:tplc="04080005" w:tentative="1">
      <w:start w:val="1"/>
      <w:numFmt w:val="bullet"/>
      <w:lvlText w:val=""/>
      <w:lvlJc w:val="left"/>
      <w:pPr>
        <w:ind w:left="4742" w:hanging="360"/>
      </w:pPr>
      <w:rPr>
        <w:rFonts w:ascii="Wingdings" w:hAnsi="Wingdings" w:hint="default"/>
      </w:rPr>
    </w:lvl>
    <w:lvl w:ilvl="6" w:tplc="04080001" w:tentative="1">
      <w:start w:val="1"/>
      <w:numFmt w:val="bullet"/>
      <w:lvlText w:val=""/>
      <w:lvlJc w:val="left"/>
      <w:pPr>
        <w:ind w:left="5462" w:hanging="360"/>
      </w:pPr>
      <w:rPr>
        <w:rFonts w:ascii="Symbol" w:hAnsi="Symbol" w:hint="default"/>
      </w:rPr>
    </w:lvl>
    <w:lvl w:ilvl="7" w:tplc="04080003" w:tentative="1">
      <w:start w:val="1"/>
      <w:numFmt w:val="bullet"/>
      <w:lvlText w:val="o"/>
      <w:lvlJc w:val="left"/>
      <w:pPr>
        <w:ind w:left="6182" w:hanging="360"/>
      </w:pPr>
      <w:rPr>
        <w:rFonts w:ascii="Courier New" w:hAnsi="Courier New" w:cs="Courier New" w:hint="default"/>
      </w:rPr>
    </w:lvl>
    <w:lvl w:ilvl="8" w:tplc="04080005" w:tentative="1">
      <w:start w:val="1"/>
      <w:numFmt w:val="bullet"/>
      <w:lvlText w:val=""/>
      <w:lvlJc w:val="left"/>
      <w:pPr>
        <w:ind w:left="6902" w:hanging="360"/>
      </w:pPr>
      <w:rPr>
        <w:rFonts w:ascii="Wingdings" w:hAnsi="Wingdings" w:hint="default"/>
      </w:rPr>
    </w:lvl>
  </w:abstractNum>
  <w:abstractNum w:abstractNumId="6">
    <w:nsid w:val="178E50C8"/>
    <w:multiLevelType w:val="hybridMultilevel"/>
    <w:tmpl w:val="8CEC9BA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73971CE"/>
    <w:multiLevelType w:val="hybridMultilevel"/>
    <w:tmpl w:val="408466D8"/>
    <w:lvl w:ilvl="0" w:tplc="04080005">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33BD1F71"/>
    <w:multiLevelType w:val="hybridMultilevel"/>
    <w:tmpl w:val="BB6A8A4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0D91863"/>
    <w:multiLevelType w:val="multilevel"/>
    <w:tmpl w:val="A1B2936E"/>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43154D13"/>
    <w:multiLevelType w:val="hybridMultilevel"/>
    <w:tmpl w:val="4AEA71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3512D13"/>
    <w:multiLevelType w:val="hybridMultilevel"/>
    <w:tmpl w:val="DCFAE4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nsid w:val="4CA222DA"/>
    <w:multiLevelType w:val="hybridMultilevel"/>
    <w:tmpl w:val="BB5AECA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E71616C"/>
    <w:multiLevelType w:val="hybridMultilevel"/>
    <w:tmpl w:val="7F3829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5EE25791"/>
    <w:multiLevelType w:val="hybridMultilevel"/>
    <w:tmpl w:val="2D5215F6"/>
    <w:lvl w:ilvl="0" w:tplc="04080001">
      <w:start w:val="1"/>
      <w:numFmt w:val="bullet"/>
      <w:lvlText w:val=""/>
      <w:lvlJc w:val="left"/>
      <w:pPr>
        <w:ind w:left="856" w:hanging="360"/>
      </w:pPr>
      <w:rPr>
        <w:rFonts w:ascii="Symbol" w:hAnsi="Symbol" w:hint="default"/>
      </w:rPr>
    </w:lvl>
    <w:lvl w:ilvl="1" w:tplc="04080003" w:tentative="1">
      <w:start w:val="1"/>
      <w:numFmt w:val="bullet"/>
      <w:lvlText w:val="o"/>
      <w:lvlJc w:val="left"/>
      <w:pPr>
        <w:ind w:left="1576" w:hanging="360"/>
      </w:pPr>
      <w:rPr>
        <w:rFonts w:ascii="Courier New" w:hAnsi="Courier New" w:cs="Courier New" w:hint="default"/>
      </w:rPr>
    </w:lvl>
    <w:lvl w:ilvl="2" w:tplc="04080005" w:tentative="1">
      <w:start w:val="1"/>
      <w:numFmt w:val="bullet"/>
      <w:lvlText w:val=""/>
      <w:lvlJc w:val="left"/>
      <w:pPr>
        <w:ind w:left="2296" w:hanging="360"/>
      </w:pPr>
      <w:rPr>
        <w:rFonts w:ascii="Wingdings" w:hAnsi="Wingdings" w:hint="default"/>
      </w:rPr>
    </w:lvl>
    <w:lvl w:ilvl="3" w:tplc="04080001" w:tentative="1">
      <w:start w:val="1"/>
      <w:numFmt w:val="bullet"/>
      <w:lvlText w:val=""/>
      <w:lvlJc w:val="left"/>
      <w:pPr>
        <w:ind w:left="3016" w:hanging="360"/>
      </w:pPr>
      <w:rPr>
        <w:rFonts w:ascii="Symbol" w:hAnsi="Symbol" w:hint="default"/>
      </w:rPr>
    </w:lvl>
    <w:lvl w:ilvl="4" w:tplc="04080003" w:tentative="1">
      <w:start w:val="1"/>
      <w:numFmt w:val="bullet"/>
      <w:lvlText w:val="o"/>
      <w:lvlJc w:val="left"/>
      <w:pPr>
        <w:ind w:left="3736" w:hanging="360"/>
      </w:pPr>
      <w:rPr>
        <w:rFonts w:ascii="Courier New" w:hAnsi="Courier New" w:cs="Courier New" w:hint="default"/>
      </w:rPr>
    </w:lvl>
    <w:lvl w:ilvl="5" w:tplc="04080005" w:tentative="1">
      <w:start w:val="1"/>
      <w:numFmt w:val="bullet"/>
      <w:lvlText w:val=""/>
      <w:lvlJc w:val="left"/>
      <w:pPr>
        <w:ind w:left="4456" w:hanging="360"/>
      </w:pPr>
      <w:rPr>
        <w:rFonts w:ascii="Wingdings" w:hAnsi="Wingdings" w:hint="default"/>
      </w:rPr>
    </w:lvl>
    <w:lvl w:ilvl="6" w:tplc="04080001" w:tentative="1">
      <w:start w:val="1"/>
      <w:numFmt w:val="bullet"/>
      <w:lvlText w:val=""/>
      <w:lvlJc w:val="left"/>
      <w:pPr>
        <w:ind w:left="5176" w:hanging="360"/>
      </w:pPr>
      <w:rPr>
        <w:rFonts w:ascii="Symbol" w:hAnsi="Symbol" w:hint="default"/>
      </w:rPr>
    </w:lvl>
    <w:lvl w:ilvl="7" w:tplc="04080003" w:tentative="1">
      <w:start w:val="1"/>
      <w:numFmt w:val="bullet"/>
      <w:lvlText w:val="o"/>
      <w:lvlJc w:val="left"/>
      <w:pPr>
        <w:ind w:left="5896" w:hanging="360"/>
      </w:pPr>
      <w:rPr>
        <w:rFonts w:ascii="Courier New" w:hAnsi="Courier New" w:cs="Courier New" w:hint="default"/>
      </w:rPr>
    </w:lvl>
    <w:lvl w:ilvl="8" w:tplc="04080005" w:tentative="1">
      <w:start w:val="1"/>
      <w:numFmt w:val="bullet"/>
      <w:lvlText w:val=""/>
      <w:lvlJc w:val="left"/>
      <w:pPr>
        <w:ind w:left="6616" w:hanging="360"/>
      </w:pPr>
      <w:rPr>
        <w:rFonts w:ascii="Wingdings" w:hAnsi="Wingdings" w:hint="default"/>
      </w:rPr>
    </w:lvl>
  </w:abstractNum>
  <w:abstractNum w:abstractNumId="15">
    <w:nsid w:val="69693534"/>
    <w:multiLevelType w:val="hybridMultilevel"/>
    <w:tmpl w:val="A4BE9824"/>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nsid w:val="77210763"/>
    <w:multiLevelType w:val="hybridMultilevel"/>
    <w:tmpl w:val="384051A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15"/>
  </w:num>
  <w:num w:numId="5">
    <w:abstractNumId w:val="7"/>
  </w:num>
  <w:num w:numId="6">
    <w:abstractNumId w:val="8"/>
  </w:num>
  <w:num w:numId="7">
    <w:abstractNumId w:val="16"/>
  </w:num>
  <w:num w:numId="8">
    <w:abstractNumId w:val="6"/>
  </w:num>
  <w:num w:numId="9">
    <w:abstractNumId w:val="4"/>
  </w:num>
  <w:num w:numId="10">
    <w:abstractNumId w:val="14"/>
  </w:num>
  <w:num w:numId="11">
    <w:abstractNumId w:val="13"/>
  </w:num>
  <w:num w:numId="12">
    <w:abstractNumId w:val="10"/>
  </w:num>
  <w:num w:numId="13">
    <w:abstractNumId w:val="11"/>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73F"/>
    <w:rsid w:val="0000044C"/>
    <w:rsid w:val="00000FC8"/>
    <w:rsid w:val="000010D8"/>
    <w:rsid w:val="000044E7"/>
    <w:rsid w:val="000068DD"/>
    <w:rsid w:val="0000705C"/>
    <w:rsid w:val="00007D2D"/>
    <w:rsid w:val="000119DF"/>
    <w:rsid w:val="00013175"/>
    <w:rsid w:val="000151C8"/>
    <w:rsid w:val="00015701"/>
    <w:rsid w:val="00016CFA"/>
    <w:rsid w:val="000176D4"/>
    <w:rsid w:val="00017A48"/>
    <w:rsid w:val="00020023"/>
    <w:rsid w:val="000204AB"/>
    <w:rsid w:val="00022B4A"/>
    <w:rsid w:val="00022D00"/>
    <w:rsid w:val="00031F38"/>
    <w:rsid w:val="000320D5"/>
    <w:rsid w:val="00032837"/>
    <w:rsid w:val="00034FAD"/>
    <w:rsid w:val="00035C56"/>
    <w:rsid w:val="00036B60"/>
    <w:rsid w:val="00037046"/>
    <w:rsid w:val="00037D39"/>
    <w:rsid w:val="00040C39"/>
    <w:rsid w:val="000414F6"/>
    <w:rsid w:val="00042B8B"/>
    <w:rsid w:val="00044E48"/>
    <w:rsid w:val="00044E6A"/>
    <w:rsid w:val="00047D68"/>
    <w:rsid w:val="0005019E"/>
    <w:rsid w:val="0005216C"/>
    <w:rsid w:val="00052D35"/>
    <w:rsid w:val="00054D50"/>
    <w:rsid w:val="00065BB8"/>
    <w:rsid w:val="00070827"/>
    <w:rsid w:val="00071A29"/>
    <w:rsid w:val="00074D13"/>
    <w:rsid w:val="00080E16"/>
    <w:rsid w:val="00081BF4"/>
    <w:rsid w:val="00081C58"/>
    <w:rsid w:val="00082198"/>
    <w:rsid w:val="00084082"/>
    <w:rsid w:val="00085889"/>
    <w:rsid w:val="00090C01"/>
    <w:rsid w:val="00090C6B"/>
    <w:rsid w:val="0009184C"/>
    <w:rsid w:val="0009386C"/>
    <w:rsid w:val="00094967"/>
    <w:rsid w:val="0009730F"/>
    <w:rsid w:val="000A050B"/>
    <w:rsid w:val="000A076C"/>
    <w:rsid w:val="000A09DE"/>
    <w:rsid w:val="000A0E74"/>
    <w:rsid w:val="000A75EB"/>
    <w:rsid w:val="000A7A4F"/>
    <w:rsid w:val="000B15E3"/>
    <w:rsid w:val="000B246B"/>
    <w:rsid w:val="000B2E08"/>
    <w:rsid w:val="000B2FBF"/>
    <w:rsid w:val="000B3097"/>
    <w:rsid w:val="000B30C2"/>
    <w:rsid w:val="000B5ADB"/>
    <w:rsid w:val="000C2027"/>
    <w:rsid w:val="000C4288"/>
    <w:rsid w:val="000C510F"/>
    <w:rsid w:val="000C637D"/>
    <w:rsid w:val="000D2250"/>
    <w:rsid w:val="000D2B7A"/>
    <w:rsid w:val="000D59EA"/>
    <w:rsid w:val="000D79D8"/>
    <w:rsid w:val="000D7C31"/>
    <w:rsid w:val="000E19B8"/>
    <w:rsid w:val="000E1DD4"/>
    <w:rsid w:val="000E264D"/>
    <w:rsid w:val="000E2BB6"/>
    <w:rsid w:val="000E4D0E"/>
    <w:rsid w:val="000E5541"/>
    <w:rsid w:val="000E7EE0"/>
    <w:rsid w:val="000F1361"/>
    <w:rsid w:val="000F4A37"/>
    <w:rsid w:val="000F59CE"/>
    <w:rsid w:val="000F5BD9"/>
    <w:rsid w:val="000F6FE6"/>
    <w:rsid w:val="00103DDE"/>
    <w:rsid w:val="00104FFC"/>
    <w:rsid w:val="001055DE"/>
    <w:rsid w:val="0010615B"/>
    <w:rsid w:val="00106E30"/>
    <w:rsid w:val="00110C43"/>
    <w:rsid w:val="00111AF0"/>
    <w:rsid w:val="00114F71"/>
    <w:rsid w:val="001163F2"/>
    <w:rsid w:val="00117FAD"/>
    <w:rsid w:val="00120698"/>
    <w:rsid w:val="00120D41"/>
    <w:rsid w:val="00121BC7"/>
    <w:rsid w:val="00122054"/>
    <w:rsid w:val="001267A3"/>
    <w:rsid w:val="00126B8E"/>
    <w:rsid w:val="00131999"/>
    <w:rsid w:val="00132050"/>
    <w:rsid w:val="00132EC0"/>
    <w:rsid w:val="001349D0"/>
    <w:rsid w:val="00134D65"/>
    <w:rsid w:val="0013562F"/>
    <w:rsid w:val="00137346"/>
    <w:rsid w:val="00137875"/>
    <w:rsid w:val="00142261"/>
    <w:rsid w:val="00142F45"/>
    <w:rsid w:val="0014313C"/>
    <w:rsid w:val="00144546"/>
    <w:rsid w:val="00146554"/>
    <w:rsid w:val="00152BF8"/>
    <w:rsid w:val="00153438"/>
    <w:rsid w:val="00154214"/>
    <w:rsid w:val="00154433"/>
    <w:rsid w:val="00154D17"/>
    <w:rsid w:val="001565A1"/>
    <w:rsid w:val="00163CE0"/>
    <w:rsid w:val="001672EE"/>
    <w:rsid w:val="001678F3"/>
    <w:rsid w:val="00172802"/>
    <w:rsid w:val="00173215"/>
    <w:rsid w:val="001767E5"/>
    <w:rsid w:val="001800FD"/>
    <w:rsid w:val="00181328"/>
    <w:rsid w:val="00181D3E"/>
    <w:rsid w:val="0018589B"/>
    <w:rsid w:val="0018594E"/>
    <w:rsid w:val="00185FDA"/>
    <w:rsid w:val="001876C1"/>
    <w:rsid w:val="00191B14"/>
    <w:rsid w:val="00194C78"/>
    <w:rsid w:val="001959FC"/>
    <w:rsid w:val="00196917"/>
    <w:rsid w:val="00197BFD"/>
    <w:rsid w:val="001A0311"/>
    <w:rsid w:val="001A14CE"/>
    <w:rsid w:val="001A1589"/>
    <w:rsid w:val="001A3164"/>
    <w:rsid w:val="001A593A"/>
    <w:rsid w:val="001B0FF5"/>
    <w:rsid w:val="001B2314"/>
    <w:rsid w:val="001B3B06"/>
    <w:rsid w:val="001B62A3"/>
    <w:rsid w:val="001B6B15"/>
    <w:rsid w:val="001C0F96"/>
    <w:rsid w:val="001C0FE6"/>
    <w:rsid w:val="001C284E"/>
    <w:rsid w:val="001C4519"/>
    <w:rsid w:val="001C7397"/>
    <w:rsid w:val="001C7F85"/>
    <w:rsid w:val="001D01F9"/>
    <w:rsid w:val="001D5700"/>
    <w:rsid w:val="001D69BD"/>
    <w:rsid w:val="001E1CA7"/>
    <w:rsid w:val="001E2C46"/>
    <w:rsid w:val="001E7AFE"/>
    <w:rsid w:val="001F0CA9"/>
    <w:rsid w:val="001F4145"/>
    <w:rsid w:val="001F5BBF"/>
    <w:rsid w:val="0020372F"/>
    <w:rsid w:val="0020610B"/>
    <w:rsid w:val="00206FF7"/>
    <w:rsid w:val="00210ABB"/>
    <w:rsid w:val="0021531E"/>
    <w:rsid w:val="0022065A"/>
    <w:rsid w:val="00221FC0"/>
    <w:rsid w:val="00224F48"/>
    <w:rsid w:val="0022618C"/>
    <w:rsid w:val="00227300"/>
    <w:rsid w:val="002274D7"/>
    <w:rsid w:val="00230531"/>
    <w:rsid w:val="002305C9"/>
    <w:rsid w:val="0023258F"/>
    <w:rsid w:val="00232DDC"/>
    <w:rsid w:val="002340F3"/>
    <w:rsid w:val="00234881"/>
    <w:rsid w:val="0023719B"/>
    <w:rsid w:val="00241856"/>
    <w:rsid w:val="00242F7C"/>
    <w:rsid w:val="00242FFD"/>
    <w:rsid w:val="002433D8"/>
    <w:rsid w:val="00243B2C"/>
    <w:rsid w:val="00246BC9"/>
    <w:rsid w:val="00250FB1"/>
    <w:rsid w:val="002520FD"/>
    <w:rsid w:val="00252B10"/>
    <w:rsid w:val="00252D5E"/>
    <w:rsid w:val="00254DE0"/>
    <w:rsid w:val="00255518"/>
    <w:rsid w:val="0025680A"/>
    <w:rsid w:val="0025731B"/>
    <w:rsid w:val="00260CAB"/>
    <w:rsid w:val="00260D59"/>
    <w:rsid w:val="00263894"/>
    <w:rsid w:val="0026433A"/>
    <w:rsid w:val="002650E9"/>
    <w:rsid w:val="00267B3D"/>
    <w:rsid w:val="002727F7"/>
    <w:rsid w:val="0027341A"/>
    <w:rsid w:val="00273D95"/>
    <w:rsid w:val="00274528"/>
    <w:rsid w:val="00276FEC"/>
    <w:rsid w:val="00277C12"/>
    <w:rsid w:val="00282184"/>
    <w:rsid w:val="00284674"/>
    <w:rsid w:val="002864D1"/>
    <w:rsid w:val="00291372"/>
    <w:rsid w:val="00292B1F"/>
    <w:rsid w:val="00292B6E"/>
    <w:rsid w:val="00294428"/>
    <w:rsid w:val="002949C9"/>
    <w:rsid w:val="00294F02"/>
    <w:rsid w:val="00296DCE"/>
    <w:rsid w:val="002A0F38"/>
    <w:rsid w:val="002A168F"/>
    <w:rsid w:val="002A2199"/>
    <w:rsid w:val="002A2AEF"/>
    <w:rsid w:val="002A2D12"/>
    <w:rsid w:val="002A3E98"/>
    <w:rsid w:val="002A44DB"/>
    <w:rsid w:val="002A518C"/>
    <w:rsid w:val="002A671E"/>
    <w:rsid w:val="002B0106"/>
    <w:rsid w:val="002B1B46"/>
    <w:rsid w:val="002B1F5D"/>
    <w:rsid w:val="002B44C8"/>
    <w:rsid w:val="002B4539"/>
    <w:rsid w:val="002B4E00"/>
    <w:rsid w:val="002B66F0"/>
    <w:rsid w:val="002B745A"/>
    <w:rsid w:val="002C2629"/>
    <w:rsid w:val="002C38AA"/>
    <w:rsid w:val="002C59A1"/>
    <w:rsid w:val="002D0752"/>
    <w:rsid w:val="002D5459"/>
    <w:rsid w:val="002D5C1A"/>
    <w:rsid w:val="002D6769"/>
    <w:rsid w:val="002E0E7B"/>
    <w:rsid w:val="002E12D2"/>
    <w:rsid w:val="002E1643"/>
    <w:rsid w:val="002E1B95"/>
    <w:rsid w:val="002E2775"/>
    <w:rsid w:val="002E4513"/>
    <w:rsid w:val="002F0D1B"/>
    <w:rsid w:val="002F18C3"/>
    <w:rsid w:val="002F695B"/>
    <w:rsid w:val="00300D52"/>
    <w:rsid w:val="003018E3"/>
    <w:rsid w:val="003033F2"/>
    <w:rsid w:val="0030455D"/>
    <w:rsid w:val="00307524"/>
    <w:rsid w:val="00310D31"/>
    <w:rsid w:val="003145D1"/>
    <w:rsid w:val="003150CE"/>
    <w:rsid w:val="0031604F"/>
    <w:rsid w:val="00316783"/>
    <w:rsid w:val="00317233"/>
    <w:rsid w:val="00320D74"/>
    <w:rsid w:val="003214B8"/>
    <w:rsid w:val="003232F4"/>
    <w:rsid w:val="003265CF"/>
    <w:rsid w:val="00326778"/>
    <w:rsid w:val="0033118C"/>
    <w:rsid w:val="00331190"/>
    <w:rsid w:val="003357FC"/>
    <w:rsid w:val="003377E5"/>
    <w:rsid w:val="00337C2F"/>
    <w:rsid w:val="003413E8"/>
    <w:rsid w:val="00342FD7"/>
    <w:rsid w:val="00346669"/>
    <w:rsid w:val="00350248"/>
    <w:rsid w:val="00354760"/>
    <w:rsid w:val="00354C66"/>
    <w:rsid w:val="00356638"/>
    <w:rsid w:val="00356C09"/>
    <w:rsid w:val="003572BE"/>
    <w:rsid w:val="00360119"/>
    <w:rsid w:val="00361785"/>
    <w:rsid w:val="003629A7"/>
    <w:rsid w:val="003631D5"/>
    <w:rsid w:val="0036385C"/>
    <w:rsid w:val="00364CA7"/>
    <w:rsid w:val="003664BA"/>
    <w:rsid w:val="00366F87"/>
    <w:rsid w:val="00367386"/>
    <w:rsid w:val="0037207E"/>
    <w:rsid w:val="003742F0"/>
    <w:rsid w:val="00374778"/>
    <w:rsid w:val="00376577"/>
    <w:rsid w:val="00377ECB"/>
    <w:rsid w:val="0038262B"/>
    <w:rsid w:val="003829C3"/>
    <w:rsid w:val="00386BFE"/>
    <w:rsid w:val="00386E2E"/>
    <w:rsid w:val="003875E3"/>
    <w:rsid w:val="00390868"/>
    <w:rsid w:val="00393FBE"/>
    <w:rsid w:val="00394B04"/>
    <w:rsid w:val="003971F4"/>
    <w:rsid w:val="00397746"/>
    <w:rsid w:val="0039778C"/>
    <w:rsid w:val="003A2490"/>
    <w:rsid w:val="003A3838"/>
    <w:rsid w:val="003A466A"/>
    <w:rsid w:val="003A5BAE"/>
    <w:rsid w:val="003B0962"/>
    <w:rsid w:val="003B0BEF"/>
    <w:rsid w:val="003B1CAE"/>
    <w:rsid w:val="003B35E9"/>
    <w:rsid w:val="003C1734"/>
    <w:rsid w:val="003C278A"/>
    <w:rsid w:val="003C327E"/>
    <w:rsid w:val="003C3E8F"/>
    <w:rsid w:val="003C40B1"/>
    <w:rsid w:val="003C5697"/>
    <w:rsid w:val="003C5B9D"/>
    <w:rsid w:val="003C5BEB"/>
    <w:rsid w:val="003D005C"/>
    <w:rsid w:val="003D0F57"/>
    <w:rsid w:val="003D1587"/>
    <w:rsid w:val="003D16D5"/>
    <w:rsid w:val="003D1DE0"/>
    <w:rsid w:val="003D2BE4"/>
    <w:rsid w:val="003D5601"/>
    <w:rsid w:val="003D5BD2"/>
    <w:rsid w:val="003D6963"/>
    <w:rsid w:val="003D7D78"/>
    <w:rsid w:val="003E1E96"/>
    <w:rsid w:val="003E21A5"/>
    <w:rsid w:val="003E4BCB"/>
    <w:rsid w:val="003E4EE5"/>
    <w:rsid w:val="003F037E"/>
    <w:rsid w:val="003F2B8B"/>
    <w:rsid w:val="003F2CB6"/>
    <w:rsid w:val="003F39C6"/>
    <w:rsid w:val="003F591D"/>
    <w:rsid w:val="003F5A4B"/>
    <w:rsid w:val="004024C2"/>
    <w:rsid w:val="00402C02"/>
    <w:rsid w:val="00403398"/>
    <w:rsid w:val="00404F76"/>
    <w:rsid w:val="00405F47"/>
    <w:rsid w:val="0040797E"/>
    <w:rsid w:val="00416F9C"/>
    <w:rsid w:val="004178C9"/>
    <w:rsid w:val="00420E6E"/>
    <w:rsid w:val="00424569"/>
    <w:rsid w:val="004266F7"/>
    <w:rsid w:val="00426A2D"/>
    <w:rsid w:val="0042790D"/>
    <w:rsid w:val="00434A29"/>
    <w:rsid w:val="00435493"/>
    <w:rsid w:val="00437A2A"/>
    <w:rsid w:val="004403D1"/>
    <w:rsid w:val="00441B65"/>
    <w:rsid w:val="004424F8"/>
    <w:rsid w:val="00442A01"/>
    <w:rsid w:val="00444BC7"/>
    <w:rsid w:val="004457D2"/>
    <w:rsid w:val="004463AA"/>
    <w:rsid w:val="00446FAB"/>
    <w:rsid w:val="00446FB3"/>
    <w:rsid w:val="00447374"/>
    <w:rsid w:val="004500B0"/>
    <w:rsid w:val="004515D6"/>
    <w:rsid w:val="004516CF"/>
    <w:rsid w:val="004526E6"/>
    <w:rsid w:val="0045609A"/>
    <w:rsid w:val="004568EE"/>
    <w:rsid w:val="00460D2E"/>
    <w:rsid w:val="00460FE5"/>
    <w:rsid w:val="00462014"/>
    <w:rsid w:val="00462A0A"/>
    <w:rsid w:val="00466C22"/>
    <w:rsid w:val="004703D1"/>
    <w:rsid w:val="00472479"/>
    <w:rsid w:val="00476F05"/>
    <w:rsid w:val="00477461"/>
    <w:rsid w:val="00477EB1"/>
    <w:rsid w:val="00481852"/>
    <w:rsid w:val="00481E3E"/>
    <w:rsid w:val="00482B4C"/>
    <w:rsid w:val="004833ED"/>
    <w:rsid w:val="00484690"/>
    <w:rsid w:val="00485028"/>
    <w:rsid w:val="0048738A"/>
    <w:rsid w:val="00490FDB"/>
    <w:rsid w:val="004914F0"/>
    <w:rsid w:val="00496EA6"/>
    <w:rsid w:val="00497573"/>
    <w:rsid w:val="004977A3"/>
    <w:rsid w:val="004A2824"/>
    <w:rsid w:val="004A6779"/>
    <w:rsid w:val="004A6A2A"/>
    <w:rsid w:val="004A7851"/>
    <w:rsid w:val="004B2CF3"/>
    <w:rsid w:val="004B4793"/>
    <w:rsid w:val="004B5AEE"/>
    <w:rsid w:val="004B7861"/>
    <w:rsid w:val="004B7BB6"/>
    <w:rsid w:val="004C1887"/>
    <w:rsid w:val="004C2E0D"/>
    <w:rsid w:val="004C5C14"/>
    <w:rsid w:val="004C66A0"/>
    <w:rsid w:val="004C7370"/>
    <w:rsid w:val="004D02B0"/>
    <w:rsid w:val="004D05E4"/>
    <w:rsid w:val="004D204C"/>
    <w:rsid w:val="004D37F6"/>
    <w:rsid w:val="004D4901"/>
    <w:rsid w:val="004D4910"/>
    <w:rsid w:val="004D507F"/>
    <w:rsid w:val="004D6887"/>
    <w:rsid w:val="004D697E"/>
    <w:rsid w:val="004E08F0"/>
    <w:rsid w:val="004E0B69"/>
    <w:rsid w:val="004E14E1"/>
    <w:rsid w:val="004E35F5"/>
    <w:rsid w:val="004E4E83"/>
    <w:rsid w:val="004E519F"/>
    <w:rsid w:val="004E52E5"/>
    <w:rsid w:val="004E5DA9"/>
    <w:rsid w:val="004E6989"/>
    <w:rsid w:val="004E7600"/>
    <w:rsid w:val="004F00DD"/>
    <w:rsid w:val="004F12E8"/>
    <w:rsid w:val="004F2675"/>
    <w:rsid w:val="004F2806"/>
    <w:rsid w:val="004F4169"/>
    <w:rsid w:val="004F41E1"/>
    <w:rsid w:val="004F4D7B"/>
    <w:rsid w:val="004F5822"/>
    <w:rsid w:val="004F70BC"/>
    <w:rsid w:val="004F739C"/>
    <w:rsid w:val="00500100"/>
    <w:rsid w:val="005005B3"/>
    <w:rsid w:val="005024D0"/>
    <w:rsid w:val="00502BE7"/>
    <w:rsid w:val="0050346D"/>
    <w:rsid w:val="00505093"/>
    <w:rsid w:val="005075B2"/>
    <w:rsid w:val="00512724"/>
    <w:rsid w:val="005144A3"/>
    <w:rsid w:val="00514854"/>
    <w:rsid w:val="00516D2A"/>
    <w:rsid w:val="00521EF7"/>
    <w:rsid w:val="00523151"/>
    <w:rsid w:val="00525533"/>
    <w:rsid w:val="005279B4"/>
    <w:rsid w:val="00527BAA"/>
    <w:rsid w:val="00532E93"/>
    <w:rsid w:val="0053486E"/>
    <w:rsid w:val="0053507D"/>
    <w:rsid w:val="00535CC8"/>
    <w:rsid w:val="00536522"/>
    <w:rsid w:val="0054083D"/>
    <w:rsid w:val="00542A94"/>
    <w:rsid w:val="00543960"/>
    <w:rsid w:val="00545A0A"/>
    <w:rsid w:val="00550635"/>
    <w:rsid w:val="00554982"/>
    <w:rsid w:val="00555623"/>
    <w:rsid w:val="005602CF"/>
    <w:rsid w:val="005607C1"/>
    <w:rsid w:val="00561558"/>
    <w:rsid w:val="00561CB4"/>
    <w:rsid w:val="00561FEF"/>
    <w:rsid w:val="00562554"/>
    <w:rsid w:val="00563216"/>
    <w:rsid w:val="005636AA"/>
    <w:rsid w:val="005645BA"/>
    <w:rsid w:val="00564CAA"/>
    <w:rsid w:val="00564FE6"/>
    <w:rsid w:val="00565522"/>
    <w:rsid w:val="0056656D"/>
    <w:rsid w:val="005671B0"/>
    <w:rsid w:val="00567FAF"/>
    <w:rsid w:val="005737E6"/>
    <w:rsid w:val="00573E36"/>
    <w:rsid w:val="0057493E"/>
    <w:rsid w:val="00575380"/>
    <w:rsid w:val="0057795A"/>
    <w:rsid w:val="00580915"/>
    <w:rsid w:val="00581645"/>
    <w:rsid w:val="00581D42"/>
    <w:rsid w:val="00586DE4"/>
    <w:rsid w:val="005874C1"/>
    <w:rsid w:val="00587DA8"/>
    <w:rsid w:val="00590865"/>
    <w:rsid w:val="00590905"/>
    <w:rsid w:val="00593FDA"/>
    <w:rsid w:val="00594196"/>
    <w:rsid w:val="00597721"/>
    <w:rsid w:val="00597796"/>
    <w:rsid w:val="005A0C7F"/>
    <w:rsid w:val="005A2C5B"/>
    <w:rsid w:val="005A318D"/>
    <w:rsid w:val="005A6611"/>
    <w:rsid w:val="005A7441"/>
    <w:rsid w:val="005A75AA"/>
    <w:rsid w:val="005A77B5"/>
    <w:rsid w:val="005B0509"/>
    <w:rsid w:val="005B0768"/>
    <w:rsid w:val="005B082B"/>
    <w:rsid w:val="005B089D"/>
    <w:rsid w:val="005B0F45"/>
    <w:rsid w:val="005B1618"/>
    <w:rsid w:val="005B21F1"/>
    <w:rsid w:val="005B3C13"/>
    <w:rsid w:val="005B6B87"/>
    <w:rsid w:val="005B7111"/>
    <w:rsid w:val="005C1A27"/>
    <w:rsid w:val="005C2A8D"/>
    <w:rsid w:val="005C2E9D"/>
    <w:rsid w:val="005C4C6A"/>
    <w:rsid w:val="005D2C3C"/>
    <w:rsid w:val="005D5CC5"/>
    <w:rsid w:val="005E07BF"/>
    <w:rsid w:val="005E317C"/>
    <w:rsid w:val="005E59CD"/>
    <w:rsid w:val="005E64D7"/>
    <w:rsid w:val="005E6DC3"/>
    <w:rsid w:val="005F41CF"/>
    <w:rsid w:val="006012F8"/>
    <w:rsid w:val="006017BA"/>
    <w:rsid w:val="00606267"/>
    <w:rsid w:val="00606459"/>
    <w:rsid w:val="00607196"/>
    <w:rsid w:val="0061043C"/>
    <w:rsid w:val="006119E5"/>
    <w:rsid w:val="006121C1"/>
    <w:rsid w:val="00613B48"/>
    <w:rsid w:val="00613E20"/>
    <w:rsid w:val="006152FF"/>
    <w:rsid w:val="00616AD5"/>
    <w:rsid w:val="00617E89"/>
    <w:rsid w:val="00617F7C"/>
    <w:rsid w:val="00621741"/>
    <w:rsid w:val="00625CF7"/>
    <w:rsid w:val="00626FDA"/>
    <w:rsid w:val="00627979"/>
    <w:rsid w:val="00627DC1"/>
    <w:rsid w:val="00630B42"/>
    <w:rsid w:val="00630D0A"/>
    <w:rsid w:val="006321E6"/>
    <w:rsid w:val="006327C2"/>
    <w:rsid w:val="00632EE4"/>
    <w:rsid w:val="00634CA3"/>
    <w:rsid w:val="00635769"/>
    <w:rsid w:val="00640249"/>
    <w:rsid w:val="006414E3"/>
    <w:rsid w:val="00641D64"/>
    <w:rsid w:val="0064204B"/>
    <w:rsid w:val="00643549"/>
    <w:rsid w:val="006436E9"/>
    <w:rsid w:val="00644796"/>
    <w:rsid w:val="00644BA1"/>
    <w:rsid w:val="00651106"/>
    <w:rsid w:val="00652224"/>
    <w:rsid w:val="00654BFB"/>
    <w:rsid w:val="006555C2"/>
    <w:rsid w:val="00655A9C"/>
    <w:rsid w:val="00655CB7"/>
    <w:rsid w:val="0065605D"/>
    <w:rsid w:val="006572C3"/>
    <w:rsid w:val="00660178"/>
    <w:rsid w:val="00661612"/>
    <w:rsid w:val="00661AF4"/>
    <w:rsid w:val="00661B12"/>
    <w:rsid w:val="006646E3"/>
    <w:rsid w:val="00664AB2"/>
    <w:rsid w:val="006655DD"/>
    <w:rsid w:val="00667451"/>
    <w:rsid w:val="006702D7"/>
    <w:rsid w:val="00670768"/>
    <w:rsid w:val="00672486"/>
    <w:rsid w:val="00674678"/>
    <w:rsid w:val="0067614A"/>
    <w:rsid w:val="00680A7D"/>
    <w:rsid w:val="00680FEE"/>
    <w:rsid w:val="006819AE"/>
    <w:rsid w:val="0068316D"/>
    <w:rsid w:val="00686983"/>
    <w:rsid w:val="0068732F"/>
    <w:rsid w:val="00691930"/>
    <w:rsid w:val="0069521D"/>
    <w:rsid w:val="0069699C"/>
    <w:rsid w:val="00697DE9"/>
    <w:rsid w:val="006A2BD1"/>
    <w:rsid w:val="006A2BF0"/>
    <w:rsid w:val="006A2E27"/>
    <w:rsid w:val="006A395D"/>
    <w:rsid w:val="006A6F05"/>
    <w:rsid w:val="006B4C82"/>
    <w:rsid w:val="006B61E9"/>
    <w:rsid w:val="006B67F3"/>
    <w:rsid w:val="006C040B"/>
    <w:rsid w:val="006C2053"/>
    <w:rsid w:val="006C21B5"/>
    <w:rsid w:val="006C25B7"/>
    <w:rsid w:val="006C2EE5"/>
    <w:rsid w:val="006C549E"/>
    <w:rsid w:val="006C57FD"/>
    <w:rsid w:val="006C59FB"/>
    <w:rsid w:val="006D1658"/>
    <w:rsid w:val="006D2141"/>
    <w:rsid w:val="006D4580"/>
    <w:rsid w:val="006D5C6D"/>
    <w:rsid w:val="006E062A"/>
    <w:rsid w:val="006E0937"/>
    <w:rsid w:val="006E275B"/>
    <w:rsid w:val="006E3985"/>
    <w:rsid w:val="006E5734"/>
    <w:rsid w:val="006E6663"/>
    <w:rsid w:val="006F0EEB"/>
    <w:rsid w:val="006F114D"/>
    <w:rsid w:val="006F2349"/>
    <w:rsid w:val="006F4141"/>
    <w:rsid w:val="006F4D9B"/>
    <w:rsid w:val="006F562F"/>
    <w:rsid w:val="0070473F"/>
    <w:rsid w:val="007110C6"/>
    <w:rsid w:val="00714B58"/>
    <w:rsid w:val="007153CA"/>
    <w:rsid w:val="00715C64"/>
    <w:rsid w:val="00721750"/>
    <w:rsid w:val="00722D83"/>
    <w:rsid w:val="0072416E"/>
    <w:rsid w:val="00724862"/>
    <w:rsid w:val="00725329"/>
    <w:rsid w:val="007261E3"/>
    <w:rsid w:val="00730909"/>
    <w:rsid w:val="00735DBB"/>
    <w:rsid w:val="0073773A"/>
    <w:rsid w:val="00744120"/>
    <w:rsid w:val="007476C1"/>
    <w:rsid w:val="0075153D"/>
    <w:rsid w:val="00751680"/>
    <w:rsid w:val="007533D5"/>
    <w:rsid w:val="00753650"/>
    <w:rsid w:val="00753FB3"/>
    <w:rsid w:val="00754609"/>
    <w:rsid w:val="00754641"/>
    <w:rsid w:val="0075701B"/>
    <w:rsid w:val="007577C9"/>
    <w:rsid w:val="007607B9"/>
    <w:rsid w:val="00763FE3"/>
    <w:rsid w:val="0076430B"/>
    <w:rsid w:val="007661C6"/>
    <w:rsid w:val="007663FD"/>
    <w:rsid w:val="007719BD"/>
    <w:rsid w:val="007721DD"/>
    <w:rsid w:val="007731A8"/>
    <w:rsid w:val="0077336A"/>
    <w:rsid w:val="007735E5"/>
    <w:rsid w:val="00776629"/>
    <w:rsid w:val="00777193"/>
    <w:rsid w:val="00777CCB"/>
    <w:rsid w:val="007807AE"/>
    <w:rsid w:val="00782CE7"/>
    <w:rsid w:val="00784657"/>
    <w:rsid w:val="00784F60"/>
    <w:rsid w:val="0078565E"/>
    <w:rsid w:val="0079035E"/>
    <w:rsid w:val="007929FB"/>
    <w:rsid w:val="00792B83"/>
    <w:rsid w:val="00793ECF"/>
    <w:rsid w:val="00795C0D"/>
    <w:rsid w:val="007A0F10"/>
    <w:rsid w:val="007A191A"/>
    <w:rsid w:val="007A3E29"/>
    <w:rsid w:val="007A7B1E"/>
    <w:rsid w:val="007B3937"/>
    <w:rsid w:val="007B43E0"/>
    <w:rsid w:val="007B4754"/>
    <w:rsid w:val="007B6485"/>
    <w:rsid w:val="007B6B39"/>
    <w:rsid w:val="007B6E94"/>
    <w:rsid w:val="007C15F6"/>
    <w:rsid w:val="007C1D2D"/>
    <w:rsid w:val="007C67B6"/>
    <w:rsid w:val="007C67D2"/>
    <w:rsid w:val="007C7688"/>
    <w:rsid w:val="007D09F2"/>
    <w:rsid w:val="007D46E3"/>
    <w:rsid w:val="007D6964"/>
    <w:rsid w:val="007E313B"/>
    <w:rsid w:val="007E529B"/>
    <w:rsid w:val="007E547D"/>
    <w:rsid w:val="007E5AEB"/>
    <w:rsid w:val="007E60E7"/>
    <w:rsid w:val="007F0CFC"/>
    <w:rsid w:val="007F0D77"/>
    <w:rsid w:val="007F1D8F"/>
    <w:rsid w:val="007F2515"/>
    <w:rsid w:val="007F2EA2"/>
    <w:rsid w:val="007F61EA"/>
    <w:rsid w:val="007F669C"/>
    <w:rsid w:val="00800888"/>
    <w:rsid w:val="00801643"/>
    <w:rsid w:val="0080195D"/>
    <w:rsid w:val="00801CB2"/>
    <w:rsid w:val="00802C1C"/>
    <w:rsid w:val="0080470C"/>
    <w:rsid w:val="0080488D"/>
    <w:rsid w:val="00805907"/>
    <w:rsid w:val="00807A1F"/>
    <w:rsid w:val="008107B5"/>
    <w:rsid w:val="00810A8A"/>
    <w:rsid w:val="00810DAD"/>
    <w:rsid w:val="00812DF6"/>
    <w:rsid w:val="00814DB5"/>
    <w:rsid w:val="00815F4C"/>
    <w:rsid w:val="00816AA7"/>
    <w:rsid w:val="00817C5D"/>
    <w:rsid w:val="0082004F"/>
    <w:rsid w:val="008209D8"/>
    <w:rsid w:val="00820B26"/>
    <w:rsid w:val="00820BD9"/>
    <w:rsid w:val="00821A53"/>
    <w:rsid w:val="008231B4"/>
    <w:rsid w:val="008250BE"/>
    <w:rsid w:val="00826333"/>
    <w:rsid w:val="008274CC"/>
    <w:rsid w:val="00830277"/>
    <w:rsid w:val="0083111F"/>
    <w:rsid w:val="00833A60"/>
    <w:rsid w:val="0083467A"/>
    <w:rsid w:val="0083604F"/>
    <w:rsid w:val="008371E4"/>
    <w:rsid w:val="0083780F"/>
    <w:rsid w:val="00840918"/>
    <w:rsid w:val="00840E54"/>
    <w:rsid w:val="00841AFA"/>
    <w:rsid w:val="0084530A"/>
    <w:rsid w:val="00845D93"/>
    <w:rsid w:val="0085261F"/>
    <w:rsid w:val="00854AF2"/>
    <w:rsid w:val="00855798"/>
    <w:rsid w:val="008576F3"/>
    <w:rsid w:val="008579AF"/>
    <w:rsid w:val="00857E70"/>
    <w:rsid w:val="00861F97"/>
    <w:rsid w:val="00863A48"/>
    <w:rsid w:val="00863E8A"/>
    <w:rsid w:val="00871C84"/>
    <w:rsid w:val="008737CA"/>
    <w:rsid w:val="0087420C"/>
    <w:rsid w:val="0087512F"/>
    <w:rsid w:val="00876B1F"/>
    <w:rsid w:val="00877C0E"/>
    <w:rsid w:val="00877D95"/>
    <w:rsid w:val="00881AD0"/>
    <w:rsid w:val="008860D8"/>
    <w:rsid w:val="00886293"/>
    <w:rsid w:val="008867A8"/>
    <w:rsid w:val="00887D83"/>
    <w:rsid w:val="008907D6"/>
    <w:rsid w:val="00890D95"/>
    <w:rsid w:val="0089341D"/>
    <w:rsid w:val="00894806"/>
    <w:rsid w:val="00894C87"/>
    <w:rsid w:val="00895EE3"/>
    <w:rsid w:val="008A0712"/>
    <w:rsid w:val="008A205F"/>
    <w:rsid w:val="008A4732"/>
    <w:rsid w:val="008A4AD6"/>
    <w:rsid w:val="008A5E9E"/>
    <w:rsid w:val="008A63A8"/>
    <w:rsid w:val="008A6779"/>
    <w:rsid w:val="008A7D2C"/>
    <w:rsid w:val="008B1B39"/>
    <w:rsid w:val="008B3E21"/>
    <w:rsid w:val="008B6B28"/>
    <w:rsid w:val="008B7623"/>
    <w:rsid w:val="008C2AE3"/>
    <w:rsid w:val="008C30A3"/>
    <w:rsid w:val="008C3D24"/>
    <w:rsid w:val="008C7130"/>
    <w:rsid w:val="008D0E44"/>
    <w:rsid w:val="008D1445"/>
    <w:rsid w:val="008D35E7"/>
    <w:rsid w:val="008D42A1"/>
    <w:rsid w:val="008E02FD"/>
    <w:rsid w:val="008E0396"/>
    <w:rsid w:val="008E0539"/>
    <w:rsid w:val="008E117F"/>
    <w:rsid w:val="008E3887"/>
    <w:rsid w:val="008E3B0D"/>
    <w:rsid w:val="008E4114"/>
    <w:rsid w:val="008E41BE"/>
    <w:rsid w:val="008E5B8E"/>
    <w:rsid w:val="008E7CD9"/>
    <w:rsid w:val="008F35FB"/>
    <w:rsid w:val="008F3E04"/>
    <w:rsid w:val="008F3E09"/>
    <w:rsid w:val="008F4287"/>
    <w:rsid w:val="008F4345"/>
    <w:rsid w:val="008F556F"/>
    <w:rsid w:val="008F654B"/>
    <w:rsid w:val="008F73F8"/>
    <w:rsid w:val="00900E90"/>
    <w:rsid w:val="00902423"/>
    <w:rsid w:val="00902BBC"/>
    <w:rsid w:val="00903025"/>
    <w:rsid w:val="00903081"/>
    <w:rsid w:val="00903A7C"/>
    <w:rsid w:val="0090782E"/>
    <w:rsid w:val="00910A9F"/>
    <w:rsid w:val="009128F9"/>
    <w:rsid w:val="00912911"/>
    <w:rsid w:val="009144F8"/>
    <w:rsid w:val="00914FBE"/>
    <w:rsid w:val="00915D19"/>
    <w:rsid w:val="00915F9F"/>
    <w:rsid w:val="00916803"/>
    <w:rsid w:val="00924320"/>
    <w:rsid w:val="00925DB9"/>
    <w:rsid w:val="00926B40"/>
    <w:rsid w:val="00927FFC"/>
    <w:rsid w:val="00934FB4"/>
    <w:rsid w:val="009353A5"/>
    <w:rsid w:val="00936C09"/>
    <w:rsid w:val="009416B9"/>
    <w:rsid w:val="00945AAB"/>
    <w:rsid w:val="00945E6E"/>
    <w:rsid w:val="00947C40"/>
    <w:rsid w:val="009514A4"/>
    <w:rsid w:val="00953A33"/>
    <w:rsid w:val="00954824"/>
    <w:rsid w:val="00957800"/>
    <w:rsid w:val="00960340"/>
    <w:rsid w:val="00960611"/>
    <w:rsid w:val="00966BDC"/>
    <w:rsid w:val="00967B0A"/>
    <w:rsid w:val="00967BE4"/>
    <w:rsid w:val="0097036E"/>
    <w:rsid w:val="009709A0"/>
    <w:rsid w:val="00970CDF"/>
    <w:rsid w:val="00972AF1"/>
    <w:rsid w:val="00975D99"/>
    <w:rsid w:val="00976BC4"/>
    <w:rsid w:val="00976FC6"/>
    <w:rsid w:val="00977343"/>
    <w:rsid w:val="009839E2"/>
    <w:rsid w:val="00983E21"/>
    <w:rsid w:val="009840F6"/>
    <w:rsid w:val="00985BEE"/>
    <w:rsid w:val="00987FF9"/>
    <w:rsid w:val="00991DD3"/>
    <w:rsid w:val="009920D0"/>
    <w:rsid w:val="0099247C"/>
    <w:rsid w:val="009926F1"/>
    <w:rsid w:val="0099648F"/>
    <w:rsid w:val="00996F8C"/>
    <w:rsid w:val="00997D0A"/>
    <w:rsid w:val="009A022B"/>
    <w:rsid w:val="009A12F6"/>
    <w:rsid w:val="009A18E3"/>
    <w:rsid w:val="009A3829"/>
    <w:rsid w:val="009A445B"/>
    <w:rsid w:val="009A4937"/>
    <w:rsid w:val="009A5A32"/>
    <w:rsid w:val="009A67DB"/>
    <w:rsid w:val="009A7770"/>
    <w:rsid w:val="009B2003"/>
    <w:rsid w:val="009B219E"/>
    <w:rsid w:val="009B2F63"/>
    <w:rsid w:val="009B4592"/>
    <w:rsid w:val="009B7305"/>
    <w:rsid w:val="009B74F0"/>
    <w:rsid w:val="009B7F5C"/>
    <w:rsid w:val="009C1028"/>
    <w:rsid w:val="009C4DB5"/>
    <w:rsid w:val="009C51FC"/>
    <w:rsid w:val="009C5700"/>
    <w:rsid w:val="009C6CD7"/>
    <w:rsid w:val="009C7067"/>
    <w:rsid w:val="009D1860"/>
    <w:rsid w:val="009D1FFC"/>
    <w:rsid w:val="009D569A"/>
    <w:rsid w:val="009D5B24"/>
    <w:rsid w:val="009D67A5"/>
    <w:rsid w:val="009D6FBC"/>
    <w:rsid w:val="009D71E4"/>
    <w:rsid w:val="009D7A87"/>
    <w:rsid w:val="009E0F6A"/>
    <w:rsid w:val="009E6A56"/>
    <w:rsid w:val="009E7E91"/>
    <w:rsid w:val="009F1983"/>
    <w:rsid w:val="009F1AF7"/>
    <w:rsid w:val="009F20A0"/>
    <w:rsid w:val="009F22EE"/>
    <w:rsid w:val="009F54A4"/>
    <w:rsid w:val="009F6F3B"/>
    <w:rsid w:val="009F7974"/>
    <w:rsid w:val="009F7E1A"/>
    <w:rsid w:val="009F7ED2"/>
    <w:rsid w:val="00A005BD"/>
    <w:rsid w:val="00A0208F"/>
    <w:rsid w:val="00A03139"/>
    <w:rsid w:val="00A04EC9"/>
    <w:rsid w:val="00A0732C"/>
    <w:rsid w:val="00A073E8"/>
    <w:rsid w:val="00A07EFC"/>
    <w:rsid w:val="00A1032A"/>
    <w:rsid w:val="00A10C0C"/>
    <w:rsid w:val="00A11DF2"/>
    <w:rsid w:val="00A129BE"/>
    <w:rsid w:val="00A168E5"/>
    <w:rsid w:val="00A17D95"/>
    <w:rsid w:val="00A22849"/>
    <w:rsid w:val="00A23535"/>
    <w:rsid w:val="00A30819"/>
    <w:rsid w:val="00A308E4"/>
    <w:rsid w:val="00A348D1"/>
    <w:rsid w:val="00A34FB5"/>
    <w:rsid w:val="00A36583"/>
    <w:rsid w:val="00A374D4"/>
    <w:rsid w:val="00A4011C"/>
    <w:rsid w:val="00A405EC"/>
    <w:rsid w:val="00A51140"/>
    <w:rsid w:val="00A5176B"/>
    <w:rsid w:val="00A517D3"/>
    <w:rsid w:val="00A53DD4"/>
    <w:rsid w:val="00A54016"/>
    <w:rsid w:val="00A550AD"/>
    <w:rsid w:val="00A56C61"/>
    <w:rsid w:val="00A57AE7"/>
    <w:rsid w:val="00A6167D"/>
    <w:rsid w:val="00A6202F"/>
    <w:rsid w:val="00A66386"/>
    <w:rsid w:val="00A6658B"/>
    <w:rsid w:val="00A70A71"/>
    <w:rsid w:val="00A73CE2"/>
    <w:rsid w:val="00A77339"/>
    <w:rsid w:val="00A8254E"/>
    <w:rsid w:val="00A82855"/>
    <w:rsid w:val="00A82ED1"/>
    <w:rsid w:val="00A85CE9"/>
    <w:rsid w:val="00A86A52"/>
    <w:rsid w:val="00A87C8D"/>
    <w:rsid w:val="00A9131B"/>
    <w:rsid w:val="00A92034"/>
    <w:rsid w:val="00A93201"/>
    <w:rsid w:val="00AA3832"/>
    <w:rsid w:val="00AA50BB"/>
    <w:rsid w:val="00AA6302"/>
    <w:rsid w:val="00AB15DE"/>
    <w:rsid w:val="00AB185B"/>
    <w:rsid w:val="00AB4000"/>
    <w:rsid w:val="00AB52C7"/>
    <w:rsid w:val="00AB6059"/>
    <w:rsid w:val="00AB6BC4"/>
    <w:rsid w:val="00AC1A75"/>
    <w:rsid w:val="00AC2D85"/>
    <w:rsid w:val="00AC40B1"/>
    <w:rsid w:val="00AC5DEE"/>
    <w:rsid w:val="00AC5FBF"/>
    <w:rsid w:val="00AC632A"/>
    <w:rsid w:val="00AC77ED"/>
    <w:rsid w:val="00AD1011"/>
    <w:rsid w:val="00AD55AE"/>
    <w:rsid w:val="00AD654C"/>
    <w:rsid w:val="00AD65C0"/>
    <w:rsid w:val="00AD6C6E"/>
    <w:rsid w:val="00AD6CD9"/>
    <w:rsid w:val="00AD70FE"/>
    <w:rsid w:val="00AD78FA"/>
    <w:rsid w:val="00AE5A3E"/>
    <w:rsid w:val="00AE6B72"/>
    <w:rsid w:val="00AF1CE9"/>
    <w:rsid w:val="00AF1DB0"/>
    <w:rsid w:val="00AF486B"/>
    <w:rsid w:val="00AF5C90"/>
    <w:rsid w:val="00AF656B"/>
    <w:rsid w:val="00AF7503"/>
    <w:rsid w:val="00B015DC"/>
    <w:rsid w:val="00B04962"/>
    <w:rsid w:val="00B101D4"/>
    <w:rsid w:val="00B12F8A"/>
    <w:rsid w:val="00B16ABB"/>
    <w:rsid w:val="00B17285"/>
    <w:rsid w:val="00B21468"/>
    <w:rsid w:val="00B21CBB"/>
    <w:rsid w:val="00B2674C"/>
    <w:rsid w:val="00B26FC1"/>
    <w:rsid w:val="00B27AD3"/>
    <w:rsid w:val="00B319CB"/>
    <w:rsid w:val="00B35FA6"/>
    <w:rsid w:val="00B375B4"/>
    <w:rsid w:val="00B37D0F"/>
    <w:rsid w:val="00B4538B"/>
    <w:rsid w:val="00B50D74"/>
    <w:rsid w:val="00B55E30"/>
    <w:rsid w:val="00B55F34"/>
    <w:rsid w:val="00B60301"/>
    <w:rsid w:val="00B607FD"/>
    <w:rsid w:val="00B63E8A"/>
    <w:rsid w:val="00B65588"/>
    <w:rsid w:val="00B67E94"/>
    <w:rsid w:val="00B75DCE"/>
    <w:rsid w:val="00B76653"/>
    <w:rsid w:val="00B77653"/>
    <w:rsid w:val="00B8356A"/>
    <w:rsid w:val="00B85273"/>
    <w:rsid w:val="00B87D86"/>
    <w:rsid w:val="00B90FD5"/>
    <w:rsid w:val="00B914FF"/>
    <w:rsid w:val="00B9217A"/>
    <w:rsid w:val="00B95890"/>
    <w:rsid w:val="00B962B5"/>
    <w:rsid w:val="00B97700"/>
    <w:rsid w:val="00B979D1"/>
    <w:rsid w:val="00BA240D"/>
    <w:rsid w:val="00BA6E10"/>
    <w:rsid w:val="00BB03B7"/>
    <w:rsid w:val="00BB130B"/>
    <w:rsid w:val="00BB212E"/>
    <w:rsid w:val="00BB4CE4"/>
    <w:rsid w:val="00BB6F6A"/>
    <w:rsid w:val="00BC1C3D"/>
    <w:rsid w:val="00BC2600"/>
    <w:rsid w:val="00BC4CFB"/>
    <w:rsid w:val="00BC5ECC"/>
    <w:rsid w:val="00BC737B"/>
    <w:rsid w:val="00BD17D9"/>
    <w:rsid w:val="00BD38DC"/>
    <w:rsid w:val="00BD3B68"/>
    <w:rsid w:val="00BD7211"/>
    <w:rsid w:val="00BE26A1"/>
    <w:rsid w:val="00BE503C"/>
    <w:rsid w:val="00BE5814"/>
    <w:rsid w:val="00BE6CF1"/>
    <w:rsid w:val="00BF370A"/>
    <w:rsid w:val="00BF5E88"/>
    <w:rsid w:val="00BF7937"/>
    <w:rsid w:val="00C0187B"/>
    <w:rsid w:val="00C01FD8"/>
    <w:rsid w:val="00C025DD"/>
    <w:rsid w:val="00C03036"/>
    <w:rsid w:val="00C03642"/>
    <w:rsid w:val="00C03A8F"/>
    <w:rsid w:val="00C03FF6"/>
    <w:rsid w:val="00C05BF3"/>
    <w:rsid w:val="00C10815"/>
    <w:rsid w:val="00C118DE"/>
    <w:rsid w:val="00C11D28"/>
    <w:rsid w:val="00C13557"/>
    <w:rsid w:val="00C14C35"/>
    <w:rsid w:val="00C170ED"/>
    <w:rsid w:val="00C17511"/>
    <w:rsid w:val="00C201E9"/>
    <w:rsid w:val="00C21E9C"/>
    <w:rsid w:val="00C220BC"/>
    <w:rsid w:val="00C22721"/>
    <w:rsid w:val="00C22FE6"/>
    <w:rsid w:val="00C2475F"/>
    <w:rsid w:val="00C24873"/>
    <w:rsid w:val="00C25F21"/>
    <w:rsid w:val="00C25F69"/>
    <w:rsid w:val="00C26CB1"/>
    <w:rsid w:val="00C27081"/>
    <w:rsid w:val="00C274A1"/>
    <w:rsid w:val="00C3409E"/>
    <w:rsid w:val="00C3608F"/>
    <w:rsid w:val="00C360FC"/>
    <w:rsid w:val="00C36499"/>
    <w:rsid w:val="00C424CB"/>
    <w:rsid w:val="00C43D44"/>
    <w:rsid w:val="00C44F2F"/>
    <w:rsid w:val="00C45241"/>
    <w:rsid w:val="00C45C7D"/>
    <w:rsid w:val="00C4744A"/>
    <w:rsid w:val="00C47630"/>
    <w:rsid w:val="00C51572"/>
    <w:rsid w:val="00C528D7"/>
    <w:rsid w:val="00C52F06"/>
    <w:rsid w:val="00C53A90"/>
    <w:rsid w:val="00C53DDD"/>
    <w:rsid w:val="00C5498C"/>
    <w:rsid w:val="00C5534A"/>
    <w:rsid w:val="00C55A0F"/>
    <w:rsid w:val="00C5725E"/>
    <w:rsid w:val="00C61928"/>
    <w:rsid w:val="00C61A30"/>
    <w:rsid w:val="00C6213D"/>
    <w:rsid w:val="00C62F9D"/>
    <w:rsid w:val="00C65019"/>
    <w:rsid w:val="00C664B9"/>
    <w:rsid w:val="00C666E0"/>
    <w:rsid w:val="00C667E1"/>
    <w:rsid w:val="00C66E22"/>
    <w:rsid w:val="00C703F5"/>
    <w:rsid w:val="00C70B67"/>
    <w:rsid w:val="00C70CC6"/>
    <w:rsid w:val="00C7305A"/>
    <w:rsid w:val="00C734DE"/>
    <w:rsid w:val="00C74992"/>
    <w:rsid w:val="00C7640C"/>
    <w:rsid w:val="00C811E6"/>
    <w:rsid w:val="00C81AA0"/>
    <w:rsid w:val="00C82135"/>
    <w:rsid w:val="00C83C34"/>
    <w:rsid w:val="00C8467C"/>
    <w:rsid w:val="00C851ED"/>
    <w:rsid w:val="00C87418"/>
    <w:rsid w:val="00C909C9"/>
    <w:rsid w:val="00C91877"/>
    <w:rsid w:val="00C919FB"/>
    <w:rsid w:val="00C931A5"/>
    <w:rsid w:val="00C95A57"/>
    <w:rsid w:val="00CA0AB9"/>
    <w:rsid w:val="00CA208E"/>
    <w:rsid w:val="00CA289A"/>
    <w:rsid w:val="00CA28DB"/>
    <w:rsid w:val="00CA2E7D"/>
    <w:rsid w:val="00CA6976"/>
    <w:rsid w:val="00CA73A7"/>
    <w:rsid w:val="00CB279C"/>
    <w:rsid w:val="00CB2CB4"/>
    <w:rsid w:val="00CB2D42"/>
    <w:rsid w:val="00CB42B6"/>
    <w:rsid w:val="00CB4AFC"/>
    <w:rsid w:val="00CB675B"/>
    <w:rsid w:val="00CC0245"/>
    <w:rsid w:val="00CC277D"/>
    <w:rsid w:val="00CC382C"/>
    <w:rsid w:val="00CC4933"/>
    <w:rsid w:val="00CD0045"/>
    <w:rsid w:val="00CD08B3"/>
    <w:rsid w:val="00CD205A"/>
    <w:rsid w:val="00CD25EA"/>
    <w:rsid w:val="00CD6BC6"/>
    <w:rsid w:val="00CD7274"/>
    <w:rsid w:val="00CE2235"/>
    <w:rsid w:val="00CE30D5"/>
    <w:rsid w:val="00CE379F"/>
    <w:rsid w:val="00CE60F9"/>
    <w:rsid w:val="00CE730A"/>
    <w:rsid w:val="00CF1F00"/>
    <w:rsid w:val="00D060CD"/>
    <w:rsid w:val="00D125BB"/>
    <w:rsid w:val="00D12FA3"/>
    <w:rsid w:val="00D1451F"/>
    <w:rsid w:val="00D16633"/>
    <w:rsid w:val="00D17CCB"/>
    <w:rsid w:val="00D17F66"/>
    <w:rsid w:val="00D242DD"/>
    <w:rsid w:val="00D25B5F"/>
    <w:rsid w:val="00D25BCC"/>
    <w:rsid w:val="00D3213A"/>
    <w:rsid w:val="00D33424"/>
    <w:rsid w:val="00D35D14"/>
    <w:rsid w:val="00D36D53"/>
    <w:rsid w:val="00D40104"/>
    <w:rsid w:val="00D42794"/>
    <w:rsid w:val="00D43C03"/>
    <w:rsid w:val="00D4417C"/>
    <w:rsid w:val="00D4525A"/>
    <w:rsid w:val="00D45D19"/>
    <w:rsid w:val="00D460D3"/>
    <w:rsid w:val="00D46116"/>
    <w:rsid w:val="00D5021C"/>
    <w:rsid w:val="00D5228B"/>
    <w:rsid w:val="00D53293"/>
    <w:rsid w:val="00D57384"/>
    <w:rsid w:val="00D60A11"/>
    <w:rsid w:val="00D62BDC"/>
    <w:rsid w:val="00D65814"/>
    <w:rsid w:val="00D676AD"/>
    <w:rsid w:val="00D6784F"/>
    <w:rsid w:val="00D713FC"/>
    <w:rsid w:val="00D72D18"/>
    <w:rsid w:val="00D735C9"/>
    <w:rsid w:val="00D746B6"/>
    <w:rsid w:val="00D751DF"/>
    <w:rsid w:val="00D7568C"/>
    <w:rsid w:val="00D762CE"/>
    <w:rsid w:val="00D768AA"/>
    <w:rsid w:val="00D768DC"/>
    <w:rsid w:val="00D777D0"/>
    <w:rsid w:val="00D8020C"/>
    <w:rsid w:val="00D8701A"/>
    <w:rsid w:val="00D90B9E"/>
    <w:rsid w:val="00D90D01"/>
    <w:rsid w:val="00D90D20"/>
    <w:rsid w:val="00D91884"/>
    <w:rsid w:val="00D92D3D"/>
    <w:rsid w:val="00D979AA"/>
    <w:rsid w:val="00DA200B"/>
    <w:rsid w:val="00DA21E7"/>
    <w:rsid w:val="00DA4E85"/>
    <w:rsid w:val="00DB06CC"/>
    <w:rsid w:val="00DB2A4B"/>
    <w:rsid w:val="00DB3597"/>
    <w:rsid w:val="00DB5D52"/>
    <w:rsid w:val="00DC2B18"/>
    <w:rsid w:val="00DC3128"/>
    <w:rsid w:val="00DC4ACC"/>
    <w:rsid w:val="00DC4F29"/>
    <w:rsid w:val="00DC5247"/>
    <w:rsid w:val="00DC6059"/>
    <w:rsid w:val="00DC7EB8"/>
    <w:rsid w:val="00DD15A2"/>
    <w:rsid w:val="00DD28F2"/>
    <w:rsid w:val="00DD384D"/>
    <w:rsid w:val="00DD44CF"/>
    <w:rsid w:val="00DD46C6"/>
    <w:rsid w:val="00DD4E5C"/>
    <w:rsid w:val="00DD517A"/>
    <w:rsid w:val="00DD7344"/>
    <w:rsid w:val="00DD7A3D"/>
    <w:rsid w:val="00DE2480"/>
    <w:rsid w:val="00DE2A89"/>
    <w:rsid w:val="00DE5C06"/>
    <w:rsid w:val="00DE5E06"/>
    <w:rsid w:val="00DF1633"/>
    <w:rsid w:val="00DF37DE"/>
    <w:rsid w:val="00DF41FB"/>
    <w:rsid w:val="00DF4EDB"/>
    <w:rsid w:val="00DF6565"/>
    <w:rsid w:val="00E0223F"/>
    <w:rsid w:val="00E05B4E"/>
    <w:rsid w:val="00E068E6"/>
    <w:rsid w:val="00E0788D"/>
    <w:rsid w:val="00E10583"/>
    <w:rsid w:val="00E120D8"/>
    <w:rsid w:val="00E16738"/>
    <w:rsid w:val="00E22D20"/>
    <w:rsid w:val="00E30914"/>
    <w:rsid w:val="00E30A5B"/>
    <w:rsid w:val="00E310A3"/>
    <w:rsid w:val="00E321B2"/>
    <w:rsid w:val="00E371E0"/>
    <w:rsid w:val="00E3786F"/>
    <w:rsid w:val="00E37C62"/>
    <w:rsid w:val="00E41303"/>
    <w:rsid w:val="00E41D81"/>
    <w:rsid w:val="00E42602"/>
    <w:rsid w:val="00E44C87"/>
    <w:rsid w:val="00E51389"/>
    <w:rsid w:val="00E52C50"/>
    <w:rsid w:val="00E558FB"/>
    <w:rsid w:val="00E5766A"/>
    <w:rsid w:val="00E60193"/>
    <w:rsid w:val="00E62D29"/>
    <w:rsid w:val="00E651E3"/>
    <w:rsid w:val="00E7137E"/>
    <w:rsid w:val="00E7149F"/>
    <w:rsid w:val="00E72C4B"/>
    <w:rsid w:val="00E73322"/>
    <w:rsid w:val="00E74DAA"/>
    <w:rsid w:val="00E7610A"/>
    <w:rsid w:val="00E76380"/>
    <w:rsid w:val="00E763D1"/>
    <w:rsid w:val="00E77C41"/>
    <w:rsid w:val="00E8186E"/>
    <w:rsid w:val="00E82B4D"/>
    <w:rsid w:val="00E83F45"/>
    <w:rsid w:val="00E85527"/>
    <w:rsid w:val="00E857F4"/>
    <w:rsid w:val="00E86003"/>
    <w:rsid w:val="00E8636A"/>
    <w:rsid w:val="00E872FD"/>
    <w:rsid w:val="00E8757A"/>
    <w:rsid w:val="00E87D73"/>
    <w:rsid w:val="00E90AB3"/>
    <w:rsid w:val="00E91B1D"/>
    <w:rsid w:val="00E971F6"/>
    <w:rsid w:val="00E97F29"/>
    <w:rsid w:val="00EA07B6"/>
    <w:rsid w:val="00EA4614"/>
    <w:rsid w:val="00EA666F"/>
    <w:rsid w:val="00EB25F5"/>
    <w:rsid w:val="00EB314E"/>
    <w:rsid w:val="00EB5001"/>
    <w:rsid w:val="00EC0474"/>
    <w:rsid w:val="00EC082B"/>
    <w:rsid w:val="00EC0BFE"/>
    <w:rsid w:val="00EC1815"/>
    <w:rsid w:val="00EC3D7F"/>
    <w:rsid w:val="00EC3DC9"/>
    <w:rsid w:val="00EC42CB"/>
    <w:rsid w:val="00EC4E03"/>
    <w:rsid w:val="00EC616A"/>
    <w:rsid w:val="00EC6C31"/>
    <w:rsid w:val="00ED2276"/>
    <w:rsid w:val="00ED43B9"/>
    <w:rsid w:val="00ED46E1"/>
    <w:rsid w:val="00ED7070"/>
    <w:rsid w:val="00EE26C1"/>
    <w:rsid w:val="00EE36F4"/>
    <w:rsid w:val="00EE3784"/>
    <w:rsid w:val="00EE3D8B"/>
    <w:rsid w:val="00EE410F"/>
    <w:rsid w:val="00EE6E12"/>
    <w:rsid w:val="00EE7269"/>
    <w:rsid w:val="00EE745A"/>
    <w:rsid w:val="00EE7FEC"/>
    <w:rsid w:val="00EF0A5A"/>
    <w:rsid w:val="00EF2054"/>
    <w:rsid w:val="00EF3506"/>
    <w:rsid w:val="00EF35A0"/>
    <w:rsid w:val="00EF5F8F"/>
    <w:rsid w:val="00EF639B"/>
    <w:rsid w:val="00EF6FB5"/>
    <w:rsid w:val="00F00F93"/>
    <w:rsid w:val="00F07A2C"/>
    <w:rsid w:val="00F10F20"/>
    <w:rsid w:val="00F11B4A"/>
    <w:rsid w:val="00F2028F"/>
    <w:rsid w:val="00F20394"/>
    <w:rsid w:val="00F20B41"/>
    <w:rsid w:val="00F20C1C"/>
    <w:rsid w:val="00F23C6B"/>
    <w:rsid w:val="00F23CBD"/>
    <w:rsid w:val="00F3117E"/>
    <w:rsid w:val="00F31FE9"/>
    <w:rsid w:val="00F33A00"/>
    <w:rsid w:val="00F344B5"/>
    <w:rsid w:val="00F36998"/>
    <w:rsid w:val="00F37489"/>
    <w:rsid w:val="00F41692"/>
    <w:rsid w:val="00F4216A"/>
    <w:rsid w:val="00F43FE8"/>
    <w:rsid w:val="00F453BC"/>
    <w:rsid w:val="00F45440"/>
    <w:rsid w:val="00F475FE"/>
    <w:rsid w:val="00F503E6"/>
    <w:rsid w:val="00F52125"/>
    <w:rsid w:val="00F52DDB"/>
    <w:rsid w:val="00F56A3E"/>
    <w:rsid w:val="00F60515"/>
    <w:rsid w:val="00F611BE"/>
    <w:rsid w:val="00F62C1C"/>
    <w:rsid w:val="00F63707"/>
    <w:rsid w:val="00F65192"/>
    <w:rsid w:val="00F65ACC"/>
    <w:rsid w:val="00F71104"/>
    <w:rsid w:val="00F72331"/>
    <w:rsid w:val="00F81171"/>
    <w:rsid w:val="00F83D84"/>
    <w:rsid w:val="00F83FE3"/>
    <w:rsid w:val="00F861D4"/>
    <w:rsid w:val="00F91387"/>
    <w:rsid w:val="00F93090"/>
    <w:rsid w:val="00F93C58"/>
    <w:rsid w:val="00FA23A3"/>
    <w:rsid w:val="00FA463E"/>
    <w:rsid w:val="00FA4FF0"/>
    <w:rsid w:val="00FA5FC6"/>
    <w:rsid w:val="00FB5CFC"/>
    <w:rsid w:val="00FC040D"/>
    <w:rsid w:val="00FC05AC"/>
    <w:rsid w:val="00FC3149"/>
    <w:rsid w:val="00FC6C91"/>
    <w:rsid w:val="00FD0FDD"/>
    <w:rsid w:val="00FD3902"/>
    <w:rsid w:val="00FD41EC"/>
    <w:rsid w:val="00FD41F5"/>
    <w:rsid w:val="00FD54F9"/>
    <w:rsid w:val="00FD66AA"/>
    <w:rsid w:val="00FD6DC6"/>
    <w:rsid w:val="00FD72A4"/>
    <w:rsid w:val="00FE21F5"/>
    <w:rsid w:val="00FE2A62"/>
    <w:rsid w:val="00FE3262"/>
    <w:rsid w:val="00FF2348"/>
    <w:rsid w:val="00FF541D"/>
    <w:rsid w:val="00FF62DF"/>
    <w:rsid w:val="00FF75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E4513"/>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link w:val="2Char"/>
    <w:qFormat/>
    <w:pPr>
      <w:keepNext/>
      <w:spacing w:before="240" w:after="60"/>
      <w:outlineLvl w:val="1"/>
    </w:pPr>
    <w:rPr>
      <w:rFonts w:ascii="Arial" w:hAnsi="Arial" w:cs="Arial"/>
      <w:b/>
      <w:bCs/>
      <w:i/>
      <w:iCs/>
      <w:sz w:val="28"/>
      <w:szCs w:val="28"/>
    </w:rPr>
  </w:style>
  <w:style w:type="paragraph" w:styleId="3">
    <w:name w:val="heading 3"/>
    <w:basedOn w:val="a"/>
    <w:link w:val="3Char"/>
    <w:qFormat/>
    <w:pPr>
      <w:spacing w:before="100" w:beforeAutospacing="1" w:after="100" w:afterAutospacing="1"/>
      <w:outlineLvl w:val="2"/>
    </w:pPr>
    <w:rPr>
      <w:b/>
      <w:bCs/>
      <w:sz w:val="27"/>
      <w:szCs w:val="27"/>
      <w:lang w:val="en-GB" w:eastAsia="en-US"/>
    </w:rPr>
  </w:style>
  <w:style w:type="paragraph" w:styleId="4">
    <w:name w:val="heading 4"/>
    <w:basedOn w:val="a"/>
    <w:next w:val="a"/>
    <w:qFormat/>
    <w:pPr>
      <w:keepNext/>
      <w:outlineLvl w:val="3"/>
    </w:pPr>
    <w:rPr>
      <w:b/>
      <w:szCs w:val="20"/>
    </w:rPr>
  </w:style>
  <w:style w:type="paragraph" w:styleId="5">
    <w:name w:val="heading 5"/>
    <w:basedOn w:val="a"/>
    <w:next w:val="a"/>
    <w:qFormat/>
    <w:pPr>
      <w:keepNext/>
      <w:jc w:val="center"/>
      <w:outlineLvl w:val="4"/>
    </w:pPr>
    <w:rPr>
      <w:b/>
      <w:i/>
      <w:szCs w:val="20"/>
    </w:rPr>
  </w:style>
  <w:style w:type="paragraph" w:styleId="6">
    <w:name w:val="heading 6"/>
    <w:basedOn w:val="a"/>
    <w:next w:val="a"/>
    <w:qFormat/>
    <w:pPr>
      <w:keepNext/>
      <w:spacing w:line="360" w:lineRule="auto"/>
      <w:ind w:left="360"/>
      <w:jc w:val="both"/>
      <w:outlineLvl w:val="5"/>
    </w:pPr>
    <w:rPr>
      <w:b/>
      <w:bCs/>
      <w:u w:val="single"/>
    </w:rPr>
  </w:style>
  <w:style w:type="paragraph" w:styleId="7">
    <w:name w:val="heading 7"/>
    <w:basedOn w:val="a"/>
    <w:next w:val="a"/>
    <w:qFormat/>
    <w:pPr>
      <w:keepNext/>
      <w:spacing w:line="360" w:lineRule="auto"/>
      <w:jc w:val="both"/>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065BB8"/>
    <w:rPr>
      <w:rFonts w:ascii="Arial" w:hAnsi="Arial" w:cs="Arial"/>
      <w:b/>
      <w:bCs/>
      <w:i/>
      <w:iCs/>
      <w:sz w:val="28"/>
      <w:szCs w:val="28"/>
    </w:rPr>
  </w:style>
  <w:style w:type="paragraph" w:customStyle="1" w:styleId="Default">
    <w:name w:val="Default"/>
    <w:pPr>
      <w:autoSpaceDE w:val="0"/>
      <w:autoSpaceDN w:val="0"/>
      <w:adjustRightInd w:val="0"/>
    </w:pPr>
    <w:rPr>
      <w:color w:val="000000"/>
      <w:sz w:val="24"/>
      <w:szCs w:val="24"/>
    </w:rPr>
  </w:style>
  <w:style w:type="paragraph" w:styleId="a3">
    <w:name w:val="Balloon Text"/>
    <w:basedOn w:val="a"/>
    <w:link w:val="Char"/>
    <w:uiPriority w:val="99"/>
    <w:semiHidden/>
    <w:rPr>
      <w:rFonts w:ascii="Tahoma" w:hAnsi="Tahoma" w:cs="Tahoma"/>
      <w:sz w:val="16"/>
      <w:szCs w:val="16"/>
    </w:rPr>
  </w:style>
  <w:style w:type="paragraph" w:styleId="a4">
    <w:name w:val="footer"/>
    <w:basedOn w:val="a"/>
    <w:link w:val="Char0"/>
    <w:uiPriority w:val="99"/>
    <w:pPr>
      <w:tabs>
        <w:tab w:val="center" w:pos="4153"/>
        <w:tab w:val="right" w:pos="8306"/>
      </w:tabs>
    </w:pPr>
  </w:style>
  <w:style w:type="character" w:customStyle="1" w:styleId="Char0">
    <w:name w:val="Υποσέλιδο Char"/>
    <w:link w:val="a4"/>
    <w:uiPriority w:val="99"/>
    <w:rsid w:val="005075B2"/>
    <w:rPr>
      <w:sz w:val="24"/>
      <w:szCs w:val="24"/>
    </w:rPr>
  </w:style>
  <w:style w:type="character" w:styleId="a5">
    <w:name w:val="page number"/>
    <w:basedOn w:val="a0"/>
  </w:style>
  <w:style w:type="character" w:styleId="-">
    <w:name w:val="Hyperlink"/>
    <w:uiPriority w:val="99"/>
    <w:rPr>
      <w:color w:val="0000FF"/>
      <w:u w:val="single"/>
    </w:rPr>
  </w:style>
  <w:style w:type="paragraph" w:styleId="10">
    <w:name w:val="toc 1"/>
    <w:basedOn w:val="a"/>
    <w:next w:val="a"/>
    <w:autoRedefine/>
    <w:uiPriority w:val="39"/>
    <w:qFormat/>
    <w:pPr>
      <w:tabs>
        <w:tab w:val="right" w:leader="dot" w:pos="8296"/>
      </w:tabs>
      <w:ind w:left="180"/>
    </w:pPr>
    <w:rPr>
      <w:noProof/>
    </w:rPr>
  </w:style>
  <w:style w:type="paragraph" w:styleId="20">
    <w:name w:val="toc 2"/>
    <w:basedOn w:val="a"/>
    <w:next w:val="a"/>
    <w:autoRedefine/>
    <w:uiPriority w:val="39"/>
    <w:qFormat/>
    <w:pPr>
      <w:ind w:left="240"/>
    </w:pPr>
  </w:style>
  <w:style w:type="character" w:customStyle="1" w:styleId="1Char">
    <w:name w:val="Επικεφαλίδα 1 Char"/>
    <w:rPr>
      <w:rFonts w:ascii="Arial" w:hAnsi="Arial" w:cs="Arial"/>
      <w:b/>
      <w:bCs/>
      <w:kern w:val="32"/>
      <w:sz w:val="32"/>
      <w:szCs w:val="32"/>
      <w:lang w:val="el-GR" w:eastAsia="el-GR" w:bidi="ar-SA"/>
    </w:rPr>
  </w:style>
  <w:style w:type="paragraph" w:styleId="a6">
    <w:name w:val="caption"/>
    <w:basedOn w:val="a"/>
    <w:next w:val="a"/>
    <w:qFormat/>
    <w:pPr>
      <w:ind w:right="-4440"/>
    </w:pPr>
    <w:rPr>
      <w:b/>
      <w:sz w:val="28"/>
      <w:szCs w:val="20"/>
    </w:rPr>
  </w:style>
  <w:style w:type="paragraph" w:styleId="a7">
    <w:name w:val="Body Text"/>
    <w:basedOn w:val="a"/>
    <w:link w:val="Char1"/>
    <w:semiHidden/>
    <w:pPr>
      <w:jc w:val="both"/>
    </w:pPr>
    <w:rPr>
      <w:rFonts w:ascii="Arial" w:hAnsi="Arial" w:cs="Arial"/>
      <w:b/>
      <w:bCs/>
      <w:i/>
      <w:sz w:val="32"/>
      <w:szCs w:val="32"/>
    </w:rPr>
  </w:style>
  <w:style w:type="character" w:customStyle="1" w:styleId="Char1">
    <w:name w:val="Σώμα κειμένου Char"/>
    <w:link w:val="a7"/>
    <w:semiHidden/>
    <w:rsid w:val="00154433"/>
    <w:rPr>
      <w:rFonts w:ascii="Arial" w:hAnsi="Arial" w:cs="Arial"/>
      <w:b/>
      <w:bCs/>
      <w:i/>
      <w:sz w:val="32"/>
      <w:szCs w:val="32"/>
    </w:rPr>
  </w:style>
  <w:style w:type="character" w:styleId="a8">
    <w:name w:val="Strong"/>
    <w:uiPriority w:val="22"/>
    <w:qFormat/>
    <w:rPr>
      <w:b/>
      <w:bCs/>
    </w:rPr>
  </w:style>
  <w:style w:type="paragraph" w:styleId="Web">
    <w:name w:val="Normal (Web)"/>
    <w:basedOn w:val="a"/>
    <w:uiPriority w:val="99"/>
    <w:semiHidden/>
    <w:pPr>
      <w:spacing w:before="100" w:beforeAutospacing="1" w:after="100" w:afterAutospacing="1"/>
    </w:pPr>
    <w:rPr>
      <w:lang w:val="en-GB" w:eastAsia="en-US"/>
    </w:rPr>
  </w:style>
  <w:style w:type="paragraph" w:styleId="30">
    <w:name w:val="toc 3"/>
    <w:basedOn w:val="a"/>
    <w:next w:val="a"/>
    <w:autoRedefine/>
    <w:uiPriority w:val="39"/>
    <w:qFormat/>
    <w:pPr>
      <w:ind w:left="480"/>
    </w:pPr>
  </w:style>
  <w:style w:type="paragraph" w:styleId="21">
    <w:name w:val="Body Text 2"/>
    <w:basedOn w:val="a"/>
    <w:semiHidden/>
    <w:pPr>
      <w:spacing w:line="360" w:lineRule="auto"/>
      <w:jc w:val="both"/>
    </w:pPr>
  </w:style>
  <w:style w:type="paragraph" w:styleId="a9">
    <w:name w:val="Body Text Indent"/>
    <w:basedOn w:val="a"/>
    <w:semiHidden/>
    <w:pPr>
      <w:spacing w:before="100" w:beforeAutospacing="1" w:after="100" w:afterAutospacing="1" w:line="360" w:lineRule="auto"/>
      <w:ind w:left="360"/>
      <w:jc w:val="both"/>
    </w:pPr>
    <w:rPr>
      <w:rFonts w:ascii="Tahoma" w:eastAsia="Batang" w:hAnsi="Tahoma" w:cs="Tahoma"/>
    </w:rPr>
  </w:style>
  <w:style w:type="paragraph" w:styleId="aa">
    <w:name w:val="header"/>
    <w:basedOn w:val="a"/>
    <w:link w:val="Char2"/>
    <w:uiPriority w:val="99"/>
    <w:pPr>
      <w:tabs>
        <w:tab w:val="center" w:pos="4153"/>
        <w:tab w:val="right" w:pos="8306"/>
      </w:tabs>
    </w:pPr>
  </w:style>
  <w:style w:type="character" w:customStyle="1" w:styleId="Char2">
    <w:name w:val="Κεφαλίδα Char"/>
    <w:link w:val="aa"/>
    <w:uiPriority w:val="99"/>
    <w:rsid w:val="005075B2"/>
    <w:rPr>
      <w:sz w:val="24"/>
      <w:szCs w:val="24"/>
    </w:rPr>
  </w:style>
  <w:style w:type="character" w:styleId="HTML">
    <w:name w:val="HTML Cite"/>
    <w:semiHidden/>
    <w:unhideWhenUsed/>
    <w:rPr>
      <w:i/>
      <w:iCs/>
    </w:rPr>
  </w:style>
  <w:style w:type="paragraph" w:styleId="ab">
    <w:name w:val="footnote text"/>
    <w:aliases w:val=" Char"/>
    <w:basedOn w:val="a"/>
    <w:link w:val="Char3"/>
    <w:uiPriority w:val="99"/>
    <w:semiHidden/>
    <w:rPr>
      <w:sz w:val="20"/>
      <w:szCs w:val="20"/>
    </w:rPr>
  </w:style>
  <w:style w:type="character" w:styleId="ac">
    <w:name w:val="footnote reference"/>
    <w:uiPriority w:val="99"/>
    <w:semiHidden/>
    <w:rPr>
      <w:vertAlign w:val="superscript"/>
    </w:rPr>
  </w:style>
  <w:style w:type="character" w:styleId="ad">
    <w:name w:val="Emphasis"/>
    <w:qFormat/>
    <w:rPr>
      <w:i/>
      <w:iCs/>
    </w:rPr>
  </w:style>
  <w:style w:type="paragraph" w:styleId="ae">
    <w:name w:val="List Paragraph"/>
    <w:basedOn w:val="a"/>
    <w:uiPriority w:val="34"/>
    <w:qFormat/>
    <w:pPr>
      <w:ind w:left="720"/>
    </w:pPr>
  </w:style>
  <w:style w:type="character" w:styleId="af">
    <w:name w:val="annotation reference"/>
    <w:uiPriority w:val="99"/>
    <w:semiHidden/>
    <w:rPr>
      <w:sz w:val="16"/>
      <w:szCs w:val="16"/>
    </w:rPr>
  </w:style>
  <w:style w:type="paragraph" w:styleId="af0">
    <w:name w:val="annotation text"/>
    <w:basedOn w:val="a"/>
    <w:link w:val="Char4"/>
    <w:uiPriority w:val="99"/>
    <w:semiHidden/>
    <w:rPr>
      <w:sz w:val="20"/>
      <w:szCs w:val="20"/>
    </w:rPr>
  </w:style>
  <w:style w:type="paragraph" w:styleId="22">
    <w:name w:val="Body Text Indent 2"/>
    <w:basedOn w:val="a"/>
    <w:semiHidden/>
    <w:pPr>
      <w:spacing w:line="360" w:lineRule="auto"/>
      <w:ind w:left="360" w:firstLine="360"/>
      <w:jc w:val="both"/>
    </w:pPr>
  </w:style>
  <w:style w:type="paragraph" w:styleId="31">
    <w:name w:val="Body Text Indent 3"/>
    <w:basedOn w:val="a"/>
    <w:semiHidden/>
    <w:pPr>
      <w:spacing w:line="360" w:lineRule="auto"/>
      <w:ind w:firstLine="720"/>
      <w:jc w:val="both"/>
    </w:pPr>
  </w:style>
  <w:style w:type="character" w:styleId="-0">
    <w:name w:val="FollowedHyperlink"/>
    <w:semiHidden/>
    <w:rPr>
      <w:color w:val="800080"/>
      <w:u w:val="single"/>
    </w:rPr>
  </w:style>
  <w:style w:type="character" w:customStyle="1" w:styleId="hps">
    <w:name w:val="hps"/>
    <w:basedOn w:val="a0"/>
  </w:style>
  <w:style w:type="character" w:customStyle="1" w:styleId="st">
    <w:name w:val="st"/>
    <w:basedOn w:val="a0"/>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hpsatn">
    <w:name w:val="hps atn"/>
    <w:basedOn w:val="a0"/>
  </w:style>
  <w:style w:type="character" w:customStyle="1" w:styleId="CharChar2">
    <w:name w:val="Char Char2"/>
    <w:rPr>
      <w:b/>
      <w:i/>
      <w:sz w:val="24"/>
      <w:lang w:val="el-GR" w:eastAsia="el-GR" w:bidi="ar-SA"/>
    </w:rPr>
  </w:style>
  <w:style w:type="paragraph" w:styleId="af2">
    <w:name w:val="table of figures"/>
    <w:aliases w:val="Πίνακας Γραφημάτων"/>
    <w:basedOn w:val="a"/>
    <w:next w:val="a"/>
    <w:semiHidden/>
  </w:style>
  <w:style w:type="character" w:customStyle="1" w:styleId="CharChar">
    <w:name w:val="Char Char"/>
    <w:basedOn w:val="a0"/>
    <w:semiHidden/>
  </w:style>
  <w:style w:type="character" w:customStyle="1" w:styleId="CharChar1">
    <w:name w:val="Char Char1"/>
    <w:rPr>
      <w:sz w:val="24"/>
      <w:szCs w:val="24"/>
    </w:rPr>
  </w:style>
  <w:style w:type="character" w:customStyle="1" w:styleId="journalname">
    <w:name w:val="journalname"/>
    <w:basedOn w:val="a0"/>
  </w:style>
  <w:style w:type="character" w:customStyle="1" w:styleId="volume">
    <w:name w:val="volume"/>
    <w:basedOn w:val="a0"/>
  </w:style>
  <w:style w:type="character" w:customStyle="1" w:styleId="issue">
    <w:name w:val="issue"/>
    <w:basedOn w:val="a0"/>
  </w:style>
  <w:style w:type="character" w:customStyle="1" w:styleId="year">
    <w:name w:val="year"/>
    <w:basedOn w:val="a0"/>
  </w:style>
  <w:style w:type="table" w:styleId="af3">
    <w:name w:val="Table Grid"/>
    <w:basedOn w:val="a1"/>
    <w:uiPriority w:val="59"/>
    <w:rsid w:val="007248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1"/>
    <w:next w:val="af3"/>
    <w:uiPriority w:val="59"/>
    <w:rsid w:val="00065B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63E8A"/>
  </w:style>
  <w:style w:type="paragraph" w:styleId="40">
    <w:name w:val="toc 4"/>
    <w:basedOn w:val="a"/>
    <w:next w:val="a"/>
    <w:autoRedefine/>
    <w:uiPriority w:val="39"/>
    <w:unhideWhenUsed/>
    <w:rsid w:val="00F07A2C"/>
    <w:pPr>
      <w:spacing w:after="100" w:line="276" w:lineRule="auto"/>
      <w:ind w:left="660"/>
    </w:pPr>
    <w:rPr>
      <w:rFonts w:ascii="Calibri" w:hAnsi="Calibri"/>
      <w:sz w:val="22"/>
      <w:szCs w:val="22"/>
    </w:rPr>
  </w:style>
  <w:style w:type="paragraph" w:styleId="50">
    <w:name w:val="toc 5"/>
    <w:basedOn w:val="a"/>
    <w:next w:val="a"/>
    <w:autoRedefine/>
    <w:uiPriority w:val="39"/>
    <w:unhideWhenUsed/>
    <w:rsid w:val="00F07A2C"/>
    <w:pPr>
      <w:spacing w:after="100" w:line="276" w:lineRule="auto"/>
      <w:ind w:left="880"/>
    </w:pPr>
    <w:rPr>
      <w:rFonts w:ascii="Calibri" w:hAnsi="Calibri"/>
      <w:sz w:val="22"/>
      <w:szCs w:val="22"/>
    </w:rPr>
  </w:style>
  <w:style w:type="paragraph" w:styleId="60">
    <w:name w:val="toc 6"/>
    <w:basedOn w:val="a"/>
    <w:next w:val="a"/>
    <w:autoRedefine/>
    <w:uiPriority w:val="39"/>
    <w:unhideWhenUsed/>
    <w:rsid w:val="00F07A2C"/>
    <w:pPr>
      <w:spacing w:after="100" w:line="276" w:lineRule="auto"/>
      <w:ind w:left="1100"/>
    </w:pPr>
    <w:rPr>
      <w:rFonts w:ascii="Calibri" w:hAnsi="Calibri"/>
      <w:sz w:val="22"/>
      <w:szCs w:val="22"/>
    </w:rPr>
  </w:style>
  <w:style w:type="paragraph" w:styleId="70">
    <w:name w:val="toc 7"/>
    <w:basedOn w:val="a"/>
    <w:next w:val="a"/>
    <w:autoRedefine/>
    <w:uiPriority w:val="39"/>
    <w:unhideWhenUsed/>
    <w:rsid w:val="00F07A2C"/>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F07A2C"/>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F07A2C"/>
    <w:pPr>
      <w:spacing w:after="100" w:line="276" w:lineRule="auto"/>
      <w:ind w:left="1760"/>
    </w:pPr>
    <w:rPr>
      <w:rFonts w:ascii="Calibri" w:hAnsi="Calibri"/>
      <w:sz w:val="22"/>
      <w:szCs w:val="22"/>
    </w:rPr>
  </w:style>
  <w:style w:type="paragraph" w:styleId="af4">
    <w:name w:val="No Spacing"/>
    <w:uiPriority w:val="1"/>
    <w:qFormat/>
    <w:rsid w:val="00E37C62"/>
    <w:rPr>
      <w:rFonts w:ascii="Calibri" w:hAnsi="Calibri"/>
      <w:sz w:val="22"/>
      <w:szCs w:val="22"/>
    </w:rPr>
  </w:style>
  <w:style w:type="character" w:styleId="af5">
    <w:name w:val="Placeholder Text"/>
    <w:uiPriority w:val="99"/>
    <w:semiHidden/>
    <w:rsid w:val="007719BD"/>
    <w:rPr>
      <w:color w:val="808080"/>
    </w:rPr>
  </w:style>
  <w:style w:type="character" w:customStyle="1" w:styleId="atn">
    <w:name w:val="atn"/>
    <w:basedOn w:val="a0"/>
    <w:rsid w:val="005075B2"/>
  </w:style>
  <w:style w:type="character" w:customStyle="1" w:styleId="longtext">
    <w:name w:val="long_text"/>
    <w:basedOn w:val="a0"/>
    <w:rsid w:val="005075B2"/>
  </w:style>
  <w:style w:type="character" w:customStyle="1" w:styleId="hpsalt-edited">
    <w:name w:val="hps alt-edited"/>
    <w:basedOn w:val="a0"/>
    <w:rsid w:val="005075B2"/>
  </w:style>
  <w:style w:type="paragraph" w:customStyle="1" w:styleId="Style3">
    <w:name w:val="Style3"/>
    <w:basedOn w:val="a"/>
    <w:rsid w:val="005075B2"/>
    <w:pPr>
      <w:widowControl w:val="0"/>
      <w:autoSpaceDE w:val="0"/>
      <w:autoSpaceDN w:val="0"/>
      <w:adjustRightInd w:val="0"/>
      <w:spacing w:line="319" w:lineRule="exact"/>
      <w:jc w:val="both"/>
    </w:pPr>
    <w:rPr>
      <w:rFonts w:ascii="Segoe UI" w:hAnsi="Segoe UI"/>
    </w:rPr>
  </w:style>
  <w:style w:type="character" w:customStyle="1" w:styleId="FontStyle30">
    <w:name w:val="Font Style30"/>
    <w:rsid w:val="005075B2"/>
    <w:rPr>
      <w:rFonts w:ascii="Segoe UI" w:hAnsi="Segoe UI" w:cs="Segoe UI"/>
      <w:sz w:val="18"/>
      <w:szCs w:val="18"/>
    </w:rPr>
  </w:style>
  <w:style w:type="paragraph" w:customStyle="1" w:styleId="Style2">
    <w:name w:val="Style2"/>
    <w:basedOn w:val="a"/>
    <w:rsid w:val="005075B2"/>
    <w:pPr>
      <w:widowControl w:val="0"/>
      <w:autoSpaceDE w:val="0"/>
      <w:autoSpaceDN w:val="0"/>
      <w:adjustRightInd w:val="0"/>
      <w:spacing w:line="158" w:lineRule="exact"/>
      <w:jc w:val="both"/>
    </w:pPr>
    <w:rPr>
      <w:rFonts w:ascii="Segoe UI" w:hAnsi="Segoe UI"/>
    </w:rPr>
  </w:style>
  <w:style w:type="paragraph" w:customStyle="1" w:styleId="Style7">
    <w:name w:val="Style7"/>
    <w:basedOn w:val="a"/>
    <w:rsid w:val="005075B2"/>
    <w:pPr>
      <w:widowControl w:val="0"/>
      <w:autoSpaceDE w:val="0"/>
      <w:autoSpaceDN w:val="0"/>
      <w:adjustRightInd w:val="0"/>
    </w:pPr>
    <w:rPr>
      <w:rFonts w:ascii="Segoe UI" w:hAnsi="Segoe UI"/>
    </w:rPr>
  </w:style>
  <w:style w:type="character" w:customStyle="1" w:styleId="FontStyle17">
    <w:name w:val="Font Style17"/>
    <w:rsid w:val="005075B2"/>
    <w:rPr>
      <w:rFonts w:ascii="Segoe UI" w:hAnsi="Segoe UI" w:cs="Segoe UI"/>
      <w:b/>
      <w:bCs/>
      <w:sz w:val="12"/>
      <w:szCs w:val="12"/>
    </w:rPr>
  </w:style>
  <w:style w:type="character" w:customStyle="1" w:styleId="FontStyle19">
    <w:name w:val="Font Style19"/>
    <w:rsid w:val="005075B2"/>
    <w:rPr>
      <w:rFonts w:ascii="Segoe UI" w:hAnsi="Segoe UI" w:cs="Segoe UI"/>
      <w:b/>
      <w:bCs/>
      <w:sz w:val="16"/>
      <w:szCs w:val="16"/>
    </w:rPr>
  </w:style>
  <w:style w:type="character" w:customStyle="1" w:styleId="FontStyle25">
    <w:name w:val="Font Style25"/>
    <w:rsid w:val="005075B2"/>
    <w:rPr>
      <w:rFonts w:ascii="Segoe UI" w:hAnsi="Segoe UI" w:cs="Segoe UI"/>
      <w:b/>
      <w:bCs/>
      <w:sz w:val="12"/>
      <w:szCs w:val="12"/>
    </w:rPr>
  </w:style>
  <w:style w:type="paragraph" w:customStyle="1" w:styleId="Style6">
    <w:name w:val="Style6"/>
    <w:basedOn w:val="a"/>
    <w:rsid w:val="005075B2"/>
    <w:pPr>
      <w:widowControl w:val="0"/>
      <w:autoSpaceDE w:val="0"/>
      <w:autoSpaceDN w:val="0"/>
      <w:adjustRightInd w:val="0"/>
      <w:spacing w:line="197" w:lineRule="exact"/>
      <w:jc w:val="both"/>
    </w:pPr>
    <w:rPr>
      <w:rFonts w:ascii="Segoe UI" w:hAnsi="Segoe UI"/>
    </w:rPr>
  </w:style>
  <w:style w:type="character" w:customStyle="1" w:styleId="FontStyle27">
    <w:name w:val="Font Style27"/>
    <w:rsid w:val="005075B2"/>
    <w:rPr>
      <w:rFonts w:ascii="Cambria" w:hAnsi="Cambria" w:cs="Cambria"/>
      <w:b/>
      <w:bCs/>
      <w:sz w:val="14"/>
      <w:szCs w:val="14"/>
    </w:rPr>
  </w:style>
  <w:style w:type="character" w:customStyle="1" w:styleId="FontStyle28">
    <w:name w:val="Font Style28"/>
    <w:rsid w:val="005075B2"/>
    <w:rPr>
      <w:rFonts w:ascii="Segoe UI" w:hAnsi="Segoe UI" w:cs="Segoe UI"/>
      <w:sz w:val="14"/>
      <w:szCs w:val="14"/>
    </w:rPr>
  </w:style>
  <w:style w:type="character" w:customStyle="1" w:styleId="FontStyle15">
    <w:name w:val="Font Style15"/>
    <w:rsid w:val="005075B2"/>
    <w:rPr>
      <w:rFonts w:ascii="Segoe UI" w:hAnsi="Segoe UI" w:cs="Segoe UI"/>
      <w:sz w:val="18"/>
      <w:szCs w:val="18"/>
    </w:rPr>
  </w:style>
  <w:style w:type="table" w:customStyle="1" w:styleId="32">
    <w:name w:val="Πλέγμα πίνακα3"/>
    <w:basedOn w:val="a1"/>
    <w:next w:val="af3"/>
    <w:rsid w:val="00507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Κείμενο υποσημείωσης Char"/>
    <w:aliases w:val=" Char Char"/>
    <w:basedOn w:val="a0"/>
    <w:link w:val="ab"/>
    <w:uiPriority w:val="99"/>
    <w:semiHidden/>
    <w:rsid w:val="006572C3"/>
  </w:style>
  <w:style w:type="character" w:customStyle="1" w:styleId="3Char">
    <w:name w:val="Επικεφαλίδα 3 Char"/>
    <w:basedOn w:val="a0"/>
    <w:link w:val="3"/>
    <w:rsid w:val="00022B4A"/>
    <w:rPr>
      <w:b/>
      <w:bCs/>
      <w:sz w:val="27"/>
      <w:szCs w:val="27"/>
      <w:lang w:val="en-GB" w:eastAsia="en-US"/>
    </w:rPr>
  </w:style>
  <w:style w:type="character" w:customStyle="1" w:styleId="FootnoteCharacters">
    <w:name w:val="Footnote Characters"/>
    <w:rsid w:val="00F83D84"/>
    <w:rPr>
      <w:vertAlign w:val="superscript"/>
    </w:rPr>
  </w:style>
  <w:style w:type="paragraph" w:styleId="af6">
    <w:name w:val="List"/>
    <w:basedOn w:val="a7"/>
    <w:rsid w:val="00F83D84"/>
    <w:pPr>
      <w:suppressAutoHyphens/>
      <w:autoSpaceDE w:val="0"/>
    </w:pPr>
    <w:rPr>
      <w:rFonts w:ascii="TimesNewRomanPSMT" w:hAnsi="TimesNewRomanPSMT" w:cs="Times New Roman"/>
      <w:b w:val="0"/>
      <w:bCs w:val="0"/>
      <w:i w:val="0"/>
      <w:sz w:val="24"/>
      <w:szCs w:val="24"/>
      <w:lang w:val="en-GB" w:eastAsia="ar-SA"/>
    </w:rPr>
  </w:style>
  <w:style w:type="character" w:customStyle="1" w:styleId="citation">
    <w:name w:val="citation"/>
    <w:basedOn w:val="a0"/>
    <w:rsid w:val="003C1734"/>
  </w:style>
  <w:style w:type="character" w:customStyle="1" w:styleId="mw-cite-backlink">
    <w:name w:val="mw-cite-backlink"/>
    <w:basedOn w:val="a0"/>
    <w:rsid w:val="003C1734"/>
  </w:style>
  <w:style w:type="character" w:customStyle="1" w:styleId="cite-accessibility-label">
    <w:name w:val="cite-accessibility-label"/>
    <w:basedOn w:val="a0"/>
    <w:rsid w:val="003C1734"/>
  </w:style>
  <w:style w:type="character" w:customStyle="1" w:styleId="Char4">
    <w:name w:val="Κείμενο σχολίου Char"/>
    <w:basedOn w:val="a0"/>
    <w:link w:val="af0"/>
    <w:uiPriority w:val="99"/>
    <w:semiHidden/>
    <w:rsid w:val="00C360FC"/>
  </w:style>
  <w:style w:type="paragraph" w:customStyle="1" w:styleId="Standard">
    <w:name w:val="Standard"/>
    <w:rsid w:val="006436E9"/>
    <w:pPr>
      <w:widowControl w:val="0"/>
      <w:suppressAutoHyphens/>
      <w:autoSpaceDN w:val="0"/>
      <w:textAlignment w:val="baseline"/>
    </w:pPr>
    <w:rPr>
      <w:rFonts w:eastAsia="SimSun" w:cs="Mangal"/>
      <w:kern w:val="3"/>
      <w:sz w:val="24"/>
      <w:szCs w:val="24"/>
      <w:lang w:eastAsia="zh-CN" w:bidi="hi-IN"/>
    </w:rPr>
  </w:style>
  <w:style w:type="numbering" w:customStyle="1" w:styleId="RTFNum2">
    <w:name w:val="RTF_Num 2"/>
    <w:basedOn w:val="a2"/>
    <w:rsid w:val="006436E9"/>
    <w:pPr>
      <w:numPr>
        <w:numId w:val="1"/>
      </w:numPr>
    </w:pPr>
  </w:style>
  <w:style w:type="table" w:customStyle="1" w:styleId="110">
    <w:name w:val="Μεσαία σκίαση 11"/>
    <w:basedOn w:val="a1"/>
    <w:uiPriority w:val="63"/>
    <w:rsid w:val="00052D35"/>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f7">
    <w:name w:val="endnote text"/>
    <w:basedOn w:val="a"/>
    <w:link w:val="Char5"/>
    <w:uiPriority w:val="99"/>
    <w:semiHidden/>
    <w:unhideWhenUsed/>
    <w:rsid w:val="00052D35"/>
    <w:rPr>
      <w:rFonts w:asciiTheme="minorHAnsi" w:eastAsiaTheme="minorHAnsi" w:hAnsiTheme="minorHAnsi" w:cstheme="minorBidi"/>
      <w:sz w:val="20"/>
      <w:szCs w:val="20"/>
      <w:lang w:eastAsia="en-US"/>
    </w:rPr>
  </w:style>
  <w:style w:type="character" w:customStyle="1" w:styleId="Char5">
    <w:name w:val="Κείμενο σημείωσης τέλους Char"/>
    <w:basedOn w:val="a0"/>
    <w:link w:val="af7"/>
    <w:uiPriority w:val="99"/>
    <w:semiHidden/>
    <w:rsid w:val="00052D35"/>
    <w:rPr>
      <w:rFonts w:asciiTheme="minorHAnsi" w:eastAsiaTheme="minorHAnsi" w:hAnsiTheme="minorHAnsi" w:cstheme="minorBidi"/>
      <w:lang w:eastAsia="en-US"/>
    </w:rPr>
  </w:style>
  <w:style w:type="character" w:styleId="af8">
    <w:name w:val="endnote reference"/>
    <w:basedOn w:val="a0"/>
    <w:uiPriority w:val="99"/>
    <w:semiHidden/>
    <w:unhideWhenUsed/>
    <w:rsid w:val="00052D35"/>
    <w:rPr>
      <w:vertAlign w:val="superscript"/>
    </w:rPr>
  </w:style>
  <w:style w:type="table" w:customStyle="1" w:styleId="12">
    <w:name w:val="Ανοιχτόχρωμο πλέγμα1"/>
    <w:basedOn w:val="a1"/>
    <w:uiPriority w:val="62"/>
    <w:rsid w:val="009C5700"/>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3">
    <w:name w:val="P3"/>
    <w:basedOn w:val="a"/>
    <w:hidden/>
    <w:rsid w:val="00EE6E12"/>
    <w:pPr>
      <w:widowControl w:val="0"/>
      <w:adjustRightInd w:val="0"/>
      <w:spacing w:after="120"/>
    </w:pPr>
    <w:rPr>
      <w:rFonts w:eastAsia="Arial1" w:cs="Tahoma"/>
      <w:szCs w:val="20"/>
    </w:rPr>
  </w:style>
  <w:style w:type="paragraph" w:customStyle="1" w:styleId="P4">
    <w:name w:val="P4"/>
    <w:basedOn w:val="a"/>
    <w:hidden/>
    <w:rsid w:val="00EE6E12"/>
    <w:pPr>
      <w:widowControl w:val="0"/>
      <w:adjustRightInd w:val="0"/>
      <w:spacing w:after="120"/>
    </w:pPr>
    <w:rPr>
      <w:rFonts w:eastAsia="Arial1" w:cs="Tahoma"/>
      <w:szCs w:val="20"/>
    </w:rPr>
  </w:style>
  <w:style w:type="paragraph" w:customStyle="1" w:styleId="P7">
    <w:name w:val="P7"/>
    <w:basedOn w:val="a"/>
    <w:hidden/>
    <w:rsid w:val="00EE6E12"/>
    <w:pPr>
      <w:widowControl w:val="0"/>
      <w:adjustRightInd w:val="0"/>
      <w:spacing w:after="120"/>
    </w:pPr>
    <w:rPr>
      <w:rFonts w:eastAsia="Arial1" w:cs="Tahoma"/>
      <w:szCs w:val="20"/>
    </w:rPr>
  </w:style>
  <w:style w:type="character" w:customStyle="1" w:styleId="T2">
    <w:name w:val="T2"/>
    <w:hidden/>
    <w:rsid w:val="00EE6E12"/>
  </w:style>
  <w:style w:type="character" w:customStyle="1" w:styleId="T4">
    <w:name w:val="T4"/>
    <w:hidden/>
    <w:rsid w:val="00EE6E12"/>
  </w:style>
  <w:style w:type="paragraph" w:styleId="af9">
    <w:name w:val="annotation subject"/>
    <w:basedOn w:val="af0"/>
    <w:next w:val="af0"/>
    <w:link w:val="Char6"/>
    <w:uiPriority w:val="99"/>
    <w:semiHidden/>
    <w:unhideWhenUsed/>
    <w:rsid w:val="00EC0474"/>
    <w:rPr>
      <w:b/>
      <w:bCs/>
    </w:rPr>
  </w:style>
  <w:style w:type="character" w:customStyle="1" w:styleId="Char6">
    <w:name w:val="Θέμα σχολίου Char"/>
    <w:basedOn w:val="Char4"/>
    <w:link w:val="af9"/>
    <w:uiPriority w:val="99"/>
    <w:semiHidden/>
    <w:rsid w:val="00EC0474"/>
    <w:rPr>
      <w:b/>
      <w:bCs/>
    </w:rPr>
  </w:style>
  <w:style w:type="table" w:customStyle="1" w:styleId="23">
    <w:name w:val="Πλέγμα πίνακα2"/>
    <w:basedOn w:val="a1"/>
    <w:next w:val="af3"/>
    <w:uiPriority w:val="59"/>
    <w:rsid w:val="00197B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1"/>
    <w:uiPriority w:val="66"/>
    <w:rsid w:val="00573E3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
    <w:name w:val="Κείμενο πλαισίου Char"/>
    <w:basedOn w:val="a0"/>
    <w:link w:val="a3"/>
    <w:uiPriority w:val="99"/>
    <w:semiHidden/>
    <w:rsid w:val="009F7E1A"/>
    <w:rPr>
      <w:rFonts w:ascii="Tahoma" w:hAnsi="Tahoma" w:cs="Tahoma"/>
      <w:sz w:val="16"/>
      <w:szCs w:val="16"/>
    </w:rPr>
  </w:style>
  <w:style w:type="character" w:styleId="afa">
    <w:name w:val="Subtle Emphasis"/>
    <w:uiPriority w:val="19"/>
    <w:qFormat/>
    <w:rsid w:val="00D4417C"/>
    <w:rPr>
      <w:i/>
      <w:iCs/>
      <w:color w:val="5A5A5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E4513"/>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link w:val="2Char"/>
    <w:qFormat/>
    <w:pPr>
      <w:keepNext/>
      <w:spacing w:before="240" w:after="60"/>
      <w:outlineLvl w:val="1"/>
    </w:pPr>
    <w:rPr>
      <w:rFonts w:ascii="Arial" w:hAnsi="Arial" w:cs="Arial"/>
      <w:b/>
      <w:bCs/>
      <w:i/>
      <w:iCs/>
      <w:sz w:val="28"/>
      <w:szCs w:val="28"/>
    </w:rPr>
  </w:style>
  <w:style w:type="paragraph" w:styleId="3">
    <w:name w:val="heading 3"/>
    <w:basedOn w:val="a"/>
    <w:link w:val="3Char"/>
    <w:qFormat/>
    <w:pPr>
      <w:spacing w:before="100" w:beforeAutospacing="1" w:after="100" w:afterAutospacing="1"/>
      <w:outlineLvl w:val="2"/>
    </w:pPr>
    <w:rPr>
      <w:b/>
      <w:bCs/>
      <w:sz w:val="27"/>
      <w:szCs w:val="27"/>
      <w:lang w:val="en-GB" w:eastAsia="en-US"/>
    </w:rPr>
  </w:style>
  <w:style w:type="paragraph" w:styleId="4">
    <w:name w:val="heading 4"/>
    <w:basedOn w:val="a"/>
    <w:next w:val="a"/>
    <w:qFormat/>
    <w:pPr>
      <w:keepNext/>
      <w:outlineLvl w:val="3"/>
    </w:pPr>
    <w:rPr>
      <w:b/>
      <w:szCs w:val="20"/>
    </w:rPr>
  </w:style>
  <w:style w:type="paragraph" w:styleId="5">
    <w:name w:val="heading 5"/>
    <w:basedOn w:val="a"/>
    <w:next w:val="a"/>
    <w:qFormat/>
    <w:pPr>
      <w:keepNext/>
      <w:jc w:val="center"/>
      <w:outlineLvl w:val="4"/>
    </w:pPr>
    <w:rPr>
      <w:b/>
      <w:i/>
      <w:szCs w:val="20"/>
    </w:rPr>
  </w:style>
  <w:style w:type="paragraph" w:styleId="6">
    <w:name w:val="heading 6"/>
    <w:basedOn w:val="a"/>
    <w:next w:val="a"/>
    <w:qFormat/>
    <w:pPr>
      <w:keepNext/>
      <w:spacing w:line="360" w:lineRule="auto"/>
      <w:ind w:left="360"/>
      <w:jc w:val="both"/>
      <w:outlineLvl w:val="5"/>
    </w:pPr>
    <w:rPr>
      <w:b/>
      <w:bCs/>
      <w:u w:val="single"/>
    </w:rPr>
  </w:style>
  <w:style w:type="paragraph" w:styleId="7">
    <w:name w:val="heading 7"/>
    <w:basedOn w:val="a"/>
    <w:next w:val="a"/>
    <w:qFormat/>
    <w:pPr>
      <w:keepNext/>
      <w:spacing w:line="360" w:lineRule="auto"/>
      <w:jc w:val="both"/>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065BB8"/>
    <w:rPr>
      <w:rFonts w:ascii="Arial" w:hAnsi="Arial" w:cs="Arial"/>
      <w:b/>
      <w:bCs/>
      <w:i/>
      <w:iCs/>
      <w:sz w:val="28"/>
      <w:szCs w:val="28"/>
    </w:rPr>
  </w:style>
  <w:style w:type="paragraph" w:customStyle="1" w:styleId="Default">
    <w:name w:val="Default"/>
    <w:pPr>
      <w:autoSpaceDE w:val="0"/>
      <w:autoSpaceDN w:val="0"/>
      <w:adjustRightInd w:val="0"/>
    </w:pPr>
    <w:rPr>
      <w:color w:val="000000"/>
      <w:sz w:val="24"/>
      <w:szCs w:val="24"/>
    </w:rPr>
  </w:style>
  <w:style w:type="paragraph" w:styleId="a3">
    <w:name w:val="Balloon Text"/>
    <w:basedOn w:val="a"/>
    <w:link w:val="Char"/>
    <w:uiPriority w:val="99"/>
    <w:semiHidden/>
    <w:rPr>
      <w:rFonts w:ascii="Tahoma" w:hAnsi="Tahoma" w:cs="Tahoma"/>
      <w:sz w:val="16"/>
      <w:szCs w:val="16"/>
    </w:rPr>
  </w:style>
  <w:style w:type="paragraph" w:styleId="a4">
    <w:name w:val="footer"/>
    <w:basedOn w:val="a"/>
    <w:link w:val="Char0"/>
    <w:uiPriority w:val="99"/>
    <w:pPr>
      <w:tabs>
        <w:tab w:val="center" w:pos="4153"/>
        <w:tab w:val="right" w:pos="8306"/>
      </w:tabs>
    </w:pPr>
  </w:style>
  <w:style w:type="character" w:customStyle="1" w:styleId="Char0">
    <w:name w:val="Υποσέλιδο Char"/>
    <w:link w:val="a4"/>
    <w:uiPriority w:val="99"/>
    <w:rsid w:val="005075B2"/>
    <w:rPr>
      <w:sz w:val="24"/>
      <w:szCs w:val="24"/>
    </w:rPr>
  </w:style>
  <w:style w:type="character" w:styleId="a5">
    <w:name w:val="page number"/>
    <w:basedOn w:val="a0"/>
  </w:style>
  <w:style w:type="character" w:styleId="-">
    <w:name w:val="Hyperlink"/>
    <w:uiPriority w:val="99"/>
    <w:rPr>
      <w:color w:val="0000FF"/>
      <w:u w:val="single"/>
    </w:rPr>
  </w:style>
  <w:style w:type="paragraph" w:styleId="10">
    <w:name w:val="toc 1"/>
    <w:basedOn w:val="a"/>
    <w:next w:val="a"/>
    <w:autoRedefine/>
    <w:uiPriority w:val="39"/>
    <w:qFormat/>
    <w:pPr>
      <w:tabs>
        <w:tab w:val="right" w:leader="dot" w:pos="8296"/>
      </w:tabs>
      <w:ind w:left="180"/>
    </w:pPr>
    <w:rPr>
      <w:noProof/>
    </w:rPr>
  </w:style>
  <w:style w:type="paragraph" w:styleId="20">
    <w:name w:val="toc 2"/>
    <w:basedOn w:val="a"/>
    <w:next w:val="a"/>
    <w:autoRedefine/>
    <w:uiPriority w:val="39"/>
    <w:qFormat/>
    <w:pPr>
      <w:ind w:left="240"/>
    </w:pPr>
  </w:style>
  <w:style w:type="character" w:customStyle="1" w:styleId="1Char">
    <w:name w:val="Επικεφαλίδα 1 Char"/>
    <w:rPr>
      <w:rFonts w:ascii="Arial" w:hAnsi="Arial" w:cs="Arial"/>
      <w:b/>
      <w:bCs/>
      <w:kern w:val="32"/>
      <w:sz w:val="32"/>
      <w:szCs w:val="32"/>
      <w:lang w:val="el-GR" w:eastAsia="el-GR" w:bidi="ar-SA"/>
    </w:rPr>
  </w:style>
  <w:style w:type="paragraph" w:styleId="a6">
    <w:name w:val="caption"/>
    <w:basedOn w:val="a"/>
    <w:next w:val="a"/>
    <w:qFormat/>
    <w:pPr>
      <w:ind w:right="-4440"/>
    </w:pPr>
    <w:rPr>
      <w:b/>
      <w:sz w:val="28"/>
      <w:szCs w:val="20"/>
    </w:rPr>
  </w:style>
  <w:style w:type="paragraph" w:styleId="a7">
    <w:name w:val="Body Text"/>
    <w:basedOn w:val="a"/>
    <w:link w:val="Char1"/>
    <w:semiHidden/>
    <w:pPr>
      <w:jc w:val="both"/>
    </w:pPr>
    <w:rPr>
      <w:rFonts w:ascii="Arial" w:hAnsi="Arial" w:cs="Arial"/>
      <w:b/>
      <w:bCs/>
      <w:i/>
      <w:sz w:val="32"/>
      <w:szCs w:val="32"/>
    </w:rPr>
  </w:style>
  <w:style w:type="character" w:customStyle="1" w:styleId="Char1">
    <w:name w:val="Σώμα κειμένου Char"/>
    <w:link w:val="a7"/>
    <w:semiHidden/>
    <w:rsid w:val="00154433"/>
    <w:rPr>
      <w:rFonts w:ascii="Arial" w:hAnsi="Arial" w:cs="Arial"/>
      <w:b/>
      <w:bCs/>
      <w:i/>
      <w:sz w:val="32"/>
      <w:szCs w:val="32"/>
    </w:rPr>
  </w:style>
  <w:style w:type="character" w:styleId="a8">
    <w:name w:val="Strong"/>
    <w:uiPriority w:val="22"/>
    <w:qFormat/>
    <w:rPr>
      <w:b/>
      <w:bCs/>
    </w:rPr>
  </w:style>
  <w:style w:type="paragraph" w:styleId="Web">
    <w:name w:val="Normal (Web)"/>
    <w:basedOn w:val="a"/>
    <w:uiPriority w:val="99"/>
    <w:semiHidden/>
    <w:pPr>
      <w:spacing w:before="100" w:beforeAutospacing="1" w:after="100" w:afterAutospacing="1"/>
    </w:pPr>
    <w:rPr>
      <w:lang w:val="en-GB" w:eastAsia="en-US"/>
    </w:rPr>
  </w:style>
  <w:style w:type="paragraph" w:styleId="30">
    <w:name w:val="toc 3"/>
    <w:basedOn w:val="a"/>
    <w:next w:val="a"/>
    <w:autoRedefine/>
    <w:uiPriority w:val="39"/>
    <w:qFormat/>
    <w:pPr>
      <w:ind w:left="480"/>
    </w:pPr>
  </w:style>
  <w:style w:type="paragraph" w:styleId="21">
    <w:name w:val="Body Text 2"/>
    <w:basedOn w:val="a"/>
    <w:semiHidden/>
    <w:pPr>
      <w:spacing w:line="360" w:lineRule="auto"/>
      <w:jc w:val="both"/>
    </w:pPr>
  </w:style>
  <w:style w:type="paragraph" w:styleId="a9">
    <w:name w:val="Body Text Indent"/>
    <w:basedOn w:val="a"/>
    <w:semiHidden/>
    <w:pPr>
      <w:spacing w:before="100" w:beforeAutospacing="1" w:after="100" w:afterAutospacing="1" w:line="360" w:lineRule="auto"/>
      <w:ind w:left="360"/>
      <w:jc w:val="both"/>
    </w:pPr>
    <w:rPr>
      <w:rFonts w:ascii="Tahoma" w:eastAsia="Batang" w:hAnsi="Tahoma" w:cs="Tahoma"/>
    </w:rPr>
  </w:style>
  <w:style w:type="paragraph" w:styleId="aa">
    <w:name w:val="header"/>
    <w:basedOn w:val="a"/>
    <w:link w:val="Char2"/>
    <w:uiPriority w:val="99"/>
    <w:pPr>
      <w:tabs>
        <w:tab w:val="center" w:pos="4153"/>
        <w:tab w:val="right" w:pos="8306"/>
      </w:tabs>
    </w:pPr>
  </w:style>
  <w:style w:type="character" w:customStyle="1" w:styleId="Char2">
    <w:name w:val="Κεφαλίδα Char"/>
    <w:link w:val="aa"/>
    <w:uiPriority w:val="99"/>
    <w:rsid w:val="005075B2"/>
    <w:rPr>
      <w:sz w:val="24"/>
      <w:szCs w:val="24"/>
    </w:rPr>
  </w:style>
  <w:style w:type="character" w:styleId="HTML">
    <w:name w:val="HTML Cite"/>
    <w:semiHidden/>
    <w:unhideWhenUsed/>
    <w:rPr>
      <w:i/>
      <w:iCs/>
    </w:rPr>
  </w:style>
  <w:style w:type="paragraph" w:styleId="ab">
    <w:name w:val="footnote text"/>
    <w:aliases w:val=" Char"/>
    <w:basedOn w:val="a"/>
    <w:link w:val="Char3"/>
    <w:uiPriority w:val="99"/>
    <w:semiHidden/>
    <w:rPr>
      <w:sz w:val="20"/>
      <w:szCs w:val="20"/>
    </w:rPr>
  </w:style>
  <w:style w:type="character" w:styleId="ac">
    <w:name w:val="footnote reference"/>
    <w:uiPriority w:val="99"/>
    <w:semiHidden/>
    <w:rPr>
      <w:vertAlign w:val="superscript"/>
    </w:rPr>
  </w:style>
  <w:style w:type="character" w:styleId="ad">
    <w:name w:val="Emphasis"/>
    <w:qFormat/>
    <w:rPr>
      <w:i/>
      <w:iCs/>
    </w:rPr>
  </w:style>
  <w:style w:type="paragraph" w:styleId="ae">
    <w:name w:val="List Paragraph"/>
    <w:basedOn w:val="a"/>
    <w:uiPriority w:val="34"/>
    <w:qFormat/>
    <w:pPr>
      <w:ind w:left="720"/>
    </w:pPr>
  </w:style>
  <w:style w:type="character" w:styleId="af">
    <w:name w:val="annotation reference"/>
    <w:uiPriority w:val="99"/>
    <w:semiHidden/>
    <w:rPr>
      <w:sz w:val="16"/>
      <w:szCs w:val="16"/>
    </w:rPr>
  </w:style>
  <w:style w:type="paragraph" w:styleId="af0">
    <w:name w:val="annotation text"/>
    <w:basedOn w:val="a"/>
    <w:link w:val="Char4"/>
    <w:uiPriority w:val="99"/>
    <w:semiHidden/>
    <w:rPr>
      <w:sz w:val="20"/>
      <w:szCs w:val="20"/>
    </w:rPr>
  </w:style>
  <w:style w:type="paragraph" w:styleId="22">
    <w:name w:val="Body Text Indent 2"/>
    <w:basedOn w:val="a"/>
    <w:semiHidden/>
    <w:pPr>
      <w:spacing w:line="360" w:lineRule="auto"/>
      <w:ind w:left="360" w:firstLine="360"/>
      <w:jc w:val="both"/>
    </w:pPr>
  </w:style>
  <w:style w:type="paragraph" w:styleId="31">
    <w:name w:val="Body Text Indent 3"/>
    <w:basedOn w:val="a"/>
    <w:semiHidden/>
    <w:pPr>
      <w:spacing w:line="360" w:lineRule="auto"/>
      <w:ind w:firstLine="720"/>
      <w:jc w:val="both"/>
    </w:pPr>
  </w:style>
  <w:style w:type="character" w:styleId="-0">
    <w:name w:val="FollowedHyperlink"/>
    <w:semiHidden/>
    <w:rPr>
      <w:color w:val="800080"/>
      <w:u w:val="single"/>
    </w:rPr>
  </w:style>
  <w:style w:type="character" w:customStyle="1" w:styleId="hps">
    <w:name w:val="hps"/>
    <w:basedOn w:val="a0"/>
  </w:style>
  <w:style w:type="character" w:customStyle="1" w:styleId="st">
    <w:name w:val="st"/>
    <w:basedOn w:val="a0"/>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hpsatn">
    <w:name w:val="hps atn"/>
    <w:basedOn w:val="a0"/>
  </w:style>
  <w:style w:type="character" w:customStyle="1" w:styleId="CharChar2">
    <w:name w:val="Char Char2"/>
    <w:rPr>
      <w:b/>
      <w:i/>
      <w:sz w:val="24"/>
      <w:lang w:val="el-GR" w:eastAsia="el-GR" w:bidi="ar-SA"/>
    </w:rPr>
  </w:style>
  <w:style w:type="paragraph" w:styleId="af2">
    <w:name w:val="table of figures"/>
    <w:aliases w:val="Πίνακας Γραφημάτων"/>
    <w:basedOn w:val="a"/>
    <w:next w:val="a"/>
    <w:semiHidden/>
  </w:style>
  <w:style w:type="character" w:customStyle="1" w:styleId="CharChar">
    <w:name w:val="Char Char"/>
    <w:basedOn w:val="a0"/>
    <w:semiHidden/>
  </w:style>
  <w:style w:type="character" w:customStyle="1" w:styleId="CharChar1">
    <w:name w:val="Char Char1"/>
    <w:rPr>
      <w:sz w:val="24"/>
      <w:szCs w:val="24"/>
    </w:rPr>
  </w:style>
  <w:style w:type="character" w:customStyle="1" w:styleId="journalname">
    <w:name w:val="journalname"/>
    <w:basedOn w:val="a0"/>
  </w:style>
  <w:style w:type="character" w:customStyle="1" w:styleId="volume">
    <w:name w:val="volume"/>
    <w:basedOn w:val="a0"/>
  </w:style>
  <w:style w:type="character" w:customStyle="1" w:styleId="issue">
    <w:name w:val="issue"/>
    <w:basedOn w:val="a0"/>
  </w:style>
  <w:style w:type="character" w:customStyle="1" w:styleId="year">
    <w:name w:val="year"/>
    <w:basedOn w:val="a0"/>
  </w:style>
  <w:style w:type="table" w:styleId="af3">
    <w:name w:val="Table Grid"/>
    <w:basedOn w:val="a1"/>
    <w:uiPriority w:val="59"/>
    <w:rsid w:val="007248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1"/>
    <w:next w:val="af3"/>
    <w:uiPriority w:val="59"/>
    <w:rsid w:val="00065B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63E8A"/>
  </w:style>
  <w:style w:type="paragraph" w:styleId="40">
    <w:name w:val="toc 4"/>
    <w:basedOn w:val="a"/>
    <w:next w:val="a"/>
    <w:autoRedefine/>
    <w:uiPriority w:val="39"/>
    <w:unhideWhenUsed/>
    <w:rsid w:val="00F07A2C"/>
    <w:pPr>
      <w:spacing w:after="100" w:line="276" w:lineRule="auto"/>
      <w:ind w:left="660"/>
    </w:pPr>
    <w:rPr>
      <w:rFonts w:ascii="Calibri" w:hAnsi="Calibri"/>
      <w:sz w:val="22"/>
      <w:szCs w:val="22"/>
    </w:rPr>
  </w:style>
  <w:style w:type="paragraph" w:styleId="50">
    <w:name w:val="toc 5"/>
    <w:basedOn w:val="a"/>
    <w:next w:val="a"/>
    <w:autoRedefine/>
    <w:uiPriority w:val="39"/>
    <w:unhideWhenUsed/>
    <w:rsid w:val="00F07A2C"/>
    <w:pPr>
      <w:spacing w:after="100" w:line="276" w:lineRule="auto"/>
      <w:ind w:left="880"/>
    </w:pPr>
    <w:rPr>
      <w:rFonts w:ascii="Calibri" w:hAnsi="Calibri"/>
      <w:sz w:val="22"/>
      <w:szCs w:val="22"/>
    </w:rPr>
  </w:style>
  <w:style w:type="paragraph" w:styleId="60">
    <w:name w:val="toc 6"/>
    <w:basedOn w:val="a"/>
    <w:next w:val="a"/>
    <w:autoRedefine/>
    <w:uiPriority w:val="39"/>
    <w:unhideWhenUsed/>
    <w:rsid w:val="00F07A2C"/>
    <w:pPr>
      <w:spacing w:after="100" w:line="276" w:lineRule="auto"/>
      <w:ind w:left="1100"/>
    </w:pPr>
    <w:rPr>
      <w:rFonts w:ascii="Calibri" w:hAnsi="Calibri"/>
      <w:sz w:val="22"/>
      <w:szCs w:val="22"/>
    </w:rPr>
  </w:style>
  <w:style w:type="paragraph" w:styleId="70">
    <w:name w:val="toc 7"/>
    <w:basedOn w:val="a"/>
    <w:next w:val="a"/>
    <w:autoRedefine/>
    <w:uiPriority w:val="39"/>
    <w:unhideWhenUsed/>
    <w:rsid w:val="00F07A2C"/>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F07A2C"/>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F07A2C"/>
    <w:pPr>
      <w:spacing w:after="100" w:line="276" w:lineRule="auto"/>
      <w:ind w:left="1760"/>
    </w:pPr>
    <w:rPr>
      <w:rFonts w:ascii="Calibri" w:hAnsi="Calibri"/>
      <w:sz w:val="22"/>
      <w:szCs w:val="22"/>
    </w:rPr>
  </w:style>
  <w:style w:type="paragraph" w:styleId="af4">
    <w:name w:val="No Spacing"/>
    <w:uiPriority w:val="1"/>
    <w:qFormat/>
    <w:rsid w:val="00E37C62"/>
    <w:rPr>
      <w:rFonts w:ascii="Calibri" w:hAnsi="Calibri"/>
      <w:sz w:val="22"/>
      <w:szCs w:val="22"/>
    </w:rPr>
  </w:style>
  <w:style w:type="character" w:styleId="af5">
    <w:name w:val="Placeholder Text"/>
    <w:uiPriority w:val="99"/>
    <w:semiHidden/>
    <w:rsid w:val="007719BD"/>
    <w:rPr>
      <w:color w:val="808080"/>
    </w:rPr>
  </w:style>
  <w:style w:type="character" w:customStyle="1" w:styleId="atn">
    <w:name w:val="atn"/>
    <w:basedOn w:val="a0"/>
    <w:rsid w:val="005075B2"/>
  </w:style>
  <w:style w:type="character" w:customStyle="1" w:styleId="longtext">
    <w:name w:val="long_text"/>
    <w:basedOn w:val="a0"/>
    <w:rsid w:val="005075B2"/>
  </w:style>
  <w:style w:type="character" w:customStyle="1" w:styleId="hpsalt-edited">
    <w:name w:val="hps alt-edited"/>
    <w:basedOn w:val="a0"/>
    <w:rsid w:val="005075B2"/>
  </w:style>
  <w:style w:type="paragraph" w:customStyle="1" w:styleId="Style3">
    <w:name w:val="Style3"/>
    <w:basedOn w:val="a"/>
    <w:rsid w:val="005075B2"/>
    <w:pPr>
      <w:widowControl w:val="0"/>
      <w:autoSpaceDE w:val="0"/>
      <w:autoSpaceDN w:val="0"/>
      <w:adjustRightInd w:val="0"/>
      <w:spacing w:line="319" w:lineRule="exact"/>
      <w:jc w:val="both"/>
    </w:pPr>
    <w:rPr>
      <w:rFonts w:ascii="Segoe UI" w:hAnsi="Segoe UI"/>
    </w:rPr>
  </w:style>
  <w:style w:type="character" w:customStyle="1" w:styleId="FontStyle30">
    <w:name w:val="Font Style30"/>
    <w:rsid w:val="005075B2"/>
    <w:rPr>
      <w:rFonts w:ascii="Segoe UI" w:hAnsi="Segoe UI" w:cs="Segoe UI"/>
      <w:sz w:val="18"/>
      <w:szCs w:val="18"/>
    </w:rPr>
  </w:style>
  <w:style w:type="paragraph" w:customStyle="1" w:styleId="Style2">
    <w:name w:val="Style2"/>
    <w:basedOn w:val="a"/>
    <w:rsid w:val="005075B2"/>
    <w:pPr>
      <w:widowControl w:val="0"/>
      <w:autoSpaceDE w:val="0"/>
      <w:autoSpaceDN w:val="0"/>
      <w:adjustRightInd w:val="0"/>
      <w:spacing w:line="158" w:lineRule="exact"/>
      <w:jc w:val="both"/>
    </w:pPr>
    <w:rPr>
      <w:rFonts w:ascii="Segoe UI" w:hAnsi="Segoe UI"/>
    </w:rPr>
  </w:style>
  <w:style w:type="paragraph" w:customStyle="1" w:styleId="Style7">
    <w:name w:val="Style7"/>
    <w:basedOn w:val="a"/>
    <w:rsid w:val="005075B2"/>
    <w:pPr>
      <w:widowControl w:val="0"/>
      <w:autoSpaceDE w:val="0"/>
      <w:autoSpaceDN w:val="0"/>
      <w:adjustRightInd w:val="0"/>
    </w:pPr>
    <w:rPr>
      <w:rFonts w:ascii="Segoe UI" w:hAnsi="Segoe UI"/>
    </w:rPr>
  </w:style>
  <w:style w:type="character" w:customStyle="1" w:styleId="FontStyle17">
    <w:name w:val="Font Style17"/>
    <w:rsid w:val="005075B2"/>
    <w:rPr>
      <w:rFonts w:ascii="Segoe UI" w:hAnsi="Segoe UI" w:cs="Segoe UI"/>
      <w:b/>
      <w:bCs/>
      <w:sz w:val="12"/>
      <w:szCs w:val="12"/>
    </w:rPr>
  </w:style>
  <w:style w:type="character" w:customStyle="1" w:styleId="FontStyle19">
    <w:name w:val="Font Style19"/>
    <w:rsid w:val="005075B2"/>
    <w:rPr>
      <w:rFonts w:ascii="Segoe UI" w:hAnsi="Segoe UI" w:cs="Segoe UI"/>
      <w:b/>
      <w:bCs/>
      <w:sz w:val="16"/>
      <w:szCs w:val="16"/>
    </w:rPr>
  </w:style>
  <w:style w:type="character" w:customStyle="1" w:styleId="FontStyle25">
    <w:name w:val="Font Style25"/>
    <w:rsid w:val="005075B2"/>
    <w:rPr>
      <w:rFonts w:ascii="Segoe UI" w:hAnsi="Segoe UI" w:cs="Segoe UI"/>
      <w:b/>
      <w:bCs/>
      <w:sz w:val="12"/>
      <w:szCs w:val="12"/>
    </w:rPr>
  </w:style>
  <w:style w:type="paragraph" w:customStyle="1" w:styleId="Style6">
    <w:name w:val="Style6"/>
    <w:basedOn w:val="a"/>
    <w:rsid w:val="005075B2"/>
    <w:pPr>
      <w:widowControl w:val="0"/>
      <w:autoSpaceDE w:val="0"/>
      <w:autoSpaceDN w:val="0"/>
      <w:adjustRightInd w:val="0"/>
      <w:spacing w:line="197" w:lineRule="exact"/>
      <w:jc w:val="both"/>
    </w:pPr>
    <w:rPr>
      <w:rFonts w:ascii="Segoe UI" w:hAnsi="Segoe UI"/>
    </w:rPr>
  </w:style>
  <w:style w:type="character" w:customStyle="1" w:styleId="FontStyle27">
    <w:name w:val="Font Style27"/>
    <w:rsid w:val="005075B2"/>
    <w:rPr>
      <w:rFonts w:ascii="Cambria" w:hAnsi="Cambria" w:cs="Cambria"/>
      <w:b/>
      <w:bCs/>
      <w:sz w:val="14"/>
      <w:szCs w:val="14"/>
    </w:rPr>
  </w:style>
  <w:style w:type="character" w:customStyle="1" w:styleId="FontStyle28">
    <w:name w:val="Font Style28"/>
    <w:rsid w:val="005075B2"/>
    <w:rPr>
      <w:rFonts w:ascii="Segoe UI" w:hAnsi="Segoe UI" w:cs="Segoe UI"/>
      <w:sz w:val="14"/>
      <w:szCs w:val="14"/>
    </w:rPr>
  </w:style>
  <w:style w:type="character" w:customStyle="1" w:styleId="FontStyle15">
    <w:name w:val="Font Style15"/>
    <w:rsid w:val="005075B2"/>
    <w:rPr>
      <w:rFonts w:ascii="Segoe UI" w:hAnsi="Segoe UI" w:cs="Segoe UI"/>
      <w:sz w:val="18"/>
      <w:szCs w:val="18"/>
    </w:rPr>
  </w:style>
  <w:style w:type="table" w:customStyle="1" w:styleId="32">
    <w:name w:val="Πλέγμα πίνακα3"/>
    <w:basedOn w:val="a1"/>
    <w:next w:val="af3"/>
    <w:rsid w:val="00507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Κείμενο υποσημείωσης Char"/>
    <w:aliases w:val=" Char Char"/>
    <w:basedOn w:val="a0"/>
    <w:link w:val="ab"/>
    <w:uiPriority w:val="99"/>
    <w:semiHidden/>
    <w:rsid w:val="006572C3"/>
  </w:style>
  <w:style w:type="character" w:customStyle="1" w:styleId="3Char">
    <w:name w:val="Επικεφαλίδα 3 Char"/>
    <w:basedOn w:val="a0"/>
    <w:link w:val="3"/>
    <w:rsid w:val="00022B4A"/>
    <w:rPr>
      <w:b/>
      <w:bCs/>
      <w:sz w:val="27"/>
      <w:szCs w:val="27"/>
      <w:lang w:val="en-GB" w:eastAsia="en-US"/>
    </w:rPr>
  </w:style>
  <w:style w:type="character" w:customStyle="1" w:styleId="FootnoteCharacters">
    <w:name w:val="Footnote Characters"/>
    <w:rsid w:val="00F83D84"/>
    <w:rPr>
      <w:vertAlign w:val="superscript"/>
    </w:rPr>
  </w:style>
  <w:style w:type="paragraph" w:styleId="af6">
    <w:name w:val="List"/>
    <w:basedOn w:val="a7"/>
    <w:rsid w:val="00F83D84"/>
    <w:pPr>
      <w:suppressAutoHyphens/>
      <w:autoSpaceDE w:val="0"/>
    </w:pPr>
    <w:rPr>
      <w:rFonts w:ascii="TimesNewRomanPSMT" w:hAnsi="TimesNewRomanPSMT" w:cs="Times New Roman"/>
      <w:b w:val="0"/>
      <w:bCs w:val="0"/>
      <w:i w:val="0"/>
      <w:sz w:val="24"/>
      <w:szCs w:val="24"/>
      <w:lang w:val="en-GB" w:eastAsia="ar-SA"/>
    </w:rPr>
  </w:style>
  <w:style w:type="character" w:customStyle="1" w:styleId="citation">
    <w:name w:val="citation"/>
    <w:basedOn w:val="a0"/>
    <w:rsid w:val="003C1734"/>
  </w:style>
  <w:style w:type="character" w:customStyle="1" w:styleId="mw-cite-backlink">
    <w:name w:val="mw-cite-backlink"/>
    <w:basedOn w:val="a0"/>
    <w:rsid w:val="003C1734"/>
  </w:style>
  <w:style w:type="character" w:customStyle="1" w:styleId="cite-accessibility-label">
    <w:name w:val="cite-accessibility-label"/>
    <w:basedOn w:val="a0"/>
    <w:rsid w:val="003C1734"/>
  </w:style>
  <w:style w:type="character" w:customStyle="1" w:styleId="Char4">
    <w:name w:val="Κείμενο σχολίου Char"/>
    <w:basedOn w:val="a0"/>
    <w:link w:val="af0"/>
    <w:uiPriority w:val="99"/>
    <w:semiHidden/>
    <w:rsid w:val="00C360FC"/>
  </w:style>
  <w:style w:type="paragraph" w:customStyle="1" w:styleId="Standard">
    <w:name w:val="Standard"/>
    <w:rsid w:val="006436E9"/>
    <w:pPr>
      <w:widowControl w:val="0"/>
      <w:suppressAutoHyphens/>
      <w:autoSpaceDN w:val="0"/>
      <w:textAlignment w:val="baseline"/>
    </w:pPr>
    <w:rPr>
      <w:rFonts w:eastAsia="SimSun" w:cs="Mangal"/>
      <w:kern w:val="3"/>
      <w:sz w:val="24"/>
      <w:szCs w:val="24"/>
      <w:lang w:eastAsia="zh-CN" w:bidi="hi-IN"/>
    </w:rPr>
  </w:style>
  <w:style w:type="numbering" w:customStyle="1" w:styleId="RTFNum2">
    <w:name w:val="RTF_Num 2"/>
    <w:basedOn w:val="a2"/>
    <w:rsid w:val="006436E9"/>
    <w:pPr>
      <w:numPr>
        <w:numId w:val="1"/>
      </w:numPr>
    </w:pPr>
  </w:style>
  <w:style w:type="table" w:customStyle="1" w:styleId="110">
    <w:name w:val="Μεσαία σκίαση 11"/>
    <w:basedOn w:val="a1"/>
    <w:uiPriority w:val="63"/>
    <w:rsid w:val="00052D35"/>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f7">
    <w:name w:val="endnote text"/>
    <w:basedOn w:val="a"/>
    <w:link w:val="Char5"/>
    <w:uiPriority w:val="99"/>
    <w:semiHidden/>
    <w:unhideWhenUsed/>
    <w:rsid w:val="00052D35"/>
    <w:rPr>
      <w:rFonts w:asciiTheme="minorHAnsi" w:eastAsiaTheme="minorHAnsi" w:hAnsiTheme="minorHAnsi" w:cstheme="minorBidi"/>
      <w:sz w:val="20"/>
      <w:szCs w:val="20"/>
      <w:lang w:eastAsia="en-US"/>
    </w:rPr>
  </w:style>
  <w:style w:type="character" w:customStyle="1" w:styleId="Char5">
    <w:name w:val="Κείμενο σημείωσης τέλους Char"/>
    <w:basedOn w:val="a0"/>
    <w:link w:val="af7"/>
    <w:uiPriority w:val="99"/>
    <w:semiHidden/>
    <w:rsid w:val="00052D35"/>
    <w:rPr>
      <w:rFonts w:asciiTheme="minorHAnsi" w:eastAsiaTheme="minorHAnsi" w:hAnsiTheme="minorHAnsi" w:cstheme="minorBidi"/>
      <w:lang w:eastAsia="en-US"/>
    </w:rPr>
  </w:style>
  <w:style w:type="character" w:styleId="af8">
    <w:name w:val="endnote reference"/>
    <w:basedOn w:val="a0"/>
    <w:uiPriority w:val="99"/>
    <w:semiHidden/>
    <w:unhideWhenUsed/>
    <w:rsid w:val="00052D35"/>
    <w:rPr>
      <w:vertAlign w:val="superscript"/>
    </w:rPr>
  </w:style>
  <w:style w:type="table" w:customStyle="1" w:styleId="12">
    <w:name w:val="Ανοιχτόχρωμο πλέγμα1"/>
    <w:basedOn w:val="a1"/>
    <w:uiPriority w:val="62"/>
    <w:rsid w:val="009C5700"/>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3">
    <w:name w:val="P3"/>
    <w:basedOn w:val="a"/>
    <w:hidden/>
    <w:rsid w:val="00EE6E12"/>
    <w:pPr>
      <w:widowControl w:val="0"/>
      <w:adjustRightInd w:val="0"/>
      <w:spacing w:after="120"/>
    </w:pPr>
    <w:rPr>
      <w:rFonts w:eastAsia="Arial1" w:cs="Tahoma"/>
      <w:szCs w:val="20"/>
    </w:rPr>
  </w:style>
  <w:style w:type="paragraph" w:customStyle="1" w:styleId="P4">
    <w:name w:val="P4"/>
    <w:basedOn w:val="a"/>
    <w:hidden/>
    <w:rsid w:val="00EE6E12"/>
    <w:pPr>
      <w:widowControl w:val="0"/>
      <w:adjustRightInd w:val="0"/>
      <w:spacing w:after="120"/>
    </w:pPr>
    <w:rPr>
      <w:rFonts w:eastAsia="Arial1" w:cs="Tahoma"/>
      <w:szCs w:val="20"/>
    </w:rPr>
  </w:style>
  <w:style w:type="paragraph" w:customStyle="1" w:styleId="P7">
    <w:name w:val="P7"/>
    <w:basedOn w:val="a"/>
    <w:hidden/>
    <w:rsid w:val="00EE6E12"/>
    <w:pPr>
      <w:widowControl w:val="0"/>
      <w:adjustRightInd w:val="0"/>
      <w:spacing w:after="120"/>
    </w:pPr>
    <w:rPr>
      <w:rFonts w:eastAsia="Arial1" w:cs="Tahoma"/>
      <w:szCs w:val="20"/>
    </w:rPr>
  </w:style>
  <w:style w:type="character" w:customStyle="1" w:styleId="T2">
    <w:name w:val="T2"/>
    <w:hidden/>
    <w:rsid w:val="00EE6E12"/>
  </w:style>
  <w:style w:type="character" w:customStyle="1" w:styleId="T4">
    <w:name w:val="T4"/>
    <w:hidden/>
    <w:rsid w:val="00EE6E12"/>
  </w:style>
  <w:style w:type="paragraph" w:styleId="af9">
    <w:name w:val="annotation subject"/>
    <w:basedOn w:val="af0"/>
    <w:next w:val="af0"/>
    <w:link w:val="Char6"/>
    <w:uiPriority w:val="99"/>
    <w:semiHidden/>
    <w:unhideWhenUsed/>
    <w:rsid w:val="00EC0474"/>
    <w:rPr>
      <w:b/>
      <w:bCs/>
    </w:rPr>
  </w:style>
  <w:style w:type="character" w:customStyle="1" w:styleId="Char6">
    <w:name w:val="Θέμα σχολίου Char"/>
    <w:basedOn w:val="Char4"/>
    <w:link w:val="af9"/>
    <w:uiPriority w:val="99"/>
    <w:semiHidden/>
    <w:rsid w:val="00EC0474"/>
    <w:rPr>
      <w:b/>
      <w:bCs/>
    </w:rPr>
  </w:style>
  <w:style w:type="table" w:customStyle="1" w:styleId="23">
    <w:name w:val="Πλέγμα πίνακα2"/>
    <w:basedOn w:val="a1"/>
    <w:next w:val="af3"/>
    <w:uiPriority w:val="59"/>
    <w:rsid w:val="00197B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1"/>
    <w:uiPriority w:val="66"/>
    <w:rsid w:val="00573E36"/>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
    <w:name w:val="Κείμενο πλαισίου Char"/>
    <w:basedOn w:val="a0"/>
    <w:link w:val="a3"/>
    <w:uiPriority w:val="99"/>
    <w:semiHidden/>
    <w:rsid w:val="009F7E1A"/>
    <w:rPr>
      <w:rFonts w:ascii="Tahoma" w:hAnsi="Tahoma" w:cs="Tahoma"/>
      <w:sz w:val="16"/>
      <w:szCs w:val="16"/>
    </w:rPr>
  </w:style>
  <w:style w:type="character" w:styleId="afa">
    <w:name w:val="Subtle Emphasis"/>
    <w:uiPriority w:val="19"/>
    <w:qFormat/>
    <w:rsid w:val="00D4417C"/>
    <w:rPr>
      <w:i/>
      <w:iC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605">
      <w:bodyDiv w:val="1"/>
      <w:marLeft w:val="0"/>
      <w:marRight w:val="0"/>
      <w:marTop w:val="0"/>
      <w:marBottom w:val="0"/>
      <w:divBdr>
        <w:top w:val="none" w:sz="0" w:space="0" w:color="auto"/>
        <w:left w:val="none" w:sz="0" w:space="0" w:color="auto"/>
        <w:bottom w:val="none" w:sz="0" w:space="0" w:color="auto"/>
        <w:right w:val="none" w:sz="0" w:space="0" w:color="auto"/>
      </w:divBdr>
      <w:divsChild>
        <w:div w:id="9379272">
          <w:marLeft w:val="0"/>
          <w:marRight w:val="0"/>
          <w:marTop w:val="185"/>
          <w:marBottom w:val="0"/>
          <w:divBdr>
            <w:top w:val="none" w:sz="0" w:space="0" w:color="auto"/>
            <w:left w:val="none" w:sz="0" w:space="0" w:color="auto"/>
            <w:bottom w:val="none" w:sz="0" w:space="0" w:color="auto"/>
            <w:right w:val="none" w:sz="0" w:space="0" w:color="auto"/>
          </w:divBdr>
        </w:div>
        <w:div w:id="243300628">
          <w:marLeft w:val="0"/>
          <w:marRight w:val="0"/>
          <w:marTop w:val="185"/>
          <w:marBottom w:val="0"/>
          <w:divBdr>
            <w:top w:val="none" w:sz="0" w:space="0" w:color="auto"/>
            <w:left w:val="none" w:sz="0" w:space="0" w:color="auto"/>
            <w:bottom w:val="none" w:sz="0" w:space="0" w:color="auto"/>
            <w:right w:val="none" w:sz="0" w:space="0" w:color="auto"/>
          </w:divBdr>
        </w:div>
        <w:div w:id="1280184461">
          <w:marLeft w:val="0"/>
          <w:marRight w:val="0"/>
          <w:marTop w:val="185"/>
          <w:marBottom w:val="0"/>
          <w:divBdr>
            <w:top w:val="none" w:sz="0" w:space="0" w:color="auto"/>
            <w:left w:val="none" w:sz="0" w:space="0" w:color="auto"/>
            <w:bottom w:val="none" w:sz="0" w:space="0" w:color="auto"/>
            <w:right w:val="none" w:sz="0" w:space="0" w:color="auto"/>
          </w:divBdr>
        </w:div>
      </w:divsChild>
    </w:div>
    <w:div w:id="65811787">
      <w:bodyDiv w:val="1"/>
      <w:marLeft w:val="0"/>
      <w:marRight w:val="0"/>
      <w:marTop w:val="0"/>
      <w:marBottom w:val="0"/>
      <w:divBdr>
        <w:top w:val="none" w:sz="0" w:space="0" w:color="auto"/>
        <w:left w:val="none" w:sz="0" w:space="0" w:color="auto"/>
        <w:bottom w:val="none" w:sz="0" w:space="0" w:color="auto"/>
        <w:right w:val="none" w:sz="0" w:space="0" w:color="auto"/>
      </w:divBdr>
      <w:divsChild>
        <w:div w:id="1322808545">
          <w:marLeft w:val="547"/>
          <w:marRight w:val="0"/>
          <w:marTop w:val="96"/>
          <w:marBottom w:val="0"/>
          <w:divBdr>
            <w:top w:val="none" w:sz="0" w:space="0" w:color="auto"/>
            <w:left w:val="none" w:sz="0" w:space="0" w:color="auto"/>
            <w:bottom w:val="none" w:sz="0" w:space="0" w:color="auto"/>
            <w:right w:val="none" w:sz="0" w:space="0" w:color="auto"/>
          </w:divBdr>
        </w:div>
      </w:divsChild>
    </w:div>
    <w:div w:id="124810203">
      <w:bodyDiv w:val="1"/>
      <w:marLeft w:val="0"/>
      <w:marRight w:val="0"/>
      <w:marTop w:val="0"/>
      <w:marBottom w:val="0"/>
      <w:divBdr>
        <w:top w:val="none" w:sz="0" w:space="0" w:color="auto"/>
        <w:left w:val="none" w:sz="0" w:space="0" w:color="auto"/>
        <w:bottom w:val="none" w:sz="0" w:space="0" w:color="auto"/>
        <w:right w:val="none" w:sz="0" w:space="0" w:color="auto"/>
      </w:divBdr>
      <w:divsChild>
        <w:div w:id="581065450">
          <w:marLeft w:val="547"/>
          <w:marRight w:val="0"/>
          <w:marTop w:val="264"/>
          <w:marBottom w:val="0"/>
          <w:divBdr>
            <w:top w:val="none" w:sz="0" w:space="0" w:color="auto"/>
            <w:left w:val="none" w:sz="0" w:space="0" w:color="auto"/>
            <w:bottom w:val="none" w:sz="0" w:space="0" w:color="auto"/>
            <w:right w:val="none" w:sz="0" w:space="0" w:color="auto"/>
          </w:divBdr>
        </w:div>
        <w:div w:id="297879780">
          <w:marLeft w:val="547"/>
          <w:marRight w:val="0"/>
          <w:marTop w:val="264"/>
          <w:marBottom w:val="0"/>
          <w:divBdr>
            <w:top w:val="none" w:sz="0" w:space="0" w:color="auto"/>
            <w:left w:val="none" w:sz="0" w:space="0" w:color="auto"/>
            <w:bottom w:val="none" w:sz="0" w:space="0" w:color="auto"/>
            <w:right w:val="none" w:sz="0" w:space="0" w:color="auto"/>
          </w:divBdr>
        </w:div>
        <w:div w:id="1182936928">
          <w:marLeft w:val="547"/>
          <w:marRight w:val="0"/>
          <w:marTop w:val="264"/>
          <w:marBottom w:val="0"/>
          <w:divBdr>
            <w:top w:val="none" w:sz="0" w:space="0" w:color="auto"/>
            <w:left w:val="none" w:sz="0" w:space="0" w:color="auto"/>
            <w:bottom w:val="none" w:sz="0" w:space="0" w:color="auto"/>
            <w:right w:val="none" w:sz="0" w:space="0" w:color="auto"/>
          </w:divBdr>
        </w:div>
      </w:divsChild>
    </w:div>
    <w:div w:id="207567646">
      <w:bodyDiv w:val="1"/>
      <w:marLeft w:val="0"/>
      <w:marRight w:val="0"/>
      <w:marTop w:val="0"/>
      <w:marBottom w:val="0"/>
      <w:divBdr>
        <w:top w:val="none" w:sz="0" w:space="0" w:color="auto"/>
        <w:left w:val="none" w:sz="0" w:space="0" w:color="auto"/>
        <w:bottom w:val="none" w:sz="0" w:space="0" w:color="auto"/>
        <w:right w:val="none" w:sz="0" w:space="0" w:color="auto"/>
      </w:divBdr>
    </w:div>
    <w:div w:id="227695877">
      <w:bodyDiv w:val="1"/>
      <w:marLeft w:val="0"/>
      <w:marRight w:val="0"/>
      <w:marTop w:val="0"/>
      <w:marBottom w:val="0"/>
      <w:divBdr>
        <w:top w:val="none" w:sz="0" w:space="0" w:color="auto"/>
        <w:left w:val="none" w:sz="0" w:space="0" w:color="auto"/>
        <w:bottom w:val="none" w:sz="0" w:space="0" w:color="auto"/>
        <w:right w:val="none" w:sz="0" w:space="0" w:color="auto"/>
      </w:divBdr>
      <w:divsChild>
        <w:div w:id="172305466">
          <w:marLeft w:val="1166"/>
          <w:marRight w:val="0"/>
          <w:marTop w:val="86"/>
          <w:marBottom w:val="0"/>
          <w:divBdr>
            <w:top w:val="none" w:sz="0" w:space="0" w:color="auto"/>
            <w:left w:val="none" w:sz="0" w:space="0" w:color="auto"/>
            <w:bottom w:val="none" w:sz="0" w:space="0" w:color="auto"/>
            <w:right w:val="none" w:sz="0" w:space="0" w:color="auto"/>
          </w:divBdr>
        </w:div>
        <w:div w:id="392855147">
          <w:marLeft w:val="1166"/>
          <w:marRight w:val="0"/>
          <w:marTop w:val="86"/>
          <w:marBottom w:val="0"/>
          <w:divBdr>
            <w:top w:val="none" w:sz="0" w:space="0" w:color="auto"/>
            <w:left w:val="none" w:sz="0" w:space="0" w:color="auto"/>
            <w:bottom w:val="none" w:sz="0" w:space="0" w:color="auto"/>
            <w:right w:val="none" w:sz="0" w:space="0" w:color="auto"/>
          </w:divBdr>
        </w:div>
        <w:div w:id="593127166">
          <w:marLeft w:val="1166"/>
          <w:marRight w:val="0"/>
          <w:marTop w:val="86"/>
          <w:marBottom w:val="0"/>
          <w:divBdr>
            <w:top w:val="none" w:sz="0" w:space="0" w:color="auto"/>
            <w:left w:val="none" w:sz="0" w:space="0" w:color="auto"/>
            <w:bottom w:val="none" w:sz="0" w:space="0" w:color="auto"/>
            <w:right w:val="none" w:sz="0" w:space="0" w:color="auto"/>
          </w:divBdr>
        </w:div>
        <w:div w:id="898788040">
          <w:marLeft w:val="547"/>
          <w:marRight w:val="0"/>
          <w:marTop w:val="86"/>
          <w:marBottom w:val="0"/>
          <w:divBdr>
            <w:top w:val="none" w:sz="0" w:space="0" w:color="auto"/>
            <w:left w:val="none" w:sz="0" w:space="0" w:color="auto"/>
            <w:bottom w:val="none" w:sz="0" w:space="0" w:color="auto"/>
            <w:right w:val="none" w:sz="0" w:space="0" w:color="auto"/>
          </w:divBdr>
        </w:div>
        <w:div w:id="919102261">
          <w:marLeft w:val="1166"/>
          <w:marRight w:val="0"/>
          <w:marTop w:val="86"/>
          <w:marBottom w:val="0"/>
          <w:divBdr>
            <w:top w:val="none" w:sz="0" w:space="0" w:color="auto"/>
            <w:left w:val="none" w:sz="0" w:space="0" w:color="auto"/>
            <w:bottom w:val="none" w:sz="0" w:space="0" w:color="auto"/>
            <w:right w:val="none" w:sz="0" w:space="0" w:color="auto"/>
          </w:divBdr>
        </w:div>
        <w:div w:id="977763250">
          <w:marLeft w:val="1166"/>
          <w:marRight w:val="0"/>
          <w:marTop w:val="86"/>
          <w:marBottom w:val="0"/>
          <w:divBdr>
            <w:top w:val="none" w:sz="0" w:space="0" w:color="auto"/>
            <w:left w:val="none" w:sz="0" w:space="0" w:color="auto"/>
            <w:bottom w:val="none" w:sz="0" w:space="0" w:color="auto"/>
            <w:right w:val="none" w:sz="0" w:space="0" w:color="auto"/>
          </w:divBdr>
        </w:div>
        <w:div w:id="1114130359">
          <w:marLeft w:val="1166"/>
          <w:marRight w:val="0"/>
          <w:marTop w:val="86"/>
          <w:marBottom w:val="0"/>
          <w:divBdr>
            <w:top w:val="none" w:sz="0" w:space="0" w:color="auto"/>
            <w:left w:val="none" w:sz="0" w:space="0" w:color="auto"/>
            <w:bottom w:val="none" w:sz="0" w:space="0" w:color="auto"/>
            <w:right w:val="none" w:sz="0" w:space="0" w:color="auto"/>
          </w:divBdr>
        </w:div>
        <w:div w:id="1356299163">
          <w:marLeft w:val="547"/>
          <w:marRight w:val="0"/>
          <w:marTop w:val="86"/>
          <w:marBottom w:val="0"/>
          <w:divBdr>
            <w:top w:val="none" w:sz="0" w:space="0" w:color="auto"/>
            <w:left w:val="none" w:sz="0" w:space="0" w:color="auto"/>
            <w:bottom w:val="none" w:sz="0" w:space="0" w:color="auto"/>
            <w:right w:val="none" w:sz="0" w:space="0" w:color="auto"/>
          </w:divBdr>
        </w:div>
        <w:div w:id="1484194925">
          <w:marLeft w:val="547"/>
          <w:marRight w:val="0"/>
          <w:marTop w:val="86"/>
          <w:marBottom w:val="0"/>
          <w:divBdr>
            <w:top w:val="none" w:sz="0" w:space="0" w:color="auto"/>
            <w:left w:val="none" w:sz="0" w:space="0" w:color="auto"/>
            <w:bottom w:val="none" w:sz="0" w:space="0" w:color="auto"/>
            <w:right w:val="none" w:sz="0" w:space="0" w:color="auto"/>
          </w:divBdr>
        </w:div>
        <w:div w:id="1580165562">
          <w:marLeft w:val="1166"/>
          <w:marRight w:val="0"/>
          <w:marTop w:val="86"/>
          <w:marBottom w:val="0"/>
          <w:divBdr>
            <w:top w:val="none" w:sz="0" w:space="0" w:color="auto"/>
            <w:left w:val="none" w:sz="0" w:space="0" w:color="auto"/>
            <w:bottom w:val="none" w:sz="0" w:space="0" w:color="auto"/>
            <w:right w:val="none" w:sz="0" w:space="0" w:color="auto"/>
          </w:divBdr>
        </w:div>
        <w:div w:id="1658606705">
          <w:marLeft w:val="1166"/>
          <w:marRight w:val="0"/>
          <w:marTop w:val="86"/>
          <w:marBottom w:val="0"/>
          <w:divBdr>
            <w:top w:val="none" w:sz="0" w:space="0" w:color="auto"/>
            <w:left w:val="none" w:sz="0" w:space="0" w:color="auto"/>
            <w:bottom w:val="none" w:sz="0" w:space="0" w:color="auto"/>
            <w:right w:val="none" w:sz="0" w:space="0" w:color="auto"/>
          </w:divBdr>
        </w:div>
        <w:div w:id="1722095270">
          <w:marLeft w:val="547"/>
          <w:marRight w:val="0"/>
          <w:marTop w:val="86"/>
          <w:marBottom w:val="0"/>
          <w:divBdr>
            <w:top w:val="none" w:sz="0" w:space="0" w:color="auto"/>
            <w:left w:val="none" w:sz="0" w:space="0" w:color="auto"/>
            <w:bottom w:val="none" w:sz="0" w:space="0" w:color="auto"/>
            <w:right w:val="none" w:sz="0" w:space="0" w:color="auto"/>
          </w:divBdr>
        </w:div>
        <w:div w:id="1793552600">
          <w:marLeft w:val="1166"/>
          <w:marRight w:val="0"/>
          <w:marTop w:val="86"/>
          <w:marBottom w:val="0"/>
          <w:divBdr>
            <w:top w:val="none" w:sz="0" w:space="0" w:color="auto"/>
            <w:left w:val="none" w:sz="0" w:space="0" w:color="auto"/>
            <w:bottom w:val="none" w:sz="0" w:space="0" w:color="auto"/>
            <w:right w:val="none" w:sz="0" w:space="0" w:color="auto"/>
          </w:divBdr>
        </w:div>
      </w:divsChild>
    </w:div>
    <w:div w:id="256987685">
      <w:bodyDiv w:val="1"/>
      <w:marLeft w:val="0"/>
      <w:marRight w:val="0"/>
      <w:marTop w:val="0"/>
      <w:marBottom w:val="0"/>
      <w:divBdr>
        <w:top w:val="none" w:sz="0" w:space="0" w:color="auto"/>
        <w:left w:val="none" w:sz="0" w:space="0" w:color="auto"/>
        <w:bottom w:val="none" w:sz="0" w:space="0" w:color="auto"/>
        <w:right w:val="none" w:sz="0" w:space="0" w:color="auto"/>
      </w:divBdr>
      <w:divsChild>
        <w:div w:id="1633368008">
          <w:marLeft w:val="547"/>
          <w:marRight w:val="0"/>
          <w:marTop w:val="86"/>
          <w:marBottom w:val="0"/>
          <w:divBdr>
            <w:top w:val="none" w:sz="0" w:space="0" w:color="auto"/>
            <w:left w:val="none" w:sz="0" w:space="0" w:color="auto"/>
            <w:bottom w:val="none" w:sz="0" w:space="0" w:color="auto"/>
            <w:right w:val="none" w:sz="0" w:space="0" w:color="auto"/>
          </w:divBdr>
        </w:div>
        <w:div w:id="1907376521">
          <w:marLeft w:val="547"/>
          <w:marRight w:val="0"/>
          <w:marTop w:val="86"/>
          <w:marBottom w:val="0"/>
          <w:divBdr>
            <w:top w:val="none" w:sz="0" w:space="0" w:color="auto"/>
            <w:left w:val="none" w:sz="0" w:space="0" w:color="auto"/>
            <w:bottom w:val="none" w:sz="0" w:space="0" w:color="auto"/>
            <w:right w:val="none" w:sz="0" w:space="0" w:color="auto"/>
          </w:divBdr>
        </w:div>
        <w:div w:id="281305961">
          <w:marLeft w:val="547"/>
          <w:marRight w:val="0"/>
          <w:marTop w:val="86"/>
          <w:marBottom w:val="0"/>
          <w:divBdr>
            <w:top w:val="none" w:sz="0" w:space="0" w:color="auto"/>
            <w:left w:val="none" w:sz="0" w:space="0" w:color="auto"/>
            <w:bottom w:val="none" w:sz="0" w:space="0" w:color="auto"/>
            <w:right w:val="none" w:sz="0" w:space="0" w:color="auto"/>
          </w:divBdr>
        </w:div>
        <w:div w:id="2110469331">
          <w:marLeft w:val="547"/>
          <w:marRight w:val="0"/>
          <w:marTop w:val="86"/>
          <w:marBottom w:val="0"/>
          <w:divBdr>
            <w:top w:val="none" w:sz="0" w:space="0" w:color="auto"/>
            <w:left w:val="none" w:sz="0" w:space="0" w:color="auto"/>
            <w:bottom w:val="none" w:sz="0" w:space="0" w:color="auto"/>
            <w:right w:val="none" w:sz="0" w:space="0" w:color="auto"/>
          </w:divBdr>
        </w:div>
        <w:div w:id="84495387">
          <w:marLeft w:val="1166"/>
          <w:marRight w:val="0"/>
          <w:marTop w:val="86"/>
          <w:marBottom w:val="0"/>
          <w:divBdr>
            <w:top w:val="none" w:sz="0" w:space="0" w:color="auto"/>
            <w:left w:val="none" w:sz="0" w:space="0" w:color="auto"/>
            <w:bottom w:val="none" w:sz="0" w:space="0" w:color="auto"/>
            <w:right w:val="none" w:sz="0" w:space="0" w:color="auto"/>
          </w:divBdr>
        </w:div>
        <w:div w:id="1380784644">
          <w:marLeft w:val="1166"/>
          <w:marRight w:val="0"/>
          <w:marTop w:val="86"/>
          <w:marBottom w:val="0"/>
          <w:divBdr>
            <w:top w:val="none" w:sz="0" w:space="0" w:color="auto"/>
            <w:left w:val="none" w:sz="0" w:space="0" w:color="auto"/>
            <w:bottom w:val="none" w:sz="0" w:space="0" w:color="auto"/>
            <w:right w:val="none" w:sz="0" w:space="0" w:color="auto"/>
          </w:divBdr>
        </w:div>
      </w:divsChild>
    </w:div>
    <w:div w:id="272783898">
      <w:bodyDiv w:val="1"/>
      <w:marLeft w:val="0"/>
      <w:marRight w:val="0"/>
      <w:marTop w:val="0"/>
      <w:marBottom w:val="0"/>
      <w:divBdr>
        <w:top w:val="none" w:sz="0" w:space="0" w:color="auto"/>
        <w:left w:val="none" w:sz="0" w:space="0" w:color="auto"/>
        <w:bottom w:val="none" w:sz="0" w:space="0" w:color="auto"/>
        <w:right w:val="none" w:sz="0" w:space="0" w:color="auto"/>
      </w:divBdr>
    </w:div>
    <w:div w:id="279145732">
      <w:bodyDiv w:val="1"/>
      <w:marLeft w:val="0"/>
      <w:marRight w:val="0"/>
      <w:marTop w:val="0"/>
      <w:marBottom w:val="0"/>
      <w:divBdr>
        <w:top w:val="none" w:sz="0" w:space="0" w:color="auto"/>
        <w:left w:val="none" w:sz="0" w:space="0" w:color="auto"/>
        <w:bottom w:val="none" w:sz="0" w:space="0" w:color="auto"/>
        <w:right w:val="none" w:sz="0" w:space="0" w:color="auto"/>
      </w:divBdr>
    </w:div>
    <w:div w:id="314771207">
      <w:bodyDiv w:val="1"/>
      <w:marLeft w:val="0"/>
      <w:marRight w:val="0"/>
      <w:marTop w:val="0"/>
      <w:marBottom w:val="0"/>
      <w:divBdr>
        <w:top w:val="none" w:sz="0" w:space="0" w:color="auto"/>
        <w:left w:val="none" w:sz="0" w:space="0" w:color="auto"/>
        <w:bottom w:val="none" w:sz="0" w:space="0" w:color="auto"/>
        <w:right w:val="none" w:sz="0" w:space="0" w:color="auto"/>
      </w:divBdr>
      <w:divsChild>
        <w:div w:id="1853177095">
          <w:marLeft w:val="547"/>
          <w:marRight w:val="0"/>
          <w:marTop w:val="96"/>
          <w:marBottom w:val="0"/>
          <w:divBdr>
            <w:top w:val="none" w:sz="0" w:space="0" w:color="auto"/>
            <w:left w:val="none" w:sz="0" w:space="0" w:color="auto"/>
            <w:bottom w:val="none" w:sz="0" w:space="0" w:color="auto"/>
            <w:right w:val="none" w:sz="0" w:space="0" w:color="auto"/>
          </w:divBdr>
        </w:div>
        <w:div w:id="1205413393">
          <w:marLeft w:val="1166"/>
          <w:marRight w:val="0"/>
          <w:marTop w:val="96"/>
          <w:marBottom w:val="0"/>
          <w:divBdr>
            <w:top w:val="none" w:sz="0" w:space="0" w:color="auto"/>
            <w:left w:val="none" w:sz="0" w:space="0" w:color="auto"/>
            <w:bottom w:val="none" w:sz="0" w:space="0" w:color="auto"/>
            <w:right w:val="none" w:sz="0" w:space="0" w:color="auto"/>
          </w:divBdr>
        </w:div>
        <w:div w:id="1205020515">
          <w:marLeft w:val="1166"/>
          <w:marRight w:val="0"/>
          <w:marTop w:val="96"/>
          <w:marBottom w:val="0"/>
          <w:divBdr>
            <w:top w:val="none" w:sz="0" w:space="0" w:color="auto"/>
            <w:left w:val="none" w:sz="0" w:space="0" w:color="auto"/>
            <w:bottom w:val="none" w:sz="0" w:space="0" w:color="auto"/>
            <w:right w:val="none" w:sz="0" w:space="0" w:color="auto"/>
          </w:divBdr>
        </w:div>
        <w:div w:id="1722635793">
          <w:marLeft w:val="1166"/>
          <w:marRight w:val="0"/>
          <w:marTop w:val="96"/>
          <w:marBottom w:val="0"/>
          <w:divBdr>
            <w:top w:val="none" w:sz="0" w:space="0" w:color="auto"/>
            <w:left w:val="none" w:sz="0" w:space="0" w:color="auto"/>
            <w:bottom w:val="none" w:sz="0" w:space="0" w:color="auto"/>
            <w:right w:val="none" w:sz="0" w:space="0" w:color="auto"/>
          </w:divBdr>
        </w:div>
        <w:div w:id="125664082">
          <w:marLeft w:val="547"/>
          <w:marRight w:val="0"/>
          <w:marTop w:val="96"/>
          <w:marBottom w:val="0"/>
          <w:divBdr>
            <w:top w:val="none" w:sz="0" w:space="0" w:color="auto"/>
            <w:left w:val="none" w:sz="0" w:space="0" w:color="auto"/>
            <w:bottom w:val="none" w:sz="0" w:space="0" w:color="auto"/>
            <w:right w:val="none" w:sz="0" w:space="0" w:color="auto"/>
          </w:divBdr>
        </w:div>
      </w:divsChild>
    </w:div>
    <w:div w:id="396515528">
      <w:bodyDiv w:val="1"/>
      <w:marLeft w:val="0"/>
      <w:marRight w:val="0"/>
      <w:marTop w:val="0"/>
      <w:marBottom w:val="0"/>
      <w:divBdr>
        <w:top w:val="none" w:sz="0" w:space="0" w:color="auto"/>
        <w:left w:val="none" w:sz="0" w:space="0" w:color="auto"/>
        <w:bottom w:val="none" w:sz="0" w:space="0" w:color="auto"/>
        <w:right w:val="none" w:sz="0" w:space="0" w:color="auto"/>
      </w:divBdr>
    </w:div>
    <w:div w:id="431704879">
      <w:bodyDiv w:val="1"/>
      <w:marLeft w:val="0"/>
      <w:marRight w:val="0"/>
      <w:marTop w:val="0"/>
      <w:marBottom w:val="0"/>
      <w:divBdr>
        <w:top w:val="none" w:sz="0" w:space="0" w:color="auto"/>
        <w:left w:val="none" w:sz="0" w:space="0" w:color="auto"/>
        <w:bottom w:val="none" w:sz="0" w:space="0" w:color="auto"/>
        <w:right w:val="none" w:sz="0" w:space="0" w:color="auto"/>
      </w:divBdr>
    </w:div>
    <w:div w:id="431776904">
      <w:bodyDiv w:val="1"/>
      <w:marLeft w:val="0"/>
      <w:marRight w:val="0"/>
      <w:marTop w:val="0"/>
      <w:marBottom w:val="0"/>
      <w:divBdr>
        <w:top w:val="none" w:sz="0" w:space="0" w:color="auto"/>
        <w:left w:val="none" w:sz="0" w:space="0" w:color="auto"/>
        <w:bottom w:val="none" w:sz="0" w:space="0" w:color="auto"/>
        <w:right w:val="none" w:sz="0" w:space="0" w:color="auto"/>
      </w:divBdr>
    </w:div>
    <w:div w:id="436174158">
      <w:bodyDiv w:val="1"/>
      <w:marLeft w:val="0"/>
      <w:marRight w:val="0"/>
      <w:marTop w:val="0"/>
      <w:marBottom w:val="0"/>
      <w:divBdr>
        <w:top w:val="none" w:sz="0" w:space="0" w:color="auto"/>
        <w:left w:val="none" w:sz="0" w:space="0" w:color="auto"/>
        <w:bottom w:val="none" w:sz="0" w:space="0" w:color="auto"/>
        <w:right w:val="none" w:sz="0" w:space="0" w:color="auto"/>
      </w:divBdr>
      <w:divsChild>
        <w:div w:id="342050889">
          <w:marLeft w:val="547"/>
          <w:marRight w:val="0"/>
          <w:marTop w:val="96"/>
          <w:marBottom w:val="0"/>
          <w:divBdr>
            <w:top w:val="none" w:sz="0" w:space="0" w:color="auto"/>
            <w:left w:val="none" w:sz="0" w:space="0" w:color="auto"/>
            <w:bottom w:val="none" w:sz="0" w:space="0" w:color="auto"/>
            <w:right w:val="none" w:sz="0" w:space="0" w:color="auto"/>
          </w:divBdr>
        </w:div>
        <w:div w:id="1396247361">
          <w:marLeft w:val="547"/>
          <w:marRight w:val="0"/>
          <w:marTop w:val="96"/>
          <w:marBottom w:val="0"/>
          <w:divBdr>
            <w:top w:val="none" w:sz="0" w:space="0" w:color="auto"/>
            <w:left w:val="none" w:sz="0" w:space="0" w:color="auto"/>
            <w:bottom w:val="none" w:sz="0" w:space="0" w:color="auto"/>
            <w:right w:val="none" w:sz="0" w:space="0" w:color="auto"/>
          </w:divBdr>
        </w:div>
        <w:div w:id="1521967655">
          <w:marLeft w:val="1166"/>
          <w:marRight w:val="0"/>
          <w:marTop w:val="96"/>
          <w:marBottom w:val="0"/>
          <w:divBdr>
            <w:top w:val="none" w:sz="0" w:space="0" w:color="auto"/>
            <w:left w:val="none" w:sz="0" w:space="0" w:color="auto"/>
            <w:bottom w:val="none" w:sz="0" w:space="0" w:color="auto"/>
            <w:right w:val="none" w:sz="0" w:space="0" w:color="auto"/>
          </w:divBdr>
        </w:div>
        <w:div w:id="1918202769">
          <w:marLeft w:val="1166"/>
          <w:marRight w:val="0"/>
          <w:marTop w:val="96"/>
          <w:marBottom w:val="0"/>
          <w:divBdr>
            <w:top w:val="none" w:sz="0" w:space="0" w:color="auto"/>
            <w:left w:val="none" w:sz="0" w:space="0" w:color="auto"/>
            <w:bottom w:val="none" w:sz="0" w:space="0" w:color="auto"/>
            <w:right w:val="none" w:sz="0" w:space="0" w:color="auto"/>
          </w:divBdr>
        </w:div>
        <w:div w:id="1515535765">
          <w:marLeft w:val="1166"/>
          <w:marRight w:val="0"/>
          <w:marTop w:val="96"/>
          <w:marBottom w:val="0"/>
          <w:divBdr>
            <w:top w:val="none" w:sz="0" w:space="0" w:color="auto"/>
            <w:left w:val="none" w:sz="0" w:space="0" w:color="auto"/>
            <w:bottom w:val="none" w:sz="0" w:space="0" w:color="auto"/>
            <w:right w:val="none" w:sz="0" w:space="0" w:color="auto"/>
          </w:divBdr>
        </w:div>
        <w:div w:id="1309745322">
          <w:marLeft w:val="1166"/>
          <w:marRight w:val="0"/>
          <w:marTop w:val="96"/>
          <w:marBottom w:val="0"/>
          <w:divBdr>
            <w:top w:val="none" w:sz="0" w:space="0" w:color="auto"/>
            <w:left w:val="none" w:sz="0" w:space="0" w:color="auto"/>
            <w:bottom w:val="none" w:sz="0" w:space="0" w:color="auto"/>
            <w:right w:val="none" w:sz="0" w:space="0" w:color="auto"/>
          </w:divBdr>
        </w:div>
      </w:divsChild>
    </w:div>
    <w:div w:id="496193773">
      <w:bodyDiv w:val="1"/>
      <w:marLeft w:val="0"/>
      <w:marRight w:val="0"/>
      <w:marTop w:val="0"/>
      <w:marBottom w:val="0"/>
      <w:divBdr>
        <w:top w:val="none" w:sz="0" w:space="0" w:color="auto"/>
        <w:left w:val="none" w:sz="0" w:space="0" w:color="auto"/>
        <w:bottom w:val="none" w:sz="0" w:space="0" w:color="auto"/>
        <w:right w:val="none" w:sz="0" w:space="0" w:color="auto"/>
      </w:divBdr>
    </w:div>
    <w:div w:id="518394712">
      <w:bodyDiv w:val="1"/>
      <w:marLeft w:val="0"/>
      <w:marRight w:val="0"/>
      <w:marTop w:val="0"/>
      <w:marBottom w:val="0"/>
      <w:divBdr>
        <w:top w:val="none" w:sz="0" w:space="0" w:color="auto"/>
        <w:left w:val="none" w:sz="0" w:space="0" w:color="auto"/>
        <w:bottom w:val="none" w:sz="0" w:space="0" w:color="auto"/>
        <w:right w:val="none" w:sz="0" w:space="0" w:color="auto"/>
      </w:divBdr>
    </w:div>
    <w:div w:id="565145059">
      <w:bodyDiv w:val="1"/>
      <w:marLeft w:val="0"/>
      <w:marRight w:val="0"/>
      <w:marTop w:val="0"/>
      <w:marBottom w:val="0"/>
      <w:divBdr>
        <w:top w:val="none" w:sz="0" w:space="0" w:color="auto"/>
        <w:left w:val="none" w:sz="0" w:space="0" w:color="auto"/>
        <w:bottom w:val="none" w:sz="0" w:space="0" w:color="auto"/>
        <w:right w:val="none" w:sz="0" w:space="0" w:color="auto"/>
      </w:divBdr>
    </w:div>
    <w:div w:id="653603446">
      <w:bodyDiv w:val="1"/>
      <w:marLeft w:val="0"/>
      <w:marRight w:val="0"/>
      <w:marTop w:val="0"/>
      <w:marBottom w:val="0"/>
      <w:divBdr>
        <w:top w:val="none" w:sz="0" w:space="0" w:color="auto"/>
        <w:left w:val="none" w:sz="0" w:space="0" w:color="auto"/>
        <w:bottom w:val="none" w:sz="0" w:space="0" w:color="auto"/>
        <w:right w:val="none" w:sz="0" w:space="0" w:color="auto"/>
      </w:divBdr>
    </w:div>
    <w:div w:id="713193215">
      <w:bodyDiv w:val="1"/>
      <w:marLeft w:val="0"/>
      <w:marRight w:val="0"/>
      <w:marTop w:val="0"/>
      <w:marBottom w:val="0"/>
      <w:divBdr>
        <w:top w:val="none" w:sz="0" w:space="0" w:color="auto"/>
        <w:left w:val="none" w:sz="0" w:space="0" w:color="auto"/>
        <w:bottom w:val="none" w:sz="0" w:space="0" w:color="auto"/>
        <w:right w:val="none" w:sz="0" w:space="0" w:color="auto"/>
      </w:divBdr>
    </w:div>
    <w:div w:id="752354575">
      <w:bodyDiv w:val="1"/>
      <w:marLeft w:val="0"/>
      <w:marRight w:val="0"/>
      <w:marTop w:val="0"/>
      <w:marBottom w:val="0"/>
      <w:divBdr>
        <w:top w:val="none" w:sz="0" w:space="0" w:color="auto"/>
        <w:left w:val="none" w:sz="0" w:space="0" w:color="auto"/>
        <w:bottom w:val="none" w:sz="0" w:space="0" w:color="auto"/>
        <w:right w:val="none" w:sz="0" w:space="0" w:color="auto"/>
      </w:divBdr>
    </w:div>
    <w:div w:id="755051799">
      <w:bodyDiv w:val="1"/>
      <w:marLeft w:val="0"/>
      <w:marRight w:val="0"/>
      <w:marTop w:val="0"/>
      <w:marBottom w:val="0"/>
      <w:divBdr>
        <w:top w:val="none" w:sz="0" w:space="0" w:color="auto"/>
        <w:left w:val="none" w:sz="0" w:space="0" w:color="auto"/>
        <w:bottom w:val="none" w:sz="0" w:space="0" w:color="auto"/>
        <w:right w:val="none" w:sz="0" w:space="0" w:color="auto"/>
      </w:divBdr>
      <w:divsChild>
        <w:div w:id="1081410183">
          <w:marLeft w:val="547"/>
          <w:marRight w:val="0"/>
          <w:marTop w:val="264"/>
          <w:marBottom w:val="0"/>
          <w:divBdr>
            <w:top w:val="none" w:sz="0" w:space="0" w:color="auto"/>
            <w:left w:val="none" w:sz="0" w:space="0" w:color="auto"/>
            <w:bottom w:val="none" w:sz="0" w:space="0" w:color="auto"/>
            <w:right w:val="none" w:sz="0" w:space="0" w:color="auto"/>
          </w:divBdr>
        </w:div>
        <w:div w:id="1500734393">
          <w:marLeft w:val="1166"/>
          <w:marRight w:val="0"/>
          <w:marTop w:val="264"/>
          <w:marBottom w:val="0"/>
          <w:divBdr>
            <w:top w:val="none" w:sz="0" w:space="0" w:color="auto"/>
            <w:left w:val="none" w:sz="0" w:space="0" w:color="auto"/>
            <w:bottom w:val="none" w:sz="0" w:space="0" w:color="auto"/>
            <w:right w:val="none" w:sz="0" w:space="0" w:color="auto"/>
          </w:divBdr>
        </w:div>
        <w:div w:id="602033320">
          <w:marLeft w:val="1166"/>
          <w:marRight w:val="0"/>
          <w:marTop w:val="264"/>
          <w:marBottom w:val="0"/>
          <w:divBdr>
            <w:top w:val="none" w:sz="0" w:space="0" w:color="auto"/>
            <w:left w:val="none" w:sz="0" w:space="0" w:color="auto"/>
            <w:bottom w:val="none" w:sz="0" w:space="0" w:color="auto"/>
            <w:right w:val="none" w:sz="0" w:space="0" w:color="auto"/>
          </w:divBdr>
        </w:div>
        <w:div w:id="75130018">
          <w:marLeft w:val="1166"/>
          <w:marRight w:val="0"/>
          <w:marTop w:val="264"/>
          <w:marBottom w:val="0"/>
          <w:divBdr>
            <w:top w:val="none" w:sz="0" w:space="0" w:color="auto"/>
            <w:left w:val="none" w:sz="0" w:space="0" w:color="auto"/>
            <w:bottom w:val="none" w:sz="0" w:space="0" w:color="auto"/>
            <w:right w:val="none" w:sz="0" w:space="0" w:color="auto"/>
          </w:divBdr>
        </w:div>
        <w:div w:id="372119237">
          <w:marLeft w:val="1166"/>
          <w:marRight w:val="0"/>
          <w:marTop w:val="264"/>
          <w:marBottom w:val="0"/>
          <w:divBdr>
            <w:top w:val="none" w:sz="0" w:space="0" w:color="auto"/>
            <w:left w:val="none" w:sz="0" w:space="0" w:color="auto"/>
            <w:bottom w:val="none" w:sz="0" w:space="0" w:color="auto"/>
            <w:right w:val="none" w:sz="0" w:space="0" w:color="auto"/>
          </w:divBdr>
        </w:div>
        <w:div w:id="772019059">
          <w:marLeft w:val="1166"/>
          <w:marRight w:val="0"/>
          <w:marTop w:val="264"/>
          <w:marBottom w:val="0"/>
          <w:divBdr>
            <w:top w:val="none" w:sz="0" w:space="0" w:color="auto"/>
            <w:left w:val="none" w:sz="0" w:space="0" w:color="auto"/>
            <w:bottom w:val="none" w:sz="0" w:space="0" w:color="auto"/>
            <w:right w:val="none" w:sz="0" w:space="0" w:color="auto"/>
          </w:divBdr>
        </w:div>
      </w:divsChild>
    </w:div>
    <w:div w:id="826017891">
      <w:bodyDiv w:val="1"/>
      <w:marLeft w:val="0"/>
      <w:marRight w:val="0"/>
      <w:marTop w:val="0"/>
      <w:marBottom w:val="0"/>
      <w:divBdr>
        <w:top w:val="none" w:sz="0" w:space="0" w:color="auto"/>
        <w:left w:val="none" w:sz="0" w:space="0" w:color="auto"/>
        <w:bottom w:val="none" w:sz="0" w:space="0" w:color="auto"/>
        <w:right w:val="none" w:sz="0" w:space="0" w:color="auto"/>
      </w:divBdr>
      <w:divsChild>
        <w:div w:id="1398240399">
          <w:marLeft w:val="547"/>
          <w:marRight w:val="0"/>
          <w:marTop w:val="125"/>
          <w:marBottom w:val="0"/>
          <w:divBdr>
            <w:top w:val="none" w:sz="0" w:space="0" w:color="auto"/>
            <w:left w:val="none" w:sz="0" w:space="0" w:color="auto"/>
            <w:bottom w:val="none" w:sz="0" w:space="0" w:color="auto"/>
            <w:right w:val="none" w:sz="0" w:space="0" w:color="auto"/>
          </w:divBdr>
        </w:div>
        <w:div w:id="1659532131">
          <w:marLeft w:val="547"/>
          <w:marRight w:val="0"/>
          <w:marTop w:val="125"/>
          <w:marBottom w:val="0"/>
          <w:divBdr>
            <w:top w:val="none" w:sz="0" w:space="0" w:color="auto"/>
            <w:left w:val="none" w:sz="0" w:space="0" w:color="auto"/>
            <w:bottom w:val="none" w:sz="0" w:space="0" w:color="auto"/>
            <w:right w:val="none" w:sz="0" w:space="0" w:color="auto"/>
          </w:divBdr>
        </w:div>
      </w:divsChild>
    </w:div>
    <w:div w:id="878130725">
      <w:bodyDiv w:val="1"/>
      <w:marLeft w:val="0"/>
      <w:marRight w:val="0"/>
      <w:marTop w:val="0"/>
      <w:marBottom w:val="0"/>
      <w:divBdr>
        <w:top w:val="none" w:sz="0" w:space="0" w:color="auto"/>
        <w:left w:val="none" w:sz="0" w:space="0" w:color="auto"/>
        <w:bottom w:val="none" w:sz="0" w:space="0" w:color="auto"/>
        <w:right w:val="none" w:sz="0" w:space="0" w:color="auto"/>
      </w:divBdr>
      <w:divsChild>
        <w:div w:id="1404448420">
          <w:marLeft w:val="547"/>
          <w:marRight w:val="0"/>
          <w:marTop w:val="96"/>
          <w:marBottom w:val="0"/>
          <w:divBdr>
            <w:top w:val="none" w:sz="0" w:space="0" w:color="auto"/>
            <w:left w:val="none" w:sz="0" w:space="0" w:color="auto"/>
            <w:bottom w:val="none" w:sz="0" w:space="0" w:color="auto"/>
            <w:right w:val="none" w:sz="0" w:space="0" w:color="auto"/>
          </w:divBdr>
        </w:div>
        <w:div w:id="1757676979">
          <w:marLeft w:val="547"/>
          <w:marRight w:val="0"/>
          <w:marTop w:val="96"/>
          <w:marBottom w:val="0"/>
          <w:divBdr>
            <w:top w:val="none" w:sz="0" w:space="0" w:color="auto"/>
            <w:left w:val="none" w:sz="0" w:space="0" w:color="auto"/>
            <w:bottom w:val="none" w:sz="0" w:space="0" w:color="auto"/>
            <w:right w:val="none" w:sz="0" w:space="0" w:color="auto"/>
          </w:divBdr>
        </w:div>
      </w:divsChild>
    </w:div>
    <w:div w:id="881019174">
      <w:bodyDiv w:val="1"/>
      <w:marLeft w:val="0"/>
      <w:marRight w:val="0"/>
      <w:marTop w:val="0"/>
      <w:marBottom w:val="0"/>
      <w:divBdr>
        <w:top w:val="none" w:sz="0" w:space="0" w:color="auto"/>
        <w:left w:val="none" w:sz="0" w:space="0" w:color="auto"/>
        <w:bottom w:val="none" w:sz="0" w:space="0" w:color="auto"/>
        <w:right w:val="none" w:sz="0" w:space="0" w:color="auto"/>
      </w:divBdr>
    </w:div>
    <w:div w:id="964849758">
      <w:bodyDiv w:val="1"/>
      <w:marLeft w:val="0"/>
      <w:marRight w:val="0"/>
      <w:marTop w:val="0"/>
      <w:marBottom w:val="0"/>
      <w:divBdr>
        <w:top w:val="none" w:sz="0" w:space="0" w:color="auto"/>
        <w:left w:val="none" w:sz="0" w:space="0" w:color="auto"/>
        <w:bottom w:val="none" w:sz="0" w:space="0" w:color="auto"/>
        <w:right w:val="none" w:sz="0" w:space="0" w:color="auto"/>
      </w:divBdr>
    </w:div>
    <w:div w:id="978269022">
      <w:bodyDiv w:val="1"/>
      <w:marLeft w:val="0"/>
      <w:marRight w:val="0"/>
      <w:marTop w:val="0"/>
      <w:marBottom w:val="0"/>
      <w:divBdr>
        <w:top w:val="none" w:sz="0" w:space="0" w:color="auto"/>
        <w:left w:val="none" w:sz="0" w:space="0" w:color="auto"/>
        <w:bottom w:val="none" w:sz="0" w:space="0" w:color="auto"/>
        <w:right w:val="none" w:sz="0" w:space="0" w:color="auto"/>
      </w:divBdr>
    </w:div>
    <w:div w:id="980772729">
      <w:bodyDiv w:val="1"/>
      <w:marLeft w:val="0"/>
      <w:marRight w:val="0"/>
      <w:marTop w:val="0"/>
      <w:marBottom w:val="0"/>
      <w:divBdr>
        <w:top w:val="none" w:sz="0" w:space="0" w:color="auto"/>
        <w:left w:val="none" w:sz="0" w:space="0" w:color="auto"/>
        <w:bottom w:val="none" w:sz="0" w:space="0" w:color="auto"/>
        <w:right w:val="none" w:sz="0" w:space="0" w:color="auto"/>
      </w:divBdr>
    </w:div>
    <w:div w:id="1032995029">
      <w:bodyDiv w:val="1"/>
      <w:marLeft w:val="0"/>
      <w:marRight w:val="0"/>
      <w:marTop w:val="0"/>
      <w:marBottom w:val="0"/>
      <w:divBdr>
        <w:top w:val="none" w:sz="0" w:space="0" w:color="auto"/>
        <w:left w:val="none" w:sz="0" w:space="0" w:color="auto"/>
        <w:bottom w:val="none" w:sz="0" w:space="0" w:color="auto"/>
        <w:right w:val="none" w:sz="0" w:space="0" w:color="auto"/>
      </w:divBdr>
      <w:divsChild>
        <w:div w:id="280842693">
          <w:marLeft w:val="1166"/>
          <w:marRight w:val="0"/>
          <w:marTop w:val="86"/>
          <w:marBottom w:val="0"/>
          <w:divBdr>
            <w:top w:val="none" w:sz="0" w:space="0" w:color="auto"/>
            <w:left w:val="none" w:sz="0" w:space="0" w:color="auto"/>
            <w:bottom w:val="none" w:sz="0" w:space="0" w:color="auto"/>
            <w:right w:val="none" w:sz="0" w:space="0" w:color="auto"/>
          </w:divBdr>
        </w:div>
        <w:div w:id="525948989">
          <w:marLeft w:val="547"/>
          <w:marRight w:val="0"/>
          <w:marTop w:val="86"/>
          <w:marBottom w:val="0"/>
          <w:divBdr>
            <w:top w:val="none" w:sz="0" w:space="0" w:color="auto"/>
            <w:left w:val="none" w:sz="0" w:space="0" w:color="auto"/>
            <w:bottom w:val="none" w:sz="0" w:space="0" w:color="auto"/>
            <w:right w:val="none" w:sz="0" w:space="0" w:color="auto"/>
          </w:divBdr>
        </w:div>
        <w:div w:id="594897065">
          <w:marLeft w:val="1166"/>
          <w:marRight w:val="0"/>
          <w:marTop w:val="86"/>
          <w:marBottom w:val="0"/>
          <w:divBdr>
            <w:top w:val="none" w:sz="0" w:space="0" w:color="auto"/>
            <w:left w:val="none" w:sz="0" w:space="0" w:color="auto"/>
            <w:bottom w:val="none" w:sz="0" w:space="0" w:color="auto"/>
            <w:right w:val="none" w:sz="0" w:space="0" w:color="auto"/>
          </w:divBdr>
        </w:div>
        <w:div w:id="716317104">
          <w:marLeft w:val="1166"/>
          <w:marRight w:val="0"/>
          <w:marTop w:val="86"/>
          <w:marBottom w:val="0"/>
          <w:divBdr>
            <w:top w:val="none" w:sz="0" w:space="0" w:color="auto"/>
            <w:left w:val="none" w:sz="0" w:space="0" w:color="auto"/>
            <w:bottom w:val="none" w:sz="0" w:space="0" w:color="auto"/>
            <w:right w:val="none" w:sz="0" w:space="0" w:color="auto"/>
          </w:divBdr>
        </w:div>
        <w:div w:id="903443191">
          <w:marLeft w:val="1166"/>
          <w:marRight w:val="0"/>
          <w:marTop w:val="86"/>
          <w:marBottom w:val="0"/>
          <w:divBdr>
            <w:top w:val="none" w:sz="0" w:space="0" w:color="auto"/>
            <w:left w:val="none" w:sz="0" w:space="0" w:color="auto"/>
            <w:bottom w:val="none" w:sz="0" w:space="0" w:color="auto"/>
            <w:right w:val="none" w:sz="0" w:space="0" w:color="auto"/>
          </w:divBdr>
        </w:div>
        <w:div w:id="983117089">
          <w:marLeft w:val="547"/>
          <w:marRight w:val="0"/>
          <w:marTop w:val="86"/>
          <w:marBottom w:val="0"/>
          <w:divBdr>
            <w:top w:val="none" w:sz="0" w:space="0" w:color="auto"/>
            <w:left w:val="none" w:sz="0" w:space="0" w:color="auto"/>
            <w:bottom w:val="none" w:sz="0" w:space="0" w:color="auto"/>
            <w:right w:val="none" w:sz="0" w:space="0" w:color="auto"/>
          </w:divBdr>
        </w:div>
        <w:div w:id="1010329244">
          <w:marLeft w:val="1166"/>
          <w:marRight w:val="0"/>
          <w:marTop w:val="86"/>
          <w:marBottom w:val="0"/>
          <w:divBdr>
            <w:top w:val="none" w:sz="0" w:space="0" w:color="auto"/>
            <w:left w:val="none" w:sz="0" w:space="0" w:color="auto"/>
            <w:bottom w:val="none" w:sz="0" w:space="0" w:color="auto"/>
            <w:right w:val="none" w:sz="0" w:space="0" w:color="auto"/>
          </w:divBdr>
        </w:div>
        <w:div w:id="1286737095">
          <w:marLeft w:val="1166"/>
          <w:marRight w:val="0"/>
          <w:marTop w:val="86"/>
          <w:marBottom w:val="0"/>
          <w:divBdr>
            <w:top w:val="none" w:sz="0" w:space="0" w:color="auto"/>
            <w:left w:val="none" w:sz="0" w:space="0" w:color="auto"/>
            <w:bottom w:val="none" w:sz="0" w:space="0" w:color="auto"/>
            <w:right w:val="none" w:sz="0" w:space="0" w:color="auto"/>
          </w:divBdr>
        </w:div>
        <w:div w:id="1688558077">
          <w:marLeft w:val="1166"/>
          <w:marRight w:val="0"/>
          <w:marTop w:val="86"/>
          <w:marBottom w:val="0"/>
          <w:divBdr>
            <w:top w:val="none" w:sz="0" w:space="0" w:color="auto"/>
            <w:left w:val="none" w:sz="0" w:space="0" w:color="auto"/>
            <w:bottom w:val="none" w:sz="0" w:space="0" w:color="auto"/>
            <w:right w:val="none" w:sz="0" w:space="0" w:color="auto"/>
          </w:divBdr>
        </w:div>
        <w:div w:id="1768310839">
          <w:marLeft w:val="1166"/>
          <w:marRight w:val="0"/>
          <w:marTop w:val="86"/>
          <w:marBottom w:val="0"/>
          <w:divBdr>
            <w:top w:val="none" w:sz="0" w:space="0" w:color="auto"/>
            <w:left w:val="none" w:sz="0" w:space="0" w:color="auto"/>
            <w:bottom w:val="none" w:sz="0" w:space="0" w:color="auto"/>
            <w:right w:val="none" w:sz="0" w:space="0" w:color="auto"/>
          </w:divBdr>
        </w:div>
        <w:div w:id="2001424704">
          <w:marLeft w:val="547"/>
          <w:marRight w:val="0"/>
          <w:marTop w:val="86"/>
          <w:marBottom w:val="0"/>
          <w:divBdr>
            <w:top w:val="none" w:sz="0" w:space="0" w:color="auto"/>
            <w:left w:val="none" w:sz="0" w:space="0" w:color="auto"/>
            <w:bottom w:val="none" w:sz="0" w:space="0" w:color="auto"/>
            <w:right w:val="none" w:sz="0" w:space="0" w:color="auto"/>
          </w:divBdr>
        </w:div>
        <w:div w:id="2111510631">
          <w:marLeft w:val="547"/>
          <w:marRight w:val="0"/>
          <w:marTop w:val="86"/>
          <w:marBottom w:val="0"/>
          <w:divBdr>
            <w:top w:val="none" w:sz="0" w:space="0" w:color="auto"/>
            <w:left w:val="none" w:sz="0" w:space="0" w:color="auto"/>
            <w:bottom w:val="none" w:sz="0" w:space="0" w:color="auto"/>
            <w:right w:val="none" w:sz="0" w:space="0" w:color="auto"/>
          </w:divBdr>
        </w:div>
      </w:divsChild>
    </w:div>
    <w:div w:id="1038746671">
      <w:bodyDiv w:val="1"/>
      <w:marLeft w:val="0"/>
      <w:marRight w:val="0"/>
      <w:marTop w:val="0"/>
      <w:marBottom w:val="0"/>
      <w:divBdr>
        <w:top w:val="none" w:sz="0" w:space="0" w:color="auto"/>
        <w:left w:val="none" w:sz="0" w:space="0" w:color="auto"/>
        <w:bottom w:val="none" w:sz="0" w:space="0" w:color="auto"/>
        <w:right w:val="none" w:sz="0" w:space="0" w:color="auto"/>
      </w:divBdr>
    </w:div>
    <w:div w:id="1235046208">
      <w:bodyDiv w:val="1"/>
      <w:marLeft w:val="0"/>
      <w:marRight w:val="0"/>
      <w:marTop w:val="0"/>
      <w:marBottom w:val="0"/>
      <w:divBdr>
        <w:top w:val="none" w:sz="0" w:space="0" w:color="auto"/>
        <w:left w:val="none" w:sz="0" w:space="0" w:color="auto"/>
        <w:bottom w:val="none" w:sz="0" w:space="0" w:color="auto"/>
        <w:right w:val="none" w:sz="0" w:space="0" w:color="auto"/>
      </w:divBdr>
    </w:div>
    <w:div w:id="1308239069">
      <w:bodyDiv w:val="1"/>
      <w:marLeft w:val="0"/>
      <w:marRight w:val="0"/>
      <w:marTop w:val="0"/>
      <w:marBottom w:val="0"/>
      <w:divBdr>
        <w:top w:val="none" w:sz="0" w:space="0" w:color="auto"/>
        <w:left w:val="none" w:sz="0" w:space="0" w:color="auto"/>
        <w:bottom w:val="none" w:sz="0" w:space="0" w:color="auto"/>
        <w:right w:val="none" w:sz="0" w:space="0" w:color="auto"/>
      </w:divBdr>
    </w:div>
    <w:div w:id="1390152797">
      <w:bodyDiv w:val="1"/>
      <w:marLeft w:val="0"/>
      <w:marRight w:val="0"/>
      <w:marTop w:val="0"/>
      <w:marBottom w:val="0"/>
      <w:divBdr>
        <w:top w:val="none" w:sz="0" w:space="0" w:color="auto"/>
        <w:left w:val="none" w:sz="0" w:space="0" w:color="auto"/>
        <w:bottom w:val="none" w:sz="0" w:space="0" w:color="auto"/>
        <w:right w:val="none" w:sz="0" w:space="0" w:color="auto"/>
      </w:divBdr>
    </w:div>
    <w:div w:id="1393700698">
      <w:bodyDiv w:val="1"/>
      <w:marLeft w:val="0"/>
      <w:marRight w:val="0"/>
      <w:marTop w:val="0"/>
      <w:marBottom w:val="0"/>
      <w:divBdr>
        <w:top w:val="none" w:sz="0" w:space="0" w:color="auto"/>
        <w:left w:val="none" w:sz="0" w:space="0" w:color="auto"/>
        <w:bottom w:val="none" w:sz="0" w:space="0" w:color="auto"/>
        <w:right w:val="none" w:sz="0" w:space="0" w:color="auto"/>
      </w:divBdr>
      <w:divsChild>
        <w:div w:id="1496528155">
          <w:marLeft w:val="547"/>
          <w:marRight w:val="0"/>
          <w:marTop w:val="77"/>
          <w:marBottom w:val="0"/>
          <w:divBdr>
            <w:top w:val="none" w:sz="0" w:space="0" w:color="auto"/>
            <w:left w:val="none" w:sz="0" w:space="0" w:color="auto"/>
            <w:bottom w:val="none" w:sz="0" w:space="0" w:color="auto"/>
            <w:right w:val="none" w:sz="0" w:space="0" w:color="auto"/>
          </w:divBdr>
        </w:div>
        <w:div w:id="315648650">
          <w:marLeft w:val="547"/>
          <w:marRight w:val="0"/>
          <w:marTop w:val="77"/>
          <w:marBottom w:val="0"/>
          <w:divBdr>
            <w:top w:val="none" w:sz="0" w:space="0" w:color="auto"/>
            <w:left w:val="none" w:sz="0" w:space="0" w:color="auto"/>
            <w:bottom w:val="none" w:sz="0" w:space="0" w:color="auto"/>
            <w:right w:val="none" w:sz="0" w:space="0" w:color="auto"/>
          </w:divBdr>
        </w:div>
        <w:div w:id="977950806">
          <w:marLeft w:val="547"/>
          <w:marRight w:val="0"/>
          <w:marTop w:val="77"/>
          <w:marBottom w:val="0"/>
          <w:divBdr>
            <w:top w:val="none" w:sz="0" w:space="0" w:color="auto"/>
            <w:left w:val="none" w:sz="0" w:space="0" w:color="auto"/>
            <w:bottom w:val="none" w:sz="0" w:space="0" w:color="auto"/>
            <w:right w:val="none" w:sz="0" w:space="0" w:color="auto"/>
          </w:divBdr>
        </w:div>
        <w:div w:id="1207985792">
          <w:marLeft w:val="547"/>
          <w:marRight w:val="0"/>
          <w:marTop w:val="77"/>
          <w:marBottom w:val="0"/>
          <w:divBdr>
            <w:top w:val="none" w:sz="0" w:space="0" w:color="auto"/>
            <w:left w:val="none" w:sz="0" w:space="0" w:color="auto"/>
            <w:bottom w:val="none" w:sz="0" w:space="0" w:color="auto"/>
            <w:right w:val="none" w:sz="0" w:space="0" w:color="auto"/>
          </w:divBdr>
        </w:div>
      </w:divsChild>
    </w:div>
    <w:div w:id="1404914172">
      <w:bodyDiv w:val="1"/>
      <w:marLeft w:val="0"/>
      <w:marRight w:val="0"/>
      <w:marTop w:val="0"/>
      <w:marBottom w:val="0"/>
      <w:divBdr>
        <w:top w:val="none" w:sz="0" w:space="0" w:color="auto"/>
        <w:left w:val="none" w:sz="0" w:space="0" w:color="auto"/>
        <w:bottom w:val="none" w:sz="0" w:space="0" w:color="auto"/>
        <w:right w:val="none" w:sz="0" w:space="0" w:color="auto"/>
      </w:divBdr>
    </w:div>
    <w:div w:id="1412191268">
      <w:bodyDiv w:val="1"/>
      <w:marLeft w:val="0"/>
      <w:marRight w:val="0"/>
      <w:marTop w:val="0"/>
      <w:marBottom w:val="0"/>
      <w:divBdr>
        <w:top w:val="none" w:sz="0" w:space="0" w:color="auto"/>
        <w:left w:val="none" w:sz="0" w:space="0" w:color="auto"/>
        <w:bottom w:val="none" w:sz="0" w:space="0" w:color="auto"/>
        <w:right w:val="none" w:sz="0" w:space="0" w:color="auto"/>
      </w:divBdr>
      <w:divsChild>
        <w:div w:id="1836069880">
          <w:marLeft w:val="0"/>
          <w:marRight w:val="0"/>
          <w:marTop w:val="290"/>
          <w:marBottom w:val="0"/>
          <w:divBdr>
            <w:top w:val="none" w:sz="0" w:space="0" w:color="auto"/>
            <w:left w:val="none" w:sz="0" w:space="0" w:color="auto"/>
            <w:bottom w:val="none" w:sz="0" w:space="0" w:color="auto"/>
            <w:right w:val="none" w:sz="0" w:space="0" w:color="auto"/>
          </w:divBdr>
        </w:div>
        <w:div w:id="1458135088">
          <w:marLeft w:val="1325"/>
          <w:marRight w:val="0"/>
          <w:marTop w:val="290"/>
          <w:marBottom w:val="0"/>
          <w:divBdr>
            <w:top w:val="none" w:sz="0" w:space="0" w:color="auto"/>
            <w:left w:val="none" w:sz="0" w:space="0" w:color="auto"/>
            <w:bottom w:val="none" w:sz="0" w:space="0" w:color="auto"/>
            <w:right w:val="none" w:sz="0" w:space="0" w:color="auto"/>
          </w:divBdr>
        </w:div>
        <w:div w:id="1245065275">
          <w:marLeft w:val="1325"/>
          <w:marRight w:val="0"/>
          <w:marTop w:val="290"/>
          <w:marBottom w:val="0"/>
          <w:divBdr>
            <w:top w:val="none" w:sz="0" w:space="0" w:color="auto"/>
            <w:left w:val="none" w:sz="0" w:space="0" w:color="auto"/>
            <w:bottom w:val="none" w:sz="0" w:space="0" w:color="auto"/>
            <w:right w:val="none" w:sz="0" w:space="0" w:color="auto"/>
          </w:divBdr>
        </w:div>
      </w:divsChild>
    </w:div>
    <w:div w:id="1414669147">
      <w:bodyDiv w:val="1"/>
      <w:marLeft w:val="0"/>
      <w:marRight w:val="0"/>
      <w:marTop w:val="0"/>
      <w:marBottom w:val="0"/>
      <w:divBdr>
        <w:top w:val="none" w:sz="0" w:space="0" w:color="auto"/>
        <w:left w:val="none" w:sz="0" w:space="0" w:color="auto"/>
        <w:bottom w:val="none" w:sz="0" w:space="0" w:color="auto"/>
        <w:right w:val="none" w:sz="0" w:space="0" w:color="auto"/>
      </w:divBdr>
    </w:div>
    <w:div w:id="1451319340">
      <w:bodyDiv w:val="1"/>
      <w:marLeft w:val="0"/>
      <w:marRight w:val="0"/>
      <w:marTop w:val="0"/>
      <w:marBottom w:val="0"/>
      <w:divBdr>
        <w:top w:val="none" w:sz="0" w:space="0" w:color="auto"/>
        <w:left w:val="none" w:sz="0" w:space="0" w:color="auto"/>
        <w:bottom w:val="none" w:sz="0" w:space="0" w:color="auto"/>
        <w:right w:val="none" w:sz="0" w:space="0" w:color="auto"/>
      </w:divBdr>
      <w:divsChild>
        <w:div w:id="617219244">
          <w:marLeft w:val="0"/>
          <w:marRight w:val="0"/>
          <w:marTop w:val="211"/>
          <w:marBottom w:val="0"/>
          <w:divBdr>
            <w:top w:val="none" w:sz="0" w:space="0" w:color="auto"/>
            <w:left w:val="none" w:sz="0" w:space="0" w:color="auto"/>
            <w:bottom w:val="none" w:sz="0" w:space="0" w:color="auto"/>
            <w:right w:val="none" w:sz="0" w:space="0" w:color="auto"/>
          </w:divBdr>
        </w:div>
        <w:div w:id="1755593167">
          <w:marLeft w:val="0"/>
          <w:marRight w:val="0"/>
          <w:marTop w:val="211"/>
          <w:marBottom w:val="0"/>
          <w:divBdr>
            <w:top w:val="none" w:sz="0" w:space="0" w:color="auto"/>
            <w:left w:val="none" w:sz="0" w:space="0" w:color="auto"/>
            <w:bottom w:val="none" w:sz="0" w:space="0" w:color="auto"/>
            <w:right w:val="none" w:sz="0" w:space="0" w:color="auto"/>
          </w:divBdr>
        </w:div>
        <w:div w:id="460807359">
          <w:marLeft w:val="0"/>
          <w:marRight w:val="0"/>
          <w:marTop w:val="211"/>
          <w:marBottom w:val="0"/>
          <w:divBdr>
            <w:top w:val="none" w:sz="0" w:space="0" w:color="auto"/>
            <w:left w:val="none" w:sz="0" w:space="0" w:color="auto"/>
            <w:bottom w:val="none" w:sz="0" w:space="0" w:color="auto"/>
            <w:right w:val="none" w:sz="0" w:space="0" w:color="auto"/>
          </w:divBdr>
        </w:div>
        <w:div w:id="291248983">
          <w:marLeft w:val="0"/>
          <w:marRight w:val="0"/>
          <w:marTop w:val="211"/>
          <w:marBottom w:val="0"/>
          <w:divBdr>
            <w:top w:val="none" w:sz="0" w:space="0" w:color="auto"/>
            <w:left w:val="none" w:sz="0" w:space="0" w:color="auto"/>
            <w:bottom w:val="none" w:sz="0" w:space="0" w:color="auto"/>
            <w:right w:val="none" w:sz="0" w:space="0" w:color="auto"/>
          </w:divBdr>
        </w:div>
      </w:divsChild>
    </w:div>
    <w:div w:id="1473985091">
      <w:bodyDiv w:val="1"/>
      <w:marLeft w:val="0"/>
      <w:marRight w:val="0"/>
      <w:marTop w:val="0"/>
      <w:marBottom w:val="0"/>
      <w:divBdr>
        <w:top w:val="none" w:sz="0" w:space="0" w:color="auto"/>
        <w:left w:val="none" w:sz="0" w:space="0" w:color="auto"/>
        <w:bottom w:val="none" w:sz="0" w:space="0" w:color="auto"/>
        <w:right w:val="none" w:sz="0" w:space="0" w:color="auto"/>
      </w:divBdr>
    </w:div>
    <w:div w:id="1476945270">
      <w:bodyDiv w:val="1"/>
      <w:marLeft w:val="0"/>
      <w:marRight w:val="0"/>
      <w:marTop w:val="0"/>
      <w:marBottom w:val="0"/>
      <w:divBdr>
        <w:top w:val="none" w:sz="0" w:space="0" w:color="auto"/>
        <w:left w:val="none" w:sz="0" w:space="0" w:color="auto"/>
        <w:bottom w:val="none" w:sz="0" w:space="0" w:color="auto"/>
        <w:right w:val="none" w:sz="0" w:space="0" w:color="auto"/>
      </w:divBdr>
      <w:divsChild>
        <w:div w:id="266742304">
          <w:marLeft w:val="547"/>
          <w:marRight w:val="0"/>
          <w:marTop w:val="125"/>
          <w:marBottom w:val="0"/>
          <w:divBdr>
            <w:top w:val="none" w:sz="0" w:space="0" w:color="auto"/>
            <w:left w:val="none" w:sz="0" w:space="0" w:color="auto"/>
            <w:bottom w:val="none" w:sz="0" w:space="0" w:color="auto"/>
            <w:right w:val="none" w:sz="0" w:space="0" w:color="auto"/>
          </w:divBdr>
        </w:div>
        <w:div w:id="493181210">
          <w:marLeft w:val="547"/>
          <w:marRight w:val="0"/>
          <w:marTop w:val="125"/>
          <w:marBottom w:val="0"/>
          <w:divBdr>
            <w:top w:val="none" w:sz="0" w:space="0" w:color="auto"/>
            <w:left w:val="none" w:sz="0" w:space="0" w:color="auto"/>
            <w:bottom w:val="none" w:sz="0" w:space="0" w:color="auto"/>
            <w:right w:val="none" w:sz="0" w:space="0" w:color="auto"/>
          </w:divBdr>
        </w:div>
        <w:div w:id="789201079">
          <w:marLeft w:val="547"/>
          <w:marRight w:val="0"/>
          <w:marTop w:val="125"/>
          <w:marBottom w:val="0"/>
          <w:divBdr>
            <w:top w:val="none" w:sz="0" w:space="0" w:color="auto"/>
            <w:left w:val="none" w:sz="0" w:space="0" w:color="auto"/>
            <w:bottom w:val="none" w:sz="0" w:space="0" w:color="auto"/>
            <w:right w:val="none" w:sz="0" w:space="0" w:color="auto"/>
          </w:divBdr>
        </w:div>
        <w:div w:id="1975981034">
          <w:marLeft w:val="547"/>
          <w:marRight w:val="0"/>
          <w:marTop w:val="125"/>
          <w:marBottom w:val="0"/>
          <w:divBdr>
            <w:top w:val="none" w:sz="0" w:space="0" w:color="auto"/>
            <w:left w:val="none" w:sz="0" w:space="0" w:color="auto"/>
            <w:bottom w:val="none" w:sz="0" w:space="0" w:color="auto"/>
            <w:right w:val="none" w:sz="0" w:space="0" w:color="auto"/>
          </w:divBdr>
        </w:div>
      </w:divsChild>
    </w:div>
    <w:div w:id="1500998931">
      <w:bodyDiv w:val="1"/>
      <w:marLeft w:val="0"/>
      <w:marRight w:val="0"/>
      <w:marTop w:val="0"/>
      <w:marBottom w:val="0"/>
      <w:divBdr>
        <w:top w:val="none" w:sz="0" w:space="0" w:color="auto"/>
        <w:left w:val="none" w:sz="0" w:space="0" w:color="auto"/>
        <w:bottom w:val="none" w:sz="0" w:space="0" w:color="auto"/>
        <w:right w:val="none" w:sz="0" w:space="0" w:color="auto"/>
      </w:divBdr>
      <w:divsChild>
        <w:div w:id="657536424">
          <w:marLeft w:val="0"/>
          <w:marRight w:val="0"/>
          <w:marTop w:val="211"/>
          <w:marBottom w:val="0"/>
          <w:divBdr>
            <w:top w:val="none" w:sz="0" w:space="0" w:color="auto"/>
            <w:left w:val="none" w:sz="0" w:space="0" w:color="auto"/>
            <w:bottom w:val="none" w:sz="0" w:space="0" w:color="auto"/>
            <w:right w:val="none" w:sz="0" w:space="0" w:color="auto"/>
          </w:divBdr>
        </w:div>
        <w:div w:id="1931326">
          <w:marLeft w:val="0"/>
          <w:marRight w:val="0"/>
          <w:marTop w:val="211"/>
          <w:marBottom w:val="0"/>
          <w:divBdr>
            <w:top w:val="none" w:sz="0" w:space="0" w:color="auto"/>
            <w:left w:val="none" w:sz="0" w:space="0" w:color="auto"/>
            <w:bottom w:val="none" w:sz="0" w:space="0" w:color="auto"/>
            <w:right w:val="none" w:sz="0" w:space="0" w:color="auto"/>
          </w:divBdr>
        </w:div>
        <w:div w:id="1997608720">
          <w:marLeft w:val="0"/>
          <w:marRight w:val="0"/>
          <w:marTop w:val="211"/>
          <w:marBottom w:val="0"/>
          <w:divBdr>
            <w:top w:val="none" w:sz="0" w:space="0" w:color="auto"/>
            <w:left w:val="none" w:sz="0" w:space="0" w:color="auto"/>
            <w:bottom w:val="none" w:sz="0" w:space="0" w:color="auto"/>
            <w:right w:val="none" w:sz="0" w:space="0" w:color="auto"/>
          </w:divBdr>
        </w:div>
        <w:div w:id="35396345">
          <w:marLeft w:val="0"/>
          <w:marRight w:val="0"/>
          <w:marTop w:val="211"/>
          <w:marBottom w:val="0"/>
          <w:divBdr>
            <w:top w:val="none" w:sz="0" w:space="0" w:color="auto"/>
            <w:left w:val="none" w:sz="0" w:space="0" w:color="auto"/>
            <w:bottom w:val="none" w:sz="0" w:space="0" w:color="auto"/>
            <w:right w:val="none" w:sz="0" w:space="0" w:color="auto"/>
          </w:divBdr>
        </w:div>
      </w:divsChild>
    </w:div>
    <w:div w:id="1526939785">
      <w:bodyDiv w:val="1"/>
      <w:marLeft w:val="0"/>
      <w:marRight w:val="0"/>
      <w:marTop w:val="0"/>
      <w:marBottom w:val="0"/>
      <w:divBdr>
        <w:top w:val="none" w:sz="0" w:space="0" w:color="auto"/>
        <w:left w:val="none" w:sz="0" w:space="0" w:color="auto"/>
        <w:bottom w:val="none" w:sz="0" w:space="0" w:color="auto"/>
        <w:right w:val="none" w:sz="0" w:space="0" w:color="auto"/>
      </w:divBdr>
      <w:divsChild>
        <w:div w:id="1332290783">
          <w:marLeft w:val="547"/>
          <w:marRight w:val="0"/>
          <w:marTop w:val="96"/>
          <w:marBottom w:val="0"/>
          <w:divBdr>
            <w:top w:val="none" w:sz="0" w:space="0" w:color="auto"/>
            <w:left w:val="none" w:sz="0" w:space="0" w:color="auto"/>
            <w:bottom w:val="none" w:sz="0" w:space="0" w:color="auto"/>
            <w:right w:val="none" w:sz="0" w:space="0" w:color="auto"/>
          </w:divBdr>
        </w:div>
        <w:div w:id="778572992">
          <w:marLeft w:val="547"/>
          <w:marRight w:val="0"/>
          <w:marTop w:val="192"/>
          <w:marBottom w:val="192"/>
          <w:divBdr>
            <w:top w:val="none" w:sz="0" w:space="0" w:color="auto"/>
            <w:left w:val="none" w:sz="0" w:space="0" w:color="auto"/>
            <w:bottom w:val="none" w:sz="0" w:space="0" w:color="auto"/>
            <w:right w:val="none" w:sz="0" w:space="0" w:color="auto"/>
          </w:divBdr>
        </w:div>
        <w:div w:id="1284192430">
          <w:marLeft w:val="547"/>
          <w:marRight w:val="0"/>
          <w:marTop w:val="96"/>
          <w:marBottom w:val="0"/>
          <w:divBdr>
            <w:top w:val="none" w:sz="0" w:space="0" w:color="auto"/>
            <w:left w:val="none" w:sz="0" w:space="0" w:color="auto"/>
            <w:bottom w:val="none" w:sz="0" w:space="0" w:color="auto"/>
            <w:right w:val="none" w:sz="0" w:space="0" w:color="auto"/>
          </w:divBdr>
        </w:div>
        <w:div w:id="2112116164">
          <w:marLeft w:val="547"/>
          <w:marRight w:val="0"/>
          <w:marTop w:val="96"/>
          <w:marBottom w:val="0"/>
          <w:divBdr>
            <w:top w:val="none" w:sz="0" w:space="0" w:color="auto"/>
            <w:left w:val="none" w:sz="0" w:space="0" w:color="auto"/>
            <w:bottom w:val="none" w:sz="0" w:space="0" w:color="auto"/>
            <w:right w:val="none" w:sz="0" w:space="0" w:color="auto"/>
          </w:divBdr>
        </w:div>
        <w:div w:id="968778961">
          <w:marLeft w:val="547"/>
          <w:marRight w:val="0"/>
          <w:marTop w:val="240"/>
          <w:marBottom w:val="0"/>
          <w:divBdr>
            <w:top w:val="none" w:sz="0" w:space="0" w:color="auto"/>
            <w:left w:val="none" w:sz="0" w:space="0" w:color="auto"/>
            <w:bottom w:val="none" w:sz="0" w:space="0" w:color="auto"/>
            <w:right w:val="none" w:sz="0" w:space="0" w:color="auto"/>
          </w:divBdr>
        </w:div>
      </w:divsChild>
    </w:div>
    <w:div w:id="1571884830">
      <w:bodyDiv w:val="1"/>
      <w:marLeft w:val="0"/>
      <w:marRight w:val="0"/>
      <w:marTop w:val="0"/>
      <w:marBottom w:val="0"/>
      <w:divBdr>
        <w:top w:val="none" w:sz="0" w:space="0" w:color="auto"/>
        <w:left w:val="none" w:sz="0" w:space="0" w:color="auto"/>
        <w:bottom w:val="none" w:sz="0" w:space="0" w:color="auto"/>
        <w:right w:val="none" w:sz="0" w:space="0" w:color="auto"/>
      </w:divBdr>
    </w:div>
    <w:div w:id="1618105267">
      <w:bodyDiv w:val="1"/>
      <w:marLeft w:val="0"/>
      <w:marRight w:val="0"/>
      <w:marTop w:val="0"/>
      <w:marBottom w:val="0"/>
      <w:divBdr>
        <w:top w:val="none" w:sz="0" w:space="0" w:color="auto"/>
        <w:left w:val="none" w:sz="0" w:space="0" w:color="auto"/>
        <w:bottom w:val="none" w:sz="0" w:space="0" w:color="auto"/>
        <w:right w:val="none" w:sz="0" w:space="0" w:color="auto"/>
      </w:divBdr>
    </w:div>
    <w:div w:id="1666399659">
      <w:bodyDiv w:val="1"/>
      <w:marLeft w:val="0"/>
      <w:marRight w:val="0"/>
      <w:marTop w:val="0"/>
      <w:marBottom w:val="0"/>
      <w:divBdr>
        <w:top w:val="none" w:sz="0" w:space="0" w:color="auto"/>
        <w:left w:val="none" w:sz="0" w:space="0" w:color="auto"/>
        <w:bottom w:val="none" w:sz="0" w:space="0" w:color="auto"/>
        <w:right w:val="none" w:sz="0" w:space="0" w:color="auto"/>
      </w:divBdr>
    </w:div>
    <w:div w:id="1666743807">
      <w:bodyDiv w:val="1"/>
      <w:marLeft w:val="0"/>
      <w:marRight w:val="0"/>
      <w:marTop w:val="0"/>
      <w:marBottom w:val="0"/>
      <w:divBdr>
        <w:top w:val="none" w:sz="0" w:space="0" w:color="auto"/>
        <w:left w:val="none" w:sz="0" w:space="0" w:color="auto"/>
        <w:bottom w:val="none" w:sz="0" w:space="0" w:color="auto"/>
        <w:right w:val="none" w:sz="0" w:space="0" w:color="auto"/>
      </w:divBdr>
    </w:div>
    <w:div w:id="1716537457">
      <w:bodyDiv w:val="1"/>
      <w:marLeft w:val="0"/>
      <w:marRight w:val="0"/>
      <w:marTop w:val="0"/>
      <w:marBottom w:val="0"/>
      <w:divBdr>
        <w:top w:val="none" w:sz="0" w:space="0" w:color="auto"/>
        <w:left w:val="none" w:sz="0" w:space="0" w:color="auto"/>
        <w:bottom w:val="none" w:sz="0" w:space="0" w:color="auto"/>
        <w:right w:val="none" w:sz="0" w:space="0" w:color="auto"/>
      </w:divBdr>
      <w:divsChild>
        <w:div w:id="1689286680">
          <w:marLeft w:val="547"/>
          <w:marRight w:val="0"/>
          <w:marTop w:val="67"/>
          <w:marBottom w:val="0"/>
          <w:divBdr>
            <w:top w:val="none" w:sz="0" w:space="0" w:color="auto"/>
            <w:left w:val="none" w:sz="0" w:space="0" w:color="auto"/>
            <w:bottom w:val="none" w:sz="0" w:space="0" w:color="auto"/>
            <w:right w:val="none" w:sz="0" w:space="0" w:color="auto"/>
          </w:divBdr>
        </w:div>
      </w:divsChild>
    </w:div>
    <w:div w:id="1914268008">
      <w:bodyDiv w:val="1"/>
      <w:marLeft w:val="0"/>
      <w:marRight w:val="0"/>
      <w:marTop w:val="0"/>
      <w:marBottom w:val="0"/>
      <w:divBdr>
        <w:top w:val="none" w:sz="0" w:space="0" w:color="auto"/>
        <w:left w:val="none" w:sz="0" w:space="0" w:color="auto"/>
        <w:bottom w:val="none" w:sz="0" w:space="0" w:color="auto"/>
        <w:right w:val="none" w:sz="0" w:space="0" w:color="auto"/>
      </w:divBdr>
      <w:divsChild>
        <w:div w:id="1212182822">
          <w:marLeft w:val="547"/>
          <w:marRight w:val="0"/>
          <w:marTop w:val="86"/>
          <w:marBottom w:val="0"/>
          <w:divBdr>
            <w:top w:val="none" w:sz="0" w:space="0" w:color="auto"/>
            <w:left w:val="none" w:sz="0" w:space="0" w:color="auto"/>
            <w:bottom w:val="none" w:sz="0" w:space="0" w:color="auto"/>
            <w:right w:val="none" w:sz="0" w:space="0" w:color="auto"/>
          </w:divBdr>
        </w:div>
        <w:div w:id="1536965104">
          <w:marLeft w:val="547"/>
          <w:marRight w:val="0"/>
          <w:marTop w:val="86"/>
          <w:marBottom w:val="0"/>
          <w:divBdr>
            <w:top w:val="none" w:sz="0" w:space="0" w:color="auto"/>
            <w:left w:val="none" w:sz="0" w:space="0" w:color="auto"/>
            <w:bottom w:val="none" w:sz="0" w:space="0" w:color="auto"/>
            <w:right w:val="none" w:sz="0" w:space="0" w:color="auto"/>
          </w:divBdr>
        </w:div>
        <w:div w:id="1949002834">
          <w:marLeft w:val="547"/>
          <w:marRight w:val="0"/>
          <w:marTop w:val="86"/>
          <w:marBottom w:val="0"/>
          <w:divBdr>
            <w:top w:val="none" w:sz="0" w:space="0" w:color="auto"/>
            <w:left w:val="none" w:sz="0" w:space="0" w:color="auto"/>
            <w:bottom w:val="none" w:sz="0" w:space="0" w:color="auto"/>
            <w:right w:val="none" w:sz="0" w:space="0" w:color="auto"/>
          </w:divBdr>
        </w:div>
        <w:div w:id="2011325580">
          <w:marLeft w:val="547"/>
          <w:marRight w:val="0"/>
          <w:marTop w:val="86"/>
          <w:marBottom w:val="0"/>
          <w:divBdr>
            <w:top w:val="none" w:sz="0" w:space="0" w:color="auto"/>
            <w:left w:val="none" w:sz="0" w:space="0" w:color="auto"/>
            <w:bottom w:val="none" w:sz="0" w:space="0" w:color="auto"/>
            <w:right w:val="none" w:sz="0" w:space="0" w:color="auto"/>
          </w:divBdr>
        </w:div>
        <w:div w:id="1304656795">
          <w:marLeft w:val="1166"/>
          <w:marRight w:val="0"/>
          <w:marTop w:val="86"/>
          <w:marBottom w:val="0"/>
          <w:divBdr>
            <w:top w:val="none" w:sz="0" w:space="0" w:color="auto"/>
            <w:left w:val="none" w:sz="0" w:space="0" w:color="auto"/>
            <w:bottom w:val="none" w:sz="0" w:space="0" w:color="auto"/>
            <w:right w:val="none" w:sz="0" w:space="0" w:color="auto"/>
          </w:divBdr>
        </w:div>
        <w:div w:id="172039523">
          <w:marLeft w:val="1166"/>
          <w:marRight w:val="0"/>
          <w:marTop w:val="86"/>
          <w:marBottom w:val="0"/>
          <w:divBdr>
            <w:top w:val="none" w:sz="0" w:space="0" w:color="auto"/>
            <w:left w:val="none" w:sz="0" w:space="0" w:color="auto"/>
            <w:bottom w:val="none" w:sz="0" w:space="0" w:color="auto"/>
            <w:right w:val="none" w:sz="0" w:space="0" w:color="auto"/>
          </w:divBdr>
        </w:div>
      </w:divsChild>
    </w:div>
    <w:div w:id="1925339911">
      <w:bodyDiv w:val="1"/>
      <w:marLeft w:val="0"/>
      <w:marRight w:val="0"/>
      <w:marTop w:val="0"/>
      <w:marBottom w:val="0"/>
      <w:divBdr>
        <w:top w:val="none" w:sz="0" w:space="0" w:color="auto"/>
        <w:left w:val="none" w:sz="0" w:space="0" w:color="auto"/>
        <w:bottom w:val="none" w:sz="0" w:space="0" w:color="auto"/>
        <w:right w:val="none" w:sz="0" w:space="0" w:color="auto"/>
      </w:divBdr>
      <w:divsChild>
        <w:div w:id="1122579318">
          <w:marLeft w:val="547"/>
          <w:marRight w:val="0"/>
          <w:marTop w:val="125"/>
          <w:marBottom w:val="0"/>
          <w:divBdr>
            <w:top w:val="none" w:sz="0" w:space="0" w:color="auto"/>
            <w:left w:val="none" w:sz="0" w:space="0" w:color="auto"/>
            <w:bottom w:val="none" w:sz="0" w:space="0" w:color="auto"/>
            <w:right w:val="none" w:sz="0" w:space="0" w:color="auto"/>
          </w:divBdr>
        </w:div>
        <w:div w:id="1147236409">
          <w:marLeft w:val="547"/>
          <w:marRight w:val="0"/>
          <w:marTop w:val="125"/>
          <w:marBottom w:val="0"/>
          <w:divBdr>
            <w:top w:val="none" w:sz="0" w:space="0" w:color="auto"/>
            <w:left w:val="none" w:sz="0" w:space="0" w:color="auto"/>
            <w:bottom w:val="none" w:sz="0" w:space="0" w:color="auto"/>
            <w:right w:val="none" w:sz="0" w:space="0" w:color="auto"/>
          </w:divBdr>
        </w:div>
        <w:div w:id="1171523424">
          <w:marLeft w:val="547"/>
          <w:marRight w:val="0"/>
          <w:marTop w:val="125"/>
          <w:marBottom w:val="0"/>
          <w:divBdr>
            <w:top w:val="none" w:sz="0" w:space="0" w:color="auto"/>
            <w:left w:val="none" w:sz="0" w:space="0" w:color="auto"/>
            <w:bottom w:val="none" w:sz="0" w:space="0" w:color="auto"/>
            <w:right w:val="none" w:sz="0" w:space="0" w:color="auto"/>
          </w:divBdr>
        </w:div>
      </w:divsChild>
    </w:div>
    <w:div w:id="1974479241">
      <w:bodyDiv w:val="1"/>
      <w:marLeft w:val="0"/>
      <w:marRight w:val="0"/>
      <w:marTop w:val="0"/>
      <w:marBottom w:val="0"/>
      <w:divBdr>
        <w:top w:val="none" w:sz="0" w:space="0" w:color="auto"/>
        <w:left w:val="none" w:sz="0" w:space="0" w:color="auto"/>
        <w:bottom w:val="none" w:sz="0" w:space="0" w:color="auto"/>
        <w:right w:val="none" w:sz="0" w:space="0" w:color="auto"/>
      </w:divBdr>
      <w:divsChild>
        <w:div w:id="719062700">
          <w:marLeft w:val="547"/>
          <w:marRight w:val="0"/>
          <w:marTop w:val="96"/>
          <w:marBottom w:val="0"/>
          <w:divBdr>
            <w:top w:val="none" w:sz="0" w:space="0" w:color="auto"/>
            <w:left w:val="none" w:sz="0" w:space="0" w:color="auto"/>
            <w:bottom w:val="none" w:sz="0" w:space="0" w:color="auto"/>
            <w:right w:val="none" w:sz="0" w:space="0" w:color="auto"/>
          </w:divBdr>
        </w:div>
      </w:divsChild>
    </w:div>
    <w:div w:id="2005821354">
      <w:bodyDiv w:val="1"/>
      <w:marLeft w:val="0"/>
      <w:marRight w:val="0"/>
      <w:marTop w:val="0"/>
      <w:marBottom w:val="0"/>
      <w:divBdr>
        <w:top w:val="none" w:sz="0" w:space="0" w:color="auto"/>
        <w:left w:val="none" w:sz="0" w:space="0" w:color="auto"/>
        <w:bottom w:val="none" w:sz="0" w:space="0" w:color="auto"/>
        <w:right w:val="none" w:sz="0" w:space="0" w:color="auto"/>
      </w:divBdr>
    </w:div>
    <w:div w:id="2089157215">
      <w:bodyDiv w:val="1"/>
      <w:marLeft w:val="0"/>
      <w:marRight w:val="0"/>
      <w:marTop w:val="0"/>
      <w:marBottom w:val="0"/>
      <w:divBdr>
        <w:top w:val="none" w:sz="0" w:space="0" w:color="auto"/>
        <w:left w:val="none" w:sz="0" w:space="0" w:color="auto"/>
        <w:bottom w:val="none" w:sz="0" w:space="0" w:color="auto"/>
        <w:right w:val="none" w:sz="0" w:space="0" w:color="auto"/>
      </w:divBdr>
      <w:divsChild>
        <w:div w:id="1610047359">
          <w:marLeft w:val="547"/>
          <w:marRight w:val="0"/>
          <w:marTop w:val="96"/>
          <w:marBottom w:val="0"/>
          <w:divBdr>
            <w:top w:val="none" w:sz="0" w:space="0" w:color="auto"/>
            <w:left w:val="none" w:sz="0" w:space="0" w:color="auto"/>
            <w:bottom w:val="none" w:sz="0" w:space="0" w:color="auto"/>
            <w:right w:val="none" w:sz="0" w:space="0" w:color="auto"/>
          </w:divBdr>
        </w:div>
        <w:div w:id="450780481">
          <w:marLeft w:val="547"/>
          <w:marRight w:val="0"/>
          <w:marTop w:val="96"/>
          <w:marBottom w:val="0"/>
          <w:divBdr>
            <w:top w:val="none" w:sz="0" w:space="0" w:color="auto"/>
            <w:left w:val="none" w:sz="0" w:space="0" w:color="auto"/>
            <w:bottom w:val="none" w:sz="0" w:space="0" w:color="auto"/>
            <w:right w:val="none" w:sz="0" w:space="0" w:color="auto"/>
          </w:divBdr>
        </w:div>
        <w:div w:id="287663381">
          <w:marLeft w:val="547"/>
          <w:marRight w:val="0"/>
          <w:marTop w:val="96"/>
          <w:marBottom w:val="0"/>
          <w:divBdr>
            <w:top w:val="none" w:sz="0" w:space="0" w:color="auto"/>
            <w:left w:val="none" w:sz="0" w:space="0" w:color="auto"/>
            <w:bottom w:val="none" w:sz="0" w:space="0" w:color="auto"/>
            <w:right w:val="none" w:sz="0" w:space="0" w:color="auto"/>
          </w:divBdr>
        </w:div>
        <w:div w:id="93042815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1.jpg"/><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4.png"/><Relationship Id="rId47" Type="http://schemas.openxmlformats.org/officeDocument/2006/relationships/diagramColors" Target="diagrams/colors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1" Type="http://schemas.openxmlformats.org/officeDocument/2006/relationships/image" Target="media/image2.jp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8.jpg"/><Relationship Id="rId49" Type="http://schemas.openxmlformats.org/officeDocument/2006/relationships/footer" Target="footer1.xml"/><Relationship Id="rId10" Type="http://schemas.openxmlformats.org/officeDocument/2006/relationships/hyperlink" Target="http://www.ecb.in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image" Target="media/image25.emf"/><Relationship Id="rId48"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jpg"/><Relationship Id="rId46" Type="http://schemas.openxmlformats.org/officeDocument/2006/relationships/diagramQuickStyle" Target="diagrams/quickStyle1.xml"/><Relationship Id="rId20" Type="http://schemas.openxmlformats.org/officeDocument/2006/relationships/image" Target="media/image10.w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 TargetMode="External"/><Relationship Id="rId2" Type="http://schemas.openxmlformats.org/officeDocument/2006/relationships/hyperlink" Target="http://www.tovima.gr/finance/article/?aid=472858&amp;h1=true" TargetMode="External"/><Relationship Id="rId1" Type="http://schemas.openxmlformats.org/officeDocument/2006/relationships/hyperlink" Target="http://www.hfsf.gr" TargetMode="External"/><Relationship Id="rId4" Type="http://schemas.openxmlformats.org/officeDocument/2006/relationships/hyperlink" Target="http://bankingnews.g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189128-9433-4343-B344-7B1DDAB5FF7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l-GR"/>
        </a:p>
      </dgm:t>
    </dgm:pt>
    <dgm:pt modelId="{7F59C161-D498-4308-B82E-BD4CA835506A}">
      <dgm:prSet phldrT="[Κείμενο]" custT="1"/>
      <dgm:spPr>
        <a:xfrm>
          <a:off x="2118234" y="240473"/>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200">
              <a:solidFill>
                <a:sysClr val="windowText" lastClr="000000">
                  <a:hueOff val="0"/>
                  <a:satOff val="0"/>
                  <a:lumOff val="0"/>
                  <a:alphaOff val="0"/>
                </a:sysClr>
              </a:solidFill>
              <a:latin typeface="Calibri"/>
              <a:ea typeface="+mn-ea"/>
              <a:cs typeface="+mn-cs"/>
            </a:rPr>
            <a:t>Κεντρική Τράπεζα (Τράπεζα της Ελλάδος)</a:t>
          </a:r>
        </a:p>
      </dgm:t>
    </dgm:pt>
    <dgm:pt modelId="{BA3DC1DB-00D2-4B9C-98D3-3157A80783B5}" type="parTrans" cxnId="{E17D38D1-2D7B-4E47-9C62-63F4887CAC9C}">
      <dgm:prSet/>
      <dgm:spPr/>
      <dgm:t>
        <a:bodyPr/>
        <a:lstStyle/>
        <a:p>
          <a:endParaRPr lang="el-GR"/>
        </a:p>
      </dgm:t>
    </dgm:pt>
    <dgm:pt modelId="{F72CD820-4BBD-4A4D-958B-385667A5B663}" type="sibTrans" cxnId="{E17D38D1-2D7B-4E47-9C62-63F4887CAC9C}">
      <dgm:prSet/>
      <dgm:spPr/>
      <dgm:t>
        <a:bodyPr/>
        <a:lstStyle/>
        <a:p>
          <a:endParaRPr lang="el-GR"/>
        </a:p>
      </dgm:t>
    </dgm:pt>
    <dgm:pt modelId="{44A9F7C6-04B5-464E-A486-92279E9731C7}">
      <dgm:prSet phldrT="[Κείμενο]" custT="1"/>
      <dgm:spPr>
        <a:xfrm>
          <a:off x="722165" y="1227176"/>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200">
              <a:solidFill>
                <a:sysClr val="windowText" lastClr="000000">
                  <a:hueOff val="0"/>
                  <a:satOff val="0"/>
                  <a:lumOff val="0"/>
                  <a:alphaOff val="0"/>
                </a:sysClr>
              </a:solidFill>
              <a:latin typeface="Calibri"/>
              <a:ea typeface="+mn-ea"/>
              <a:cs typeface="+mn-cs"/>
            </a:rPr>
            <a:t> Εμπορικές Τράπεζες</a:t>
          </a:r>
        </a:p>
      </dgm:t>
    </dgm:pt>
    <dgm:pt modelId="{6A42A8F2-DD50-41A4-BC23-25D45EF4E8A1}" type="parTrans" cxnId="{C9F17D1F-21BE-4A1A-B772-AF38E0ED7BDA}">
      <dgm:prSet/>
      <dgm:spPr>
        <a:xfrm>
          <a:off x="1151217" y="824597"/>
          <a:ext cx="1396069" cy="286121"/>
        </a:xfrm>
        <a:noFill/>
        <a:ln w="25400" cap="flat" cmpd="sng" algn="ctr">
          <a:solidFill>
            <a:srgbClr val="4F81BD">
              <a:shade val="60000"/>
              <a:hueOff val="0"/>
              <a:satOff val="0"/>
              <a:lumOff val="0"/>
              <a:alphaOff val="0"/>
            </a:srgbClr>
          </a:solidFill>
          <a:prstDash val="solid"/>
        </a:ln>
        <a:effectLst/>
      </dgm:spPr>
      <dgm:t>
        <a:bodyPr/>
        <a:lstStyle/>
        <a:p>
          <a:endParaRPr lang="el-GR"/>
        </a:p>
      </dgm:t>
    </dgm:pt>
    <dgm:pt modelId="{F2C2F71E-C50B-4AD6-AC89-EC2BB0897C09}" type="sibTrans" cxnId="{C9F17D1F-21BE-4A1A-B772-AF38E0ED7BDA}">
      <dgm:prSet/>
      <dgm:spPr/>
      <dgm:t>
        <a:bodyPr/>
        <a:lstStyle/>
        <a:p>
          <a:endParaRPr lang="el-GR"/>
        </a:p>
      </dgm:t>
    </dgm:pt>
    <dgm:pt modelId="{5F249F28-9DEA-47E4-89D2-9F2F014519C0}">
      <dgm:prSet phldrT="[Κείμενο]" custT="1"/>
      <dgm:spPr>
        <a:xfrm>
          <a:off x="124131" y="2267677"/>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100">
              <a:solidFill>
                <a:sysClr val="windowText" lastClr="000000">
                  <a:hueOff val="0"/>
                  <a:satOff val="0"/>
                  <a:lumOff val="0"/>
                  <a:alphaOff val="0"/>
                </a:sysClr>
              </a:solidFill>
              <a:latin typeface="Calibri"/>
              <a:ea typeface="+mn-ea"/>
              <a:cs typeface="+mn-cs"/>
            </a:rPr>
            <a:t>Ελληνικές Εμπορικές Τράπεζες</a:t>
          </a:r>
        </a:p>
      </dgm:t>
    </dgm:pt>
    <dgm:pt modelId="{874A87D0-E757-40A7-98BB-A433C90B5F87}" type="parTrans" cxnId="{1BBD27A7-883F-49C0-BF7E-07757F099698}">
      <dgm:prSet/>
      <dgm:spPr>
        <a:xfrm>
          <a:off x="553184" y="1811301"/>
          <a:ext cx="598033" cy="339918"/>
        </a:xfrm>
        <a:noFill/>
        <a:ln w="25400" cap="flat" cmpd="sng" algn="ctr">
          <a:solidFill>
            <a:srgbClr val="4F81BD">
              <a:shade val="80000"/>
              <a:hueOff val="0"/>
              <a:satOff val="0"/>
              <a:lumOff val="0"/>
              <a:alphaOff val="0"/>
            </a:srgbClr>
          </a:solidFill>
          <a:prstDash val="solid"/>
        </a:ln>
        <a:effectLst/>
      </dgm:spPr>
      <dgm:t>
        <a:bodyPr/>
        <a:lstStyle/>
        <a:p>
          <a:endParaRPr lang="el-GR"/>
        </a:p>
      </dgm:t>
    </dgm:pt>
    <dgm:pt modelId="{3A97B573-6F70-4CD5-AC17-B057A52CF52E}" type="sibTrans" cxnId="{1BBD27A7-883F-49C0-BF7E-07757F099698}">
      <dgm:prSet/>
      <dgm:spPr/>
      <dgm:t>
        <a:bodyPr/>
        <a:lstStyle/>
        <a:p>
          <a:endParaRPr lang="el-GR"/>
        </a:p>
      </dgm:t>
    </dgm:pt>
    <dgm:pt modelId="{D0723C3D-F9B0-43CE-8E6D-792941CB2484}">
      <dgm:prSet phldrT="[Κείμενο]" custT="1"/>
      <dgm:spPr>
        <a:xfrm>
          <a:off x="1472583" y="2267677"/>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050">
              <a:solidFill>
                <a:sysClr val="windowText" lastClr="000000">
                  <a:hueOff val="0"/>
                  <a:satOff val="0"/>
                  <a:lumOff val="0"/>
                  <a:alphaOff val="0"/>
                </a:sysClr>
              </a:solidFill>
              <a:latin typeface="Calibri"/>
              <a:ea typeface="+mn-ea"/>
              <a:cs typeface="+mn-cs"/>
            </a:rPr>
            <a:t>Ξένες Εμπορικές Τράπεζες</a:t>
          </a:r>
        </a:p>
      </dgm:t>
    </dgm:pt>
    <dgm:pt modelId="{61087320-0D9D-44D8-9B8C-A3CCEE2F7CDB}" type="parTrans" cxnId="{248A45B8-F799-4455-BEFD-63889DA278A2}">
      <dgm:prSet/>
      <dgm:spPr>
        <a:xfrm>
          <a:off x="1151217" y="1811301"/>
          <a:ext cx="750418" cy="339918"/>
        </a:xfrm>
        <a:noFill/>
        <a:ln w="25400" cap="flat" cmpd="sng" algn="ctr">
          <a:solidFill>
            <a:srgbClr val="4F81BD">
              <a:shade val="80000"/>
              <a:hueOff val="0"/>
              <a:satOff val="0"/>
              <a:lumOff val="0"/>
              <a:alphaOff val="0"/>
            </a:srgbClr>
          </a:solidFill>
          <a:prstDash val="solid"/>
        </a:ln>
        <a:effectLst/>
      </dgm:spPr>
      <dgm:t>
        <a:bodyPr/>
        <a:lstStyle/>
        <a:p>
          <a:endParaRPr lang="el-GR"/>
        </a:p>
      </dgm:t>
    </dgm:pt>
    <dgm:pt modelId="{5B1F5FCC-E41C-4706-8E5A-998B110F5B7E}" type="sibTrans" cxnId="{248A45B8-F799-4455-BEFD-63889DA278A2}">
      <dgm:prSet/>
      <dgm:spPr/>
      <dgm:t>
        <a:bodyPr/>
        <a:lstStyle/>
        <a:p>
          <a:endParaRPr lang="el-GR"/>
        </a:p>
      </dgm:t>
    </dgm:pt>
    <dgm:pt modelId="{43485588-51A3-47F2-93BD-D4B1C0FAF5A0}">
      <dgm:prSet phldrT="[Κείμενο]" custT="1"/>
      <dgm:spPr>
        <a:xfrm>
          <a:off x="2146808" y="1246225"/>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100">
              <a:solidFill>
                <a:sysClr val="windowText" lastClr="000000">
                  <a:hueOff val="0"/>
                  <a:satOff val="0"/>
                  <a:lumOff val="0"/>
                  <a:alphaOff val="0"/>
                </a:sysClr>
              </a:solidFill>
              <a:latin typeface="Calibri"/>
              <a:ea typeface="+mn-ea"/>
              <a:cs typeface="+mn-cs"/>
            </a:rPr>
            <a:t>Συνεταιριστικές Τράπεζες</a:t>
          </a:r>
        </a:p>
      </dgm:t>
    </dgm:pt>
    <dgm:pt modelId="{D96D4312-C87E-47A0-AF93-0A509E57802A}" type="parTrans" cxnId="{C6CCF56F-E0E4-4A6E-A54C-E15EEC3CB449}">
      <dgm:prSet/>
      <dgm:spPr>
        <a:xfrm>
          <a:off x="2501566" y="824597"/>
          <a:ext cx="91440" cy="305170"/>
        </a:xfrm>
        <a:noFill/>
        <a:ln w="25400" cap="flat" cmpd="sng" algn="ctr">
          <a:solidFill>
            <a:srgbClr val="4F81BD">
              <a:shade val="60000"/>
              <a:hueOff val="0"/>
              <a:satOff val="0"/>
              <a:lumOff val="0"/>
              <a:alphaOff val="0"/>
            </a:srgbClr>
          </a:solidFill>
          <a:prstDash val="solid"/>
        </a:ln>
        <a:effectLst/>
      </dgm:spPr>
      <dgm:t>
        <a:bodyPr/>
        <a:lstStyle/>
        <a:p>
          <a:endParaRPr lang="el-GR"/>
        </a:p>
      </dgm:t>
    </dgm:pt>
    <dgm:pt modelId="{9D92FBF2-CE0B-498C-AB91-E6AD2D1EB929}" type="sibTrans" cxnId="{C6CCF56F-E0E4-4A6E-A54C-E15EEC3CB449}">
      <dgm:prSet/>
      <dgm:spPr/>
      <dgm:t>
        <a:bodyPr/>
        <a:lstStyle/>
        <a:p>
          <a:endParaRPr lang="el-GR"/>
        </a:p>
      </dgm:t>
    </dgm:pt>
    <dgm:pt modelId="{FFBF5288-AA12-4AA7-9CB1-071947D97568}">
      <dgm:prSet custT="1"/>
      <dgm:spPr>
        <a:xfrm>
          <a:off x="3495260" y="1246225"/>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100">
              <a:solidFill>
                <a:sysClr val="windowText" lastClr="000000">
                  <a:hueOff val="0"/>
                  <a:satOff val="0"/>
                  <a:lumOff val="0"/>
                  <a:alphaOff val="0"/>
                </a:sysClr>
              </a:solidFill>
              <a:latin typeface="Calibri"/>
              <a:ea typeface="+mn-ea"/>
              <a:cs typeface="+mn-cs"/>
            </a:rPr>
            <a:t>Ειδικοί Πιστωτικοί Οργανισμοί</a:t>
          </a:r>
        </a:p>
      </dgm:t>
    </dgm:pt>
    <dgm:pt modelId="{FB0C15ED-AC50-4C24-B86B-24748C839780}" type="parTrans" cxnId="{30EE5919-6114-4CF7-BDBE-38FDD1526826}">
      <dgm:prSet/>
      <dgm:spPr>
        <a:xfrm>
          <a:off x="2547286" y="824597"/>
          <a:ext cx="1377026" cy="305170"/>
        </a:xfrm>
        <a:noFill/>
        <a:ln w="25400" cap="flat" cmpd="sng" algn="ctr">
          <a:solidFill>
            <a:srgbClr val="4F81BD">
              <a:shade val="60000"/>
              <a:hueOff val="0"/>
              <a:satOff val="0"/>
              <a:lumOff val="0"/>
              <a:alphaOff val="0"/>
            </a:srgbClr>
          </a:solidFill>
          <a:prstDash val="solid"/>
        </a:ln>
        <a:effectLst/>
      </dgm:spPr>
      <dgm:t>
        <a:bodyPr/>
        <a:lstStyle/>
        <a:p>
          <a:endParaRPr lang="el-GR"/>
        </a:p>
      </dgm:t>
    </dgm:pt>
    <dgm:pt modelId="{4580C596-532B-45EB-8AA5-5109264B422E}" type="sibTrans" cxnId="{30EE5919-6114-4CF7-BDBE-38FDD1526826}">
      <dgm:prSet/>
      <dgm:spPr/>
      <dgm:t>
        <a:bodyPr/>
        <a:lstStyle/>
        <a:p>
          <a:endParaRPr lang="el-GR"/>
        </a:p>
      </dgm:t>
    </dgm:pt>
    <dgm:pt modelId="{4BE703F6-E93E-4F65-B1BC-8207CC970898}">
      <dgm:prSet custT="1"/>
      <dgm:spPr>
        <a:xfrm>
          <a:off x="2821034" y="2267677"/>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050">
              <a:solidFill>
                <a:sysClr val="windowText" lastClr="000000">
                  <a:hueOff val="0"/>
                  <a:satOff val="0"/>
                  <a:lumOff val="0"/>
                  <a:alphaOff val="0"/>
                </a:sysClr>
              </a:solidFill>
              <a:latin typeface="Calibri"/>
              <a:ea typeface="+mn-ea"/>
              <a:cs typeface="+mn-cs"/>
            </a:rPr>
            <a:t>Ταχυδρομικό Ταμιευτήριο</a:t>
          </a:r>
        </a:p>
      </dgm:t>
    </dgm:pt>
    <dgm:pt modelId="{75197FC0-97A0-4F68-9DA7-978B5E288D29}" type="parTrans" cxnId="{AD66F1C8-6B16-439E-8B5B-F2A5A3ADD7CB}">
      <dgm:prSet/>
      <dgm:spPr>
        <a:xfrm>
          <a:off x="3250087" y="1830349"/>
          <a:ext cx="674225" cy="320870"/>
        </a:xfrm>
        <a:noFill/>
        <a:ln w="25400" cap="flat" cmpd="sng" algn="ctr">
          <a:solidFill>
            <a:srgbClr val="4F81BD">
              <a:shade val="80000"/>
              <a:hueOff val="0"/>
              <a:satOff val="0"/>
              <a:lumOff val="0"/>
              <a:alphaOff val="0"/>
            </a:srgbClr>
          </a:solidFill>
          <a:prstDash val="solid"/>
        </a:ln>
        <a:effectLst/>
      </dgm:spPr>
      <dgm:t>
        <a:bodyPr/>
        <a:lstStyle/>
        <a:p>
          <a:endParaRPr lang="el-GR"/>
        </a:p>
      </dgm:t>
    </dgm:pt>
    <dgm:pt modelId="{4B01534B-E2F2-4DFE-A147-88FA83016B19}" type="sibTrans" cxnId="{AD66F1C8-6B16-439E-8B5B-F2A5A3ADD7CB}">
      <dgm:prSet/>
      <dgm:spPr/>
      <dgm:t>
        <a:bodyPr/>
        <a:lstStyle/>
        <a:p>
          <a:endParaRPr lang="el-GR"/>
        </a:p>
      </dgm:t>
    </dgm:pt>
    <dgm:pt modelId="{40C55263-7E06-4644-ABB6-A3CAD8623E0E}">
      <dgm:prSet custT="1"/>
      <dgm:spPr>
        <a:xfrm>
          <a:off x="4169486" y="2267677"/>
          <a:ext cx="1103278" cy="70058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l-GR" sz="1050">
              <a:solidFill>
                <a:sysClr val="windowText" lastClr="000000">
                  <a:hueOff val="0"/>
                  <a:satOff val="0"/>
                  <a:lumOff val="0"/>
                  <a:alphaOff val="0"/>
                </a:sysClr>
              </a:solidFill>
              <a:latin typeface="Calibri"/>
              <a:ea typeface="+mn-ea"/>
              <a:cs typeface="+mn-cs"/>
            </a:rPr>
            <a:t>Ταμείο Παρακαταθηκών και Δανείων</a:t>
          </a:r>
        </a:p>
      </dgm:t>
    </dgm:pt>
    <dgm:pt modelId="{B159A3BA-D1B8-4992-A44C-DB806BCD1501}" type="parTrans" cxnId="{D88BFDEA-4B85-4480-A5C4-0C48EFBA46B5}">
      <dgm:prSet/>
      <dgm:spPr>
        <a:xfrm>
          <a:off x="3924313" y="1830349"/>
          <a:ext cx="674225" cy="320870"/>
        </a:xfrm>
        <a:noFill/>
        <a:ln w="25400" cap="flat" cmpd="sng" algn="ctr">
          <a:solidFill>
            <a:srgbClr val="4F81BD">
              <a:shade val="80000"/>
              <a:hueOff val="0"/>
              <a:satOff val="0"/>
              <a:lumOff val="0"/>
              <a:alphaOff val="0"/>
            </a:srgbClr>
          </a:solidFill>
          <a:prstDash val="solid"/>
        </a:ln>
        <a:effectLst/>
      </dgm:spPr>
      <dgm:t>
        <a:bodyPr/>
        <a:lstStyle/>
        <a:p>
          <a:endParaRPr lang="el-GR"/>
        </a:p>
      </dgm:t>
    </dgm:pt>
    <dgm:pt modelId="{563D714A-EE98-4381-A1C0-F39F4FDA13C3}" type="sibTrans" cxnId="{D88BFDEA-4B85-4480-A5C4-0C48EFBA46B5}">
      <dgm:prSet/>
      <dgm:spPr/>
      <dgm:t>
        <a:bodyPr/>
        <a:lstStyle/>
        <a:p>
          <a:endParaRPr lang="el-GR"/>
        </a:p>
      </dgm:t>
    </dgm:pt>
    <dgm:pt modelId="{35E7BD72-FCC0-41B4-B69E-78304EA1BCBC}" type="pres">
      <dgm:prSet presAssocID="{7E189128-9433-4343-B344-7B1DDAB5FF73}" presName="hierChild1" presStyleCnt="0">
        <dgm:presLayoutVars>
          <dgm:chPref val="1"/>
          <dgm:dir/>
          <dgm:animOne val="branch"/>
          <dgm:animLvl val="lvl"/>
          <dgm:resizeHandles/>
        </dgm:presLayoutVars>
      </dgm:prSet>
      <dgm:spPr/>
      <dgm:t>
        <a:bodyPr/>
        <a:lstStyle/>
        <a:p>
          <a:endParaRPr lang="el-GR"/>
        </a:p>
      </dgm:t>
    </dgm:pt>
    <dgm:pt modelId="{BB6367EE-ED13-438C-A10F-B85C9CBE26DA}" type="pres">
      <dgm:prSet presAssocID="{7F59C161-D498-4308-B82E-BD4CA835506A}" presName="hierRoot1" presStyleCnt="0"/>
      <dgm:spPr/>
    </dgm:pt>
    <dgm:pt modelId="{4876171B-920B-4A38-99D8-5D3C18B43092}" type="pres">
      <dgm:prSet presAssocID="{7F59C161-D498-4308-B82E-BD4CA835506A}" presName="composite" presStyleCnt="0"/>
      <dgm:spPr/>
    </dgm:pt>
    <dgm:pt modelId="{06A2671E-4F01-413D-86CB-0CCC04C5EFCF}" type="pres">
      <dgm:prSet presAssocID="{7F59C161-D498-4308-B82E-BD4CA835506A}" presName="background" presStyleLbl="node0" presStyleIdx="0" presStyleCnt="1"/>
      <dgm:spPr>
        <a:xfrm>
          <a:off x="1995647" y="124015"/>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ED032980-5960-4458-882D-5D8CAFE3152B}" type="pres">
      <dgm:prSet presAssocID="{7F59C161-D498-4308-B82E-BD4CA835506A}" presName="text" presStyleLbl="fgAcc0" presStyleIdx="0" presStyleCnt="1" custLinFactNeighborX="-2590" custLinFactNeighborY="2241">
        <dgm:presLayoutVars>
          <dgm:chPref val="3"/>
        </dgm:presLayoutVars>
      </dgm:prSet>
      <dgm:spPr>
        <a:prstGeom prst="roundRect">
          <a:avLst>
            <a:gd name="adj" fmla="val 10000"/>
          </a:avLst>
        </a:prstGeom>
      </dgm:spPr>
      <dgm:t>
        <a:bodyPr/>
        <a:lstStyle/>
        <a:p>
          <a:endParaRPr lang="el-GR"/>
        </a:p>
      </dgm:t>
    </dgm:pt>
    <dgm:pt modelId="{EF35DB60-860B-4041-B221-FF7A6A72298D}" type="pres">
      <dgm:prSet presAssocID="{7F59C161-D498-4308-B82E-BD4CA835506A}" presName="hierChild2" presStyleCnt="0"/>
      <dgm:spPr/>
    </dgm:pt>
    <dgm:pt modelId="{2A9B38E2-8A86-44E2-89D6-CDB5157926E7}" type="pres">
      <dgm:prSet presAssocID="{6A42A8F2-DD50-41A4-BC23-25D45EF4E8A1}" presName="Name10" presStyleLbl="parChTrans1D2" presStyleIdx="0" presStyleCnt="3"/>
      <dgm:spPr>
        <a:custGeom>
          <a:avLst/>
          <a:gdLst/>
          <a:ahLst/>
          <a:cxnLst/>
          <a:rect l="0" t="0" r="0" b="0"/>
          <a:pathLst>
            <a:path>
              <a:moveTo>
                <a:pt x="1396069" y="0"/>
              </a:moveTo>
              <a:lnTo>
                <a:pt x="1396069" y="183914"/>
              </a:lnTo>
              <a:lnTo>
                <a:pt x="0" y="183914"/>
              </a:lnTo>
              <a:lnTo>
                <a:pt x="0" y="286121"/>
              </a:lnTo>
            </a:path>
          </a:pathLst>
        </a:custGeom>
      </dgm:spPr>
      <dgm:t>
        <a:bodyPr/>
        <a:lstStyle/>
        <a:p>
          <a:endParaRPr lang="el-GR"/>
        </a:p>
      </dgm:t>
    </dgm:pt>
    <dgm:pt modelId="{124E40B9-F2FC-4BDC-BF3B-A9DBEC6D6A0C}" type="pres">
      <dgm:prSet presAssocID="{44A9F7C6-04B5-464E-A486-92279E9731C7}" presName="hierRoot2" presStyleCnt="0"/>
      <dgm:spPr/>
    </dgm:pt>
    <dgm:pt modelId="{AF937330-8B60-4086-B76D-236D47005451}" type="pres">
      <dgm:prSet presAssocID="{44A9F7C6-04B5-464E-A486-92279E9731C7}" presName="composite2" presStyleCnt="0"/>
      <dgm:spPr/>
    </dgm:pt>
    <dgm:pt modelId="{054CBC2B-06BC-468E-9F57-E278F8B5336F}" type="pres">
      <dgm:prSet presAssocID="{44A9F7C6-04B5-464E-A486-92279E9731C7}" presName="background2" presStyleLbl="node2" presStyleIdx="0" presStyleCnt="3"/>
      <dgm:spPr>
        <a:xfrm>
          <a:off x="599578" y="1110719"/>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6E359732-A598-45B5-B69B-027529EB27C4}" type="pres">
      <dgm:prSet presAssocID="{44A9F7C6-04B5-464E-A486-92279E9731C7}" presName="text2" presStyleLbl="fgAcc2" presStyleIdx="0" presStyleCnt="3" custLinFactNeighborX="-6906" custLinFactNeighborY="-2719">
        <dgm:presLayoutVars>
          <dgm:chPref val="3"/>
        </dgm:presLayoutVars>
      </dgm:prSet>
      <dgm:spPr>
        <a:prstGeom prst="roundRect">
          <a:avLst>
            <a:gd name="adj" fmla="val 10000"/>
          </a:avLst>
        </a:prstGeom>
      </dgm:spPr>
      <dgm:t>
        <a:bodyPr/>
        <a:lstStyle/>
        <a:p>
          <a:endParaRPr lang="el-GR"/>
        </a:p>
      </dgm:t>
    </dgm:pt>
    <dgm:pt modelId="{DB635B17-69EB-4A19-B907-4E8CED8EF114}" type="pres">
      <dgm:prSet presAssocID="{44A9F7C6-04B5-464E-A486-92279E9731C7}" presName="hierChild3" presStyleCnt="0"/>
      <dgm:spPr/>
    </dgm:pt>
    <dgm:pt modelId="{91541380-3673-43AB-966A-212E01C1D54C}" type="pres">
      <dgm:prSet presAssocID="{874A87D0-E757-40A7-98BB-A433C90B5F87}" presName="Name17" presStyleLbl="parChTrans1D3" presStyleIdx="0" presStyleCnt="4"/>
      <dgm:spPr>
        <a:custGeom>
          <a:avLst/>
          <a:gdLst/>
          <a:ahLst/>
          <a:cxnLst/>
          <a:rect l="0" t="0" r="0" b="0"/>
          <a:pathLst>
            <a:path>
              <a:moveTo>
                <a:pt x="598033" y="0"/>
              </a:moveTo>
              <a:lnTo>
                <a:pt x="598033" y="237712"/>
              </a:lnTo>
              <a:lnTo>
                <a:pt x="0" y="237712"/>
              </a:lnTo>
              <a:lnTo>
                <a:pt x="0" y="339918"/>
              </a:lnTo>
            </a:path>
          </a:pathLst>
        </a:custGeom>
      </dgm:spPr>
      <dgm:t>
        <a:bodyPr/>
        <a:lstStyle/>
        <a:p>
          <a:endParaRPr lang="el-GR"/>
        </a:p>
      </dgm:t>
    </dgm:pt>
    <dgm:pt modelId="{CE24A2C5-0D41-42B2-8B60-15D668ABFA00}" type="pres">
      <dgm:prSet presAssocID="{5F249F28-9DEA-47E4-89D2-9F2F014519C0}" presName="hierRoot3" presStyleCnt="0"/>
      <dgm:spPr/>
    </dgm:pt>
    <dgm:pt modelId="{A5755F70-DC3E-4B19-A1DA-EA7996FB3FF6}" type="pres">
      <dgm:prSet presAssocID="{5F249F28-9DEA-47E4-89D2-9F2F014519C0}" presName="composite3" presStyleCnt="0"/>
      <dgm:spPr/>
    </dgm:pt>
    <dgm:pt modelId="{F484898B-E293-4B18-A6A6-8BF1E22698BD}" type="pres">
      <dgm:prSet presAssocID="{5F249F28-9DEA-47E4-89D2-9F2F014519C0}" presName="background3" presStyleLbl="node3" presStyleIdx="0" presStyleCnt="4"/>
      <dgm:spPr>
        <a:xfrm>
          <a:off x="1545" y="2151220"/>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8849285E-B4EF-4E33-9DA8-77415142BD14}" type="pres">
      <dgm:prSet presAssocID="{5F249F28-9DEA-47E4-89D2-9F2F014519C0}" presName="text3" presStyleLbl="fgAcc3" presStyleIdx="0" presStyleCnt="4">
        <dgm:presLayoutVars>
          <dgm:chPref val="3"/>
        </dgm:presLayoutVars>
      </dgm:prSet>
      <dgm:spPr>
        <a:prstGeom prst="roundRect">
          <a:avLst>
            <a:gd name="adj" fmla="val 10000"/>
          </a:avLst>
        </a:prstGeom>
      </dgm:spPr>
      <dgm:t>
        <a:bodyPr/>
        <a:lstStyle/>
        <a:p>
          <a:endParaRPr lang="el-GR"/>
        </a:p>
      </dgm:t>
    </dgm:pt>
    <dgm:pt modelId="{A73A0DC4-EB35-4ACA-AF7D-C3DC37CE70A3}" type="pres">
      <dgm:prSet presAssocID="{5F249F28-9DEA-47E4-89D2-9F2F014519C0}" presName="hierChild4" presStyleCnt="0"/>
      <dgm:spPr/>
    </dgm:pt>
    <dgm:pt modelId="{693A6399-427B-4B73-9E04-6A4F3B39E825}" type="pres">
      <dgm:prSet presAssocID="{61087320-0D9D-44D8-9B8C-A3CCEE2F7CDB}" presName="Name17" presStyleLbl="parChTrans1D3" presStyleIdx="1" presStyleCnt="4"/>
      <dgm:spPr>
        <a:custGeom>
          <a:avLst/>
          <a:gdLst/>
          <a:ahLst/>
          <a:cxnLst/>
          <a:rect l="0" t="0" r="0" b="0"/>
          <a:pathLst>
            <a:path>
              <a:moveTo>
                <a:pt x="0" y="0"/>
              </a:moveTo>
              <a:lnTo>
                <a:pt x="0" y="237712"/>
              </a:lnTo>
              <a:lnTo>
                <a:pt x="750418" y="237712"/>
              </a:lnTo>
              <a:lnTo>
                <a:pt x="750418" y="339918"/>
              </a:lnTo>
            </a:path>
          </a:pathLst>
        </a:custGeom>
      </dgm:spPr>
      <dgm:t>
        <a:bodyPr/>
        <a:lstStyle/>
        <a:p>
          <a:endParaRPr lang="el-GR"/>
        </a:p>
      </dgm:t>
    </dgm:pt>
    <dgm:pt modelId="{4FB1CB8E-C472-4189-A796-FFC138B5A0DF}" type="pres">
      <dgm:prSet presAssocID="{D0723C3D-F9B0-43CE-8E6D-792941CB2484}" presName="hierRoot3" presStyleCnt="0"/>
      <dgm:spPr/>
    </dgm:pt>
    <dgm:pt modelId="{7B288DD6-7008-4C70-95BA-F03057DF9A11}" type="pres">
      <dgm:prSet presAssocID="{D0723C3D-F9B0-43CE-8E6D-792941CB2484}" presName="composite3" presStyleCnt="0"/>
      <dgm:spPr/>
    </dgm:pt>
    <dgm:pt modelId="{5868C13E-D240-4044-B319-0F0E42DF8E0A}" type="pres">
      <dgm:prSet presAssocID="{D0723C3D-F9B0-43CE-8E6D-792941CB2484}" presName="background3" presStyleLbl="node3" presStyleIdx="1" presStyleCnt="4"/>
      <dgm:spPr>
        <a:xfrm>
          <a:off x="1349996" y="2151220"/>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99035677-832E-4E26-B643-E87C3F68A1AD}" type="pres">
      <dgm:prSet presAssocID="{D0723C3D-F9B0-43CE-8E6D-792941CB2484}" presName="text3" presStyleLbl="fgAcc3" presStyleIdx="1" presStyleCnt="4">
        <dgm:presLayoutVars>
          <dgm:chPref val="3"/>
        </dgm:presLayoutVars>
      </dgm:prSet>
      <dgm:spPr>
        <a:prstGeom prst="roundRect">
          <a:avLst>
            <a:gd name="adj" fmla="val 10000"/>
          </a:avLst>
        </a:prstGeom>
      </dgm:spPr>
      <dgm:t>
        <a:bodyPr/>
        <a:lstStyle/>
        <a:p>
          <a:endParaRPr lang="el-GR"/>
        </a:p>
      </dgm:t>
    </dgm:pt>
    <dgm:pt modelId="{EF13B5E6-BD6A-429E-B58C-3BCA78CCF4A4}" type="pres">
      <dgm:prSet presAssocID="{D0723C3D-F9B0-43CE-8E6D-792941CB2484}" presName="hierChild4" presStyleCnt="0"/>
      <dgm:spPr/>
    </dgm:pt>
    <dgm:pt modelId="{D8922CE1-BB20-49AB-9A79-2653C65ACCB3}" type="pres">
      <dgm:prSet presAssocID="{D96D4312-C87E-47A0-AF93-0A509E57802A}" presName="Name10" presStyleLbl="parChTrans1D2" presStyleIdx="1" presStyleCnt="3"/>
      <dgm:spPr>
        <a:custGeom>
          <a:avLst/>
          <a:gdLst/>
          <a:ahLst/>
          <a:cxnLst/>
          <a:rect l="0" t="0" r="0" b="0"/>
          <a:pathLst>
            <a:path>
              <a:moveTo>
                <a:pt x="45720" y="0"/>
              </a:moveTo>
              <a:lnTo>
                <a:pt x="45720" y="202963"/>
              </a:lnTo>
              <a:lnTo>
                <a:pt x="74294" y="202963"/>
              </a:lnTo>
              <a:lnTo>
                <a:pt x="74294" y="305170"/>
              </a:lnTo>
            </a:path>
          </a:pathLst>
        </a:custGeom>
      </dgm:spPr>
      <dgm:t>
        <a:bodyPr/>
        <a:lstStyle/>
        <a:p>
          <a:endParaRPr lang="el-GR"/>
        </a:p>
      </dgm:t>
    </dgm:pt>
    <dgm:pt modelId="{0864A9BB-96D1-4A23-9E04-05C1CEF6E102}" type="pres">
      <dgm:prSet presAssocID="{43485588-51A3-47F2-93BD-D4B1C0FAF5A0}" presName="hierRoot2" presStyleCnt="0"/>
      <dgm:spPr/>
    </dgm:pt>
    <dgm:pt modelId="{F016E4E9-6980-43E1-A2AF-B72CA67BBDB5}" type="pres">
      <dgm:prSet presAssocID="{43485588-51A3-47F2-93BD-D4B1C0FAF5A0}" presName="composite2" presStyleCnt="0"/>
      <dgm:spPr/>
    </dgm:pt>
    <dgm:pt modelId="{4721A269-B4F5-4E91-9CA0-CE2F58FD7C9E}" type="pres">
      <dgm:prSet presAssocID="{43485588-51A3-47F2-93BD-D4B1C0FAF5A0}" presName="background2" presStyleLbl="node2" presStyleIdx="1" presStyleCnt="3"/>
      <dgm:spPr>
        <a:xfrm>
          <a:off x="2024222" y="1129767"/>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4D229F76-6F08-4CBF-B072-954EEC2B7C49}" type="pres">
      <dgm:prSet presAssocID="{43485588-51A3-47F2-93BD-D4B1C0FAF5A0}" presName="text2" presStyleLbl="fgAcc2" presStyleIdx="1" presStyleCnt="3">
        <dgm:presLayoutVars>
          <dgm:chPref val="3"/>
        </dgm:presLayoutVars>
      </dgm:prSet>
      <dgm:spPr>
        <a:prstGeom prst="roundRect">
          <a:avLst>
            <a:gd name="adj" fmla="val 10000"/>
          </a:avLst>
        </a:prstGeom>
      </dgm:spPr>
      <dgm:t>
        <a:bodyPr/>
        <a:lstStyle/>
        <a:p>
          <a:endParaRPr lang="el-GR"/>
        </a:p>
      </dgm:t>
    </dgm:pt>
    <dgm:pt modelId="{07FF70BD-2B60-44F2-9170-D25665423E42}" type="pres">
      <dgm:prSet presAssocID="{43485588-51A3-47F2-93BD-D4B1C0FAF5A0}" presName="hierChild3" presStyleCnt="0"/>
      <dgm:spPr/>
    </dgm:pt>
    <dgm:pt modelId="{6EA10D9D-FBF0-4054-B3CE-61E59ACAEEF9}" type="pres">
      <dgm:prSet presAssocID="{FB0C15ED-AC50-4C24-B86B-24748C839780}" presName="Name10" presStyleLbl="parChTrans1D2" presStyleIdx="2" presStyleCnt="3"/>
      <dgm:spPr>
        <a:custGeom>
          <a:avLst/>
          <a:gdLst/>
          <a:ahLst/>
          <a:cxnLst/>
          <a:rect l="0" t="0" r="0" b="0"/>
          <a:pathLst>
            <a:path>
              <a:moveTo>
                <a:pt x="0" y="0"/>
              </a:moveTo>
              <a:lnTo>
                <a:pt x="0" y="202963"/>
              </a:lnTo>
              <a:lnTo>
                <a:pt x="1377026" y="202963"/>
              </a:lnTo>
              <a:lnTo>
                <a:pt x="1377026" y="305170"/>
              </a:lnTo>
            </a:path>
          </a:pathLst>
        </a:custGeom>
      </dgm:spPr>
      <dgm:t>
        <a:bodyPr/>
        <a:lstStyle/>
        <a:p>
          <a:endParaRPr lang="el-GR"/>
        </a:p>
      </dgm:t>
    </dgm:pt>
    <dgm:pt modelId="{67FF2D43-5F36-43C7-96B3-323EF50530C8}" type="pres">
      <dgm:prSet presAssocID="{FFBF5288-AA12-4AA7-9CB1-071947D97568}" presName="hierRoot2" presStyleCnt="0"/>
      <dgm:spPr/>
    </dgm:pt>
    <dgm:pt modelId="{91238E48-6A4F-4A2E-81BF-93E78FFCDCAB}" type="pres">
      <dgm:prSet presAssocID="{FFBF5288-AA12-4AA7-9CB1-071947D97568}" presName="composite2" presStyleCnt="0"/>
      <dgm:spPr/>
    </dgm:pt>
    <dgm:pt modelId="{FEE6F77C-0B76-47C7-8E14-81D461BB7578}" type="pres">
      <dgm:prSet presAssocID="{FFBF5288-AA12-4AA7-9CB1-071947D97568}" presName="background2" presStyleLbl="node2" presStyleIdx="2" presStyleCnt="3"/>
      <dgm:spPr>
        <a:xfrm>
          <a:off x="3372674" y="1129767"/>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495ECCEB-2C05-485E-8158-B2CD8B010372}" type="pres">
      <dgm:prSet presAssocID="{FFBF5288-AA12-4AA7-9CB1-071947D97568}" presName="text2" presStyleLbl="fgAcc2" presStyleIdx="2" presStyleCnt="3">
        <dgm:presLayoutVars>
          <dgm:chPref val="3"/>
        </dgm:presLayoutVars>
      </dgm:prSet>
      <dgm:spPr>
        <a:prstGeom prst="roundRect">
          <a:avLst>
            <a:gd name="adj" fmla="val 10000"/>
          </a:avLst>
        </a:prstGeom>
      </dgm:spPr>
      <dgm:t>
        <a:bodyPr/>
        <a:lstStyle/>
        <a:p>
          <a:endParaRPr lang="el-GR"/>
        </a:p>
      </dgm:t>
    </dgm:pt>
    <dgm:pt modelId="{EFCC06BB-1E7E-4B20-B45B-E70D78BCFBA5}" type="pres">
      <dgm:prSet presAssocID="{FFBF5288-AA12-4AA7-9CB1-071947D97568}" presName="hierChild3" presStyleCnt="0"/>
      <dgm:spPr/>
    </dgm:pt>
    <dgm:pt modelId="{90AFD84C-997A-4C3B-87E0-EDDAC5253EC1}" type="pres">
      <dgm:prSet presAssocID="{75197FC0-97A0-4F68-9DA7-978B5E288D29}" presName="Name17" presStyleLbl="parChTrans1D3" presStyleIdx="2" presStyleCnt="4"/>
      <dgm:spPr>
        <a:custGeom>
          <a:avLst/>
          <a:gdLst/>
          <a:ahLst/>
          <a:cxnLst/>
          <a:rect l="0" t="0" r="0" b="0"/>
          <a:pathLst>
            <a:path>
              <a:moveTo>
                <a:pt x="674225" y="0"/>
              </a:moveTo>
              <a:lnTo>
                <a:pt x="674225" y="218663"/>
              </a:lnTo>
              <a:lnTo>
                <a:pt x="0" y="218663"/>
              </a:lnTo>
              <a:lnTo>
                <a:pt x="0" y="320870"/>
              </a:lnTo>
            </a:path>
          </a:pathLst>
        </a:custGeom>
      </dgm:spPr>
      <dgm:t>
        <a:bodyPr/>
        <a:lstStyle/>
        <a:p>
          <a:endParaRPr lang="el-GR"/>
        </a:p>
      </dgm:t>
    </dgm:pt>
    <dgm:pt modelId="{D0113C93-F7CD-4A71-A628-412BC32B89A4}" type="pres">
      <dgm:prSet presAssocID="{4BE703F6-E93E-4F65-B1BC-8207CC970898}" presName="hierRoot3" presStyleCnt="0"/>
      <dgm:spPr/>
    </dgm:pt>
    <dgm:pt modelId="{3D0BA58B-8141-44F0-9639-F8B22D3BBB33}" type="pres">
      <dgm:prSet presAssocID="{4BE703F6-E93E-4F65-B1BC-8207CC970898}" presName="composite3" presStyleCnt="0"/>
      <dgm:spPr/>
    </dgm:pt>
    <dgm:pt modelId="{6F67CF96-9759-4DD2-AA22-4C25C1C5C03D}" type="pres">
      <dgm:prSet presAssocID="{4BE703F6-E93E-4F65-B1BC-8207CC970898}" presName="background3" presStyleLbl="node3" presStyleIdx="2" presStyleCnt="4"/>
      <dgm:spPr>
        <a:xfrm>
          <a:off x="2698448" y="2151220"/>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6329AEB2-2C09-44BB-8809-8B8888718605}" type="pres">
      <dgm:prSet presAssocID="{4BE703F6-E93E-4F65-B1BC-8207CC970898}" presName="text3" presStyleLbl="fgAcc3" presStyleIdx="2" presStyleCnt="4">
        <dgm:presLayoutVars>
          <dgm:chPref val="3"/>
        </dgm:presLayoutVars>
      </dgm:prSet>
      <dgm:spPr>
        <a:prstGeom prst="roundRect">
          <a:avLst>
            <a:gd name="adj" fmla="val 10000"/>
          </a:avLst>
        </a:prstGeom>
      </dgm:spPr>
      <dgm:t>
        <a:bodyPr/>
        <a:lstStyle/>
        <a:p>
          <a:endParaRPr lang="el-GR"/>
        </a:p>
      </dgm:t>
    </dgm:pt>
    <dgm:pt modelId="{B495DD7A-72D6-4D9C-9D2E-BB4B084998F1}" type="pres">
      <dgm:prSet presAssocID="{4BE703F6-E93E-4F65-B1BC-8207CC970898}" presName="hierChild4" presStyleCnt="0"/>
      <dgm:spPr/>
    </dgm:pt>
    <dgm:pt modelId="{DE2422F9-43B4-4F73-A3DC-BF699A0D6B07}" type="pres">
      <dgm:prSet presAssocID="{B159A3BA-D1B8-4992-A44C-DB806BCD1501}" presName="Name17" presStyleLbl="parChTrans1D3" presStyleIdx="3" presStyleCnt="4"/>
      <dgm:spPr>
        <a:custGeom>
          <a:avLst/>
          <a:gdLst/>
          <a:ahLst/>
          <a:cxnLst/>
          <a:rect l="0" t="0" r="0" b="0"/>
          <a:pathLst>
            <a:path>
              <a:moveTo>
                <a:pt x="0" y="0"/>
              </a:moveTo>
              <a:lnTo>
                <a:pt x="0" y="218663"/>
              </a:lnTo>
              <a:lnTo>
                <a:pt x="674225" y="218663"/>
              </a:lnTo>
              <a:lnTo>
                <a:pt x="674225" y="320870"/>
              </a:lnTo>
            </a:path>
          </a:pathLst>
        </a:custGeom>
      </dgm:spPr>
      <dgm:t>
        <a:bodyPr/>
        <a:lstStyle/>
        <a:p>
          <a:endParaRPr lang="el-GR"/>
        </a:p>
      </dgm:t>
    </dgm:pt>
    <dgm:pt modelId="{34492AC1-2B14-407A-8AF5-3E7117E61949}" type="pres">
      <dgm:prSet presAssocID="{40C55263-7E06-4644-ABB6-A3CAD8623E0E}" presName="hierRoot3" presStyleCnt="0"/>
      <dgm:spPr/>
    </dgm:pt>
    <dgm:pt modelId="{6279C011-F5B6-4BB6-B859-66E4E430E92E}" type="pres">
      <dgm:prSet presAssocID="{40C55263-7E06-4644-ABB6-A3CAD8623E0E}" presName="composite3" presStyleCnt="0"/>
      <dgm:spPr/>
    </dgm:pt>
    <dgm:pt modelId="{67EEE107-98B0-4BC4-BD6E-51ECD307AC51}" type="pres">
      <dgm:prSet presAssocID="{40C55263-7E06-4644-ABB6-A3CAD8623E0E}" presName="background3" presStyleLbl="node3" presStyleIdx="3" presStyleCnt="4"/>
      <dgm:spPr>
        <a:xfrm>
          <a:off x="4046899" y="2151220"/>
          <a:ext cx="1103278" cy="70058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l-GR"/>
        </a:p>
      </dgm:t>
    </dgm:pt>
    <dgm:pt modelId="{681A37D6-B6C0-4C06-9C52-4259C6E3C78C}" type="pres">
      <dgm:prSet presAssocID="{40C55263-7E06-4644-ABB6-A3CAD8623E0E}" presName="text3" presStyleLbl="fgAcc3" presStyleIdx="3" presStyleCnt="4">
        <dgm:presLayoutVars>
          <dgm:chPref val="3"/>
        </dgm:presLayoutVars>
      </dgm:prSet>
      <dgm:spPr>
        <a:prstGeom prst="roundRect">
          <a:avLst>
            <a:gd name="adj" fmla="val 10000"/>
          </a:avLst>
        </a:prstGeom>
      </dgm:spPr>
      <dgm:t>
        <a:bodyPr/>
        <a:lstStyle/>
        <a:p>
          <a:endParaRPr lang="el-GR"/>
        </a:p>
      </dgm:t>
    </dgm:pt>
    <dgm:pt modelId="{A5AB0594-0DA8-4362-97F0-8233EA5687CD}" type="pres">
      <dgm:prSet presAssocID="{40C55263-7E06-4644-ABB6-A3CAD8623E0E}" presName="hierChild4" presStyleCnt="0"/>
      <dgm:spPr/>
    </dgm:pt>
  </dgm:ptLst>
  <dgm:cxnLst>
    <dgm:cxn modelId="{388F7617-A6B1-4A3A-B40C-39152076F36A}" type="presOf" srcId="{874A87D0-E757-40A7-98BB-A433C90B5F87}" destId="{91541380-3673-43AB-966A-212E01C1D54C}" srcOrd="0" destOrd="0" presId="urn:microsoft.com/office/officeart/2005/8/layout/hierarchy1"/>
    <dgm:cxn modelId="{DB07C811-11A6-4654-B5E8-54161F7EDDFC}" type="presOf" srcId="{4BE703F6-E93E-4F65-B1BC-8207CC970898}" destId="{6329AEB2-2C09-44BB-8809-8B8888718605}" srcOrd="0" destOrd="0" presId="urn:microsoft.com/office/officeart/2005/8/layout/hierarchy1"/>
    <dgm:cxn modelId="{C9F17D1F-21BE-4A1A-B772-AF38E0ED7BDA}" srcId="{7F59C161-D498-4308-B82E-BD4CA835506A}" destId="{44A9F7C6-04B5-464E-A486-92279E9731C7}" srcOrd="0" destOrd="0" parTransId="{6A42A8F2-DD50-41A4-BC23-25D45EF4E8A1}" sibTransId="{F2C2F71E-C50B-4AD6-AC89-EC2BB0897C09}"/>
    <dgm:cxn modelId="{F885CF21-665E-470A-85B3-101E4778E3B1}" type="presOf" srcId="{D0723C3D-F9B0-43CE-8E6D-792941CB2484}" destId="{99035677-832E-4E26-B643-E87C3F68A1AD}" srcOrd="0" destOrd="0" presId="urn:microsoft.com/office/officeart/2005/8/layout/hierarchy1"/>
    <dgm:cxn modelId="{AD66F1C8-6B16-439E-8B5B-F2A5A3ADD7CB}" srcId="{FFBF5288-AA12-4AA7-9CB1-071947D97568}" destId="{4BE703F6-E93E-4F65-B1BC-8207CC970898}" srcOrd="0" destOrd="0" parTransId="{75197FC0-97A0-4F68-9DA7-978B5E288D29}" sibTransId="{4B01534B-E2F2-4DFE-A147-88FA83016B19}"/>
    <dgm:cxn modelId="{80ED0598-A02F-4A3B-8279-91B653530ECA}" type="presOf" srcId="{7F59C161-D498-4308-B82E-BD4CA835506A}" destId="{ED032980-5960-4458-882D-5D8CAFE3152B}" srcOrd="0" destOrd="0" presId="urn:microsoft.com/office/officeart/2005/8/layout/hierarchy1"/>
    <dgm:cxn modelId="{E17D38D1-2D7B-4E47-9C62-63F4887CAC9C}" srcId="{7E189128-9433-4343-B344-7B1DDAB5FF73}" destId="{7F59C161-D498-4308-B82E-BD4CA835506A}" srcOrd="0" destOrd="0" parTransId="{BA3DC1DB-00D2-4B9C-98D3-3157A80783B5}" sibTransId="{F72CD820-4BBD-4A4D-958B-385667A5B663}"/>
    <dgm:cxn modelId="{AA0256AE-BA93-4B91-9FA6-66BEE8EA5571}" type="presOf" srcId="{7E189128-9433-4343-B344-7B1DDAB5FF73}" destId="{35E7BD72-FCC0-41B4-B69E-78304EA1BCBC}" srcOrd="0" destOrd="0" presId="urn:microsoft.com/office/officeart/2005/8/layout/hierarchy1"/>
    <dgm:cxn modelId="{EB6B0DAC-FEB4-4874-A911-C1803B5A7321}" type="presOf" srcId="{75197FC0-97A0-4F68-9DA7-978B5E288D29}" destId="{90AFD84C-997A-4C3B-87E0-EDDAC5253EC1}" srcOrd="0" destOrd="0" presId="urn:microsoft.com/office/officeart/2005/8/layout/hierarchy1"/>
    <dgm:cxn modelId="{C09EAC0D-990C-4015-828C-03057E2D9E97}" type="presOf" srcId="{43485588-51A3-47F2-93BD-D4B1C0FAF5A0}" destId="{4D229F76-6F08-4CBF-B072-954EEC2B7C49}" srcOrd="0" destOrd="0" presId="urn:microsoft.com/office/officeart/2005/8/layout/hierarchy1"/>
    <dgm:cxn modelId="{BFEDBCD2-2EFE-4D69-A121-4A16BDCC3833}" type="presOf" srcId="{6A42A8F2-DD50-41A4-BC23-25D45EF4E8A1}" destId="{2A9B38E2-8A86-44E2-89D6-CDB5157926E7}" srcOrd="0" destOrd="0" presId="urn:microsoft.com/office/officeart/2005/8/layout/hierarchy1"/>
    <dgm:cxn modelId="{CB40EC8A-5918-406A-93DB-44715BDE5728}" type="presOf" srcId="{5F249F28-9DEA-47E4-89D2-9F2F014519C0}" destId="{8849285E-B4EF-4E33-9DA8-77415142BD14}" srcOrd="0" destOrd="0" presId="urn:microsoft.com/office/officeart/2005/8/layout/hierarchy1"/>
    <dgm:cxn modelId="{1E0BD5F3-52C3-4BC8-BC29-1237A3BF5300}" type="presOf" srcId="{B159A3BA-D1B8-4992-A44C-DB806BCD1501}" destId="{DE2422F9-43B4-4F73-A3DC-BF699A0D6B07}" srcOrd="0" destOrd="0" presId="urn:microsoft.com/office/officeart/2005/8/layout/hierarchy1"/>
    <dgm:cxn modelId="{30EE5919-6114-4CF7-BDBE-38FDD1526826}" srcId="{7F59C161-D498-4308-B82E-BD4CA835506A}" destId="{FFBF5288-AA12-4AA7-9CB1-071947D97568}" srcOrd="2" destOrd="0" parTransId="{FB0C15ED-AC50-4C24-B86B-24748C839780}" sibTransId="{4580C596-532B-45EB-8AA5-5109264B422E}"/>
    <dgm:cxn modelId="{69948A24-36C7-4E66-91AE-8D263E896F00}" type="presOf" srcId="{44A9F7C6-04B5-464E-A486-92279E9731C7}" destId="{6E359732-A598-45B5-B69B-027529EB27C4}" srcOrd="0" destOrd="0" presId="urn:microsoft.com/office/officeart/2005/8/layout/hierarchy1"/>
    <dgm:cxn modelId="{63B4A2CB-DF28-4DF2-8C7E-002E61C7C49E}" type="presOf" srcId="{FB0C15ED-AC50-4C24-B86B-24748C839780}" destId="{6EA10D9D-FBF0-4054-B3CE-61E59ACAEEF9}" srcOrd="0" destOrd="0" presId="urn:microsoft.com/office/officeart/2005/8/layout/hierarchy1"/>
    <dgm:cxn modelId="{248A45B8-F799-4455-BEFD-63889DA278A2}" srcId="{44A9F7C6-04B5-464E-A486-92279E9731C7}" destId="{D0723C3D-F9B0-43CE-8E6D-792941CB2484}" srcOrd="1" destOrd="0" parTransId="{61087320-0D9D-44D8-9B8C-A3CCEE2F7CDB}" sibTransId="{5B1F5FCC-E41C-4706-8E5A-998B110F5B7E}"/>
    <dgm:cxn modelId="{8ED24F82-4C1C-4137-B8D3-B7B89C6EFC03}" type="presOf" srcId="{61087320-0D9D-44D8-9B8C-A3CCEE2F7CDB}" destId="{693A6399-427B-4B73-9E04-6A4F3B39E825}" srcOrd="0" destOrd="0" presId="urn:microsoft.com/office/officeart/2005/8/layout/hierarchy1"/>
    <dgm:cxn modelId="{B575C21B-242A-4957-BB0F-5EE380985395}" type="presOf" srcId="{FFBF5288-AA12-4AA7-9CB1-071947D97568}" destId="{495ECCEB-2C05-485E-8158-B2CD8B010372}" srcOrd="0" destOrd="0" presId="urn:microsoft.com/office/officeart/2005/8/layout/hierarchy1"/>
    <dgm:cxn modelId="{C7718FCA-BB20-4823-A78F-4FB21DC22CAA}" type="presOf" srcId="{40C55263-7E06-4644-ABB6-A3CAD8623E0E}" destId="{681A37D6-B6C0-4C06-9C52-4259C6E3C78C}" srcOrd="0" destOrd="0" presId="urn:microsoft.com/office/officeart/2005/8/layout/hierarchy1"/>
    <dgm:cxn modelId="{C6CCF56F-E0E4-4A6E-A54C-E15EEC3CB449}" srcId="{7F59C161-D498-4308-B82E-BD4CA835506A}" destId="{43485588-51A3-47F2-93BD-D4B1C0FAF5A0}" srcOrd="1" destOrd="0" parTransId="{D96D4312-C87E-47A0-AF93-0A509E57802A}" sibTransId="{9D92FBF2-CE0B-498C-AB91-E6AD2D1EB929}"/>
    <dgm:cxn modelId="{1BBD27A7-883F-49C0-BF7E-07757F099698}" srcId="{44A9F7C6-04B5-464E-A486-92279E9731C7}" destId="{5F249F28-9DEA-47E4-89D2-9F2F014519C0}" srcOrd="0" destOrd="0" parTransId="{874A87D0-E757-40A7-98BB-A433C90B5F87}" sibTransId="{3A97B573-6F70-4CD5-AC17-B057A52CF52E}"/>
    <dgm:cxn modelId="{D88BFDEA-4B85-4480-A5C4-0C48EFBA46B5}" srcId="{FFBF5288-AA12-4AA7-9CB1-071947D97568}" destId="{40C55263-7E06-4644-ABB6-A3CAD8623E0E}" srcOrd="1" destOrd="0" parTransId="{B159A3BA-D1B8-4992-A44C-DB806BCD1501}" sibTransId="{563D714A-EE98-4381-A1C0-F39F4FDA13C3}"/>
    <dgm:cxn modelId="{AC66D06A-6ACE-4E9A-B5F8-45E2364CD701}" type="presOf" srcId="{D96D4312-C87E-47A0-AF93-0A509E57802A}" destId="{D8922CE1-BB20-49AB-9A79-2653C65ACCB3}" srcOrd="0" destOrd="0" presId="urn:microsoft.com/office/officeart/2005/8/layout/hierarchy1"/>
    <dgm:cxn modelId="{6A980419-691A-4463-84E0-993CDD86FD40}" type="presParOf" srcId="{35E7BD72-FCC0-41B4-B69E-78304EA1BCBC}" destId="{BB6367EE-ED13-438C-A10F-B85C9CBE26DA}" srcOrd="0" destOrd="0" presId="urn:microsoft.com/office/officeart/2005/8/layout/hierarchy1"/>
    <dgm:cxn modelId="{E3432E31-FEA4-434E-B935-957E09BDB1EE}" type="presParOf" srcId="{BB6367EE-ED13-438C-A10F-B85C9CBE26DA}" destId="{4876171B-920B-4A38-99D8-5D3C18B43092}" srcOrd="0" destOrd="0" presId="urn:microsoft.com/office/officeart/2005/8/layout/hierarchy1"/>
    <dgm:cxn modelId="{CCA806BE-1708-453A-9B45-C38CA89847AB}" type="presParOf" srcId="{4876171B-920B-4A38-99D8-5D3C18B43092}" destId="{06A2671E-4F01-413D-86CB-0CCC04C5EFCF}" srcOrd="0" destOrd="0" presId="urn:microsoft.com/office/officeart/2005/8/layout/hierarchy1"/>
    <dgm:cxn modelId="{14F91770-07A6-4805-AFB2-A5B6F13DBDA3}" type="presParOf" srcId="{4876171B-920B-4A38-99D8-5D3C18B43092}" destId="{ED032980-5960-4458-882D-5D8CAFE3152B}" srcOrd="1" destOrd="0" presId="urn:microsoft.com/office/officeart/2005/8/layout/hierarchy1"/>
    <dgm:cxn modelId="{68237464-5307-410B-94F0-FCF401BCFFA5}" type="presParOf" srcId="{BB6367EE-ED13-438C-A10F-B85C9CBE26DA}" destId="{EF35DB60-860B-4041-B221-FF7A6A72298D}" srcOrd="1" destOrd="0" presId="urn:microsoft.com/office/officeart/2005/8/layout/hierarchy1"/>
    <dgm:cxn modelId="{D768B46E-28A0-4D5F-A3CC-B3185C798EF5}" type="presParOf" srcId="{EF35DB60-860B-4041-B221-FF7A6A72298D}" destId="{2A9B38E2-8A86-44E2-89D6-CDB5157926E7}" srcOrd="0" destOrd="0" presId="urn:microsoft.com/office/officeart/2005/8/layout/hierarchy1"/>
    <dgm:cxn modelId="{75517AD5-2CF4-4512-8850-625FD44A018C}" type="presParOf" srcId="{EF35DB60-860B-4041-B221-FF7A6A72298D}" destId="{124E40B9-F2FC-4BDC-BF3B-A9DBEC6D6A0C}" srcOrd="1" destOrd="0" presId="urn:microsoft.com/office/officeart/2005/8/layout/hierarchy1"/>
    <dgm:cxn modelId="{7DADADC8-743C-4973-BA4D-7B07CED3F320}" type="presParOf" srcId="{124E40B9-F2FC-4BDC-BF3B-A9DBEC6D6A0C}" destId="{AF937330-8B60-4086-B76D-236D47005451}" srcOrd="0" destOrd="0" presId="urn:microsoft.com/office/officeart/2005/8/layout/hierarchy1"/>
    <dgm:cxn modelId="{8F7058BC-7F36-4767-A7D0-95A6299049F7}" type="presParOf" srcId="{AF937330-8B60-4086-B76D-236D47005451}" destId="{054CBC2B-06BC-468E-9F57-E278F8B5336F}" srcOrd="0" destOrd="0" presId="urn:microsoft.com/office/officeart/2005/8/layout/hierarchy1"/>
    <dgm:cxn modelId="{B1831BB8-CE19-4D41-8967-4A1587770EF2}" type="presParOf" srcId="{AF937330-8B60-4086-B76D-236D47005451}" destId="{6E359732-A598-45B5-B69B-027529EB27C4}" srcOrd="1" destOrd="0" presId="urn:microsoft.com/office/officeart/2005/8/layout/hierarchy1"/>
    <dgm:cxn modelId="{0A9EBD2D-91F3-49FD-89EB-1B420D217443}" type="presParOf" srcId="{124E40B9-F2FC-4BDC-BF3B-A9DBEC6D6A0C}" destId="{DB635B17-69EB-4A19-B907-4E8CED8EF114}" srcOrd="1" destOrd="0" presId="urn:microsoft.com/office/officeart/2005/8/layout/hierarchy1"/>
    <dgm:cxn modelId="{C1F880CC-653D-43C2-AA54-B465E3A76273}" type="presParOf" srcId="{DB635B17-69EB-4A19-B907-4E8CED8EF114}" destId="{91541380-3673-43AB-966A-212E01C1D54C}" srcOrd="0" destOrd="0" presId="urn:microsoft.com/office/officeart/2005/8/layout/hierarchy1"/>
    <dgm:cxn modelId="{C4F792F6-D907-4A1F-AF96-E9935E1F43AB}" type="presParOf" srcId="{DB635B17-69EB-4A19-B907-4E8CED8EF114}" destId="{CE24A2C5-0D41-42B2-8B60-15D668ABFA00}" srcOrd="1" destOrd="0" presId="urn:microsoft.com/office/officeart/2005/8/layout/hierarchy1"/>
    <dgm:cxn modelId="{A93E66FC-8104-4BA6-BC84-FAC471A7E7AE}" type="presParOf" srcId="{CE24A2C5-0D41-42B2-8B60-15D668ABFA00}" destId="{A5755F70-DC3E-4B19-A1DA-EA7996FB3FF6}" srcOrd="0" destOrd="0" presId="urn:microsoft.com/office/officeart/2005/8/layout/hierarchy1"/>
    <dgm:cxn modelId="{45394E93-984F-4A65-820B-9DFF8BC9AA41}" type="presParOf" srcId="{A5755F70-DC3E-4B19-A1DA-EA7996FB3FF6}" destId="{F484898B-E293-4B18-A6A6-8BF1E22698BD}" srcOrd="0" destOrd="0" presId="urn:microsoft.com/office/officeart/2005/8/layout/hierarchy1"/>
    <dgm:cxn modelId="{BB53EA71-3D1B-40AB-9579-7D03F74F246F}" type="presParOf" srcId="{A5755F70-DC3E-4B19-A1DA-EA7996FB3FF6}" destId="{8849285E-B4EF-4E33-9DA8-77415142BD14}" srcOrd="1" destOrd="0" presId="urn:microsoft.com/office/officeart/2005/8/layout/hierarchy1"/>
    <dgm:cxn modelId="{19066044-FC80-44C1-8F61-520B64130DD3}" type="presParOf" srcId="{CE24A2C5-0D41-42B2-8B60-15D668ABFA00}" destId="{A73A0DC4-EB35-4ACA-AF7D-C3DC37CE70A3}" srcOrd="1" destOrd="0" presId="urn:microsoft.com/office/officeart/2005/8/layout/hierarchy1"/>
    <dgm:cxn modelId="{73B6FE15-CA7B-40C7-ACE1-179041A5F728}" type="presParOf" srcId="{DB635B17-69EB-4A19-B907-4E8CED8EF114}" destId="{693A6399-427B-4B73-9E04-6A4F3B39E825}" srcOrd="2" destOrd="0" presId="urn:microsoft.com/office/officeart/2005/8/layout/hierarchy1"/>
    <dgm:cxn modelId="{6428FA15-3904-45A0-9388-AC2A604E82D7}" type="presParOf" srcId="{DB635B17-69EB-4A19-B907-4E8CED8EF114}" destId="{4FB1CB8E-C472-4189-A796-FFC138B5A0DF}" srcOrd="3" destOrd="0" presId="urn:microsoft.com/office/officeart/2005/8/layout/hierarchy1"/>
    <dgm:cxn modelId="{4EA09426-E258-4862-BE5C-202B6587A3A6}" type="presParOf" srcId="{4FB1CB8E-C472-4189-A796-FFC138B5A0DF}" destId="{7B288DD6-7008-4C70-95BA-F03057DF9A11}" srcOrd="0" destOrd="0" presId="urn:microsoft.com/office/officeart/2005/8/layout/hierarchy1"/>
    <dgm:cxn modelId="{C6931AF3-329F-415E-85E1-CC614814D7B8}" type="presParOf" srcId="{7B288DD6-7008-4C70-95BA-F03057DF9A11}" destId="{5868C13E-D240-4044-B319-0F0E42DF8E0A}" srcOrd="0" destOrd="0" presId="urn:microsoft.com/office/officeart/2005/8/layout/hierarchy1"/>
    <dgm:cxn modelId="{25181091-ED0F-4B74-A057-B1C5B6A4B78A}" type="presParOf" srcId="{7B288DD6-7008-4C70-95BA-F03057DF9A11}" destId="{99035677-832E-4E26-B643-E87C3F68A1AD}" srcOrd="1" destOrd="0" presId="urn:microsoft.com/office/officeart/2005/8/layout/hierarchy1"/>
    <dgm:cxn modelId="{428C103A-158A-417B-89A5-0593930EB8AA}" type="presParOf" srcId="{4FB1CB8E-C472-4189-A796-FFC138B5A0DF}" destId="{EF13B5E6-BD6A-429E-B58C-3BCA78CCF4A4}" srcOrd="1" destOrd="0" presId="urn:microsoft.com/office/officeart/2005/8/layout/hierarchy1"/>
    <dgm:cxn modelId="{6BA2C7E0-1BE8-4A63-90E5-1107E4F56C07}" type="presParOf" srcId="{EF35DB60-860B-4041-B221-FF7A6A72298D}" destId="{D8922CE1-BB20-49AB-9A79-2653C65ACCB3}" srcOrd="2" destOrd="0" presId="urn:microsoft.com/office/officeart/2005/8/layout/hierarchy1"/>
    <dgm:cxn modelId="{E6B96FCB-B0CB-458D-9E9C-93E45A853A6C}" type="presParOf" srcId="{EF35DB60-860B-4041-B221-FF7A6A72298D}" destId="{0864A9BB-96D1-4A23-9E04-05C1CEF6E102}" srcOrd="3" destOrd="0" presId="urn:microsoft.com/office/officeart/2005/8/layout/hierarchy1"/>
    <dgm:cxn modelId="{2C10FD0B-263B-4AAF-9CFF-424BE22E2A65}" type="presParOf" srcId="{0864A9BB-96D1-4A23-9E04-05C1CEF6E102}" destId="{F016E4E9-6980-43E1-A2AF-B72CA67BBDB5}" srcOrd="0" destOrd="0" presId="urn:microsoft.com/office/officeart/2005/8/layout/hierarchy1"/>
    <dgm:cxn modelId="{8C0EE122-B63D-4E14-B56C-83DDE8E44B0A}" type="presParOf" srcId="{F016E4E9-6980-43E1-A2AF-B72CA67BBDB5}" destId="{4721A269-B4F5-4E91-9CA0-CE2F58FD7C9E}" srcOrd="0" destOrd="0" presId="urn:microsoft.com/office/officeart/2005/8/layout/hierarchy1"/>
    <dgm:cxn modelId="{3F5CFB3E-DFD1-4F3C-BBB8-FDEB8A3248C4}" type="presParOf" srcId="{F016E4E9-6980-43E1-A2AF-B72CA67BBDB5}" destId="{4D229F76-6F08-4CBF-B072-954EEC2B7C49}" srcOrd="1" destOrd="0" presId="urn:microsoft.com/office/officeart/2005/8/layout/hierarchy1"/>
    <dgm:cxn modelId="{91E42852-7669-4172-A016-81D7977D02EF}" type="presParOf" srcId="{0864A9BB-96D1-4A23-9E04-05C1CEF6E102}" destId="{07FF70BD-2B60-44F2-9170-D25665423E42}" srcOrd="1" destOrd="0" presId="urn:microsoft.com/office/officeart/2005/8/layout/hierarchy1"/>
    <dgm:cxn modelId="{3FBB502B-15A4-4731-9A04-885CBDB72849}" type="presParOf" srcId="{EF35DB60-860B-4041-B221-FF7A6A72298D}" destId="{6EA10D9D-FBF0-4054-B3CE-61E59ACAEEF9}" srcOrd="4" destOrd="0" presId="urn:microsoft.com/office/officeart/2005/8/layout/hierarchy1"/>
    <dgm:cxn modelId="{65AF7FE5-2867-4943-9FE7-755921DF861E}" type="presParOf" srcId="{EF35DB60-860B-4041-B221-FF7A6A72298D}" destId="{67FF2D43-5F36-43C7-96B3-323EF50530C8}" srcOrd="5" destOrd="0" presId="urn:microsoft.com/office/officeart/2005/8/layout/hierarchy1"/>
    <dgm:cxn modelId="{56013383-2395-4C9F-A236-5110AC9ED934}" type="presParOf" srcId="{67FF2D43-5F36-43C7-96B3-323EF50530C8}" destId="{91238E48-6A4F-4A2E-81BF-93E78FFCDCAB}" srcOrd="0" destOrd="0" presId="urn:microsoft.com/office/officeart/2005/8/layout/hierarchy1"/>
    <dgm:cxn modelId="{F65E3C99-8A25-42FC-BE9F-99123E346D7E}" type="presParOf" srcId="{91238E48-6A4F-4A2E-81BF-93E78FFCDCAB}" destId="{FEE6F77C-0B76-47C7-8E14-81D461BB7578}" srcOrd="0" destOrd="0" presId="urn:microsoft.com/office/officeart/2005/8/layout/hierarchy1"/>
    <dgm:cxn modelId="{7E972402-AFA8-4DB7-A99A-8C650C127D80}" type="presParOf" srcId="{91238E48-6A4F-4A2E-81BF-93E78FFCDCAB}" destId="{495ECCEB-2C05-485E-8158-B2CD8B010372}" srcOrd="1" destOrd="0" presId="urn:microsoft.com/office/officeart/2005/8/layout/hierarchy1"/>
    <dgm:cxn modelId="{5073649A-0894-4806-8E75-0324AFFFEA2C}" type="presParOf" srcId="{67FF2D43-5F36-43C7-96B3-323EF50530C8}" destId="{EFCC06BB-1E7E-4B20-B45B-E70D78BCFBA5}" srcOrd="1" destOrd="0" presId="urn:microsoft.com/office/officeart/2005/8/layout/hierarchy1"/>
    <dgm:cxn modelId="{2C442CCB-F33F-4AC8-A61B-2EDEBF248D2B}" type="presParOf" srcId="{EFCC06BB-1E7E-4B20-B45B-E70D78BCFBA5}" destId="{90AFD84C-997A-4C3B-87E0-EDDAC5253EC1}" srcOrd="0" destOrd="0" presId="urn:microsoft.com/office/officeart/2005/8/layout/hierarchy1"/>
    <dgm:cxn modelId="{F26BBE9A-86FF-491F-9BF5-50826ED34290}" type="presParOf" srcId="{EFCC06BB-1E7E-4B20-B45B-E70D78BCFBA5}" destId="{D0113C93-F7CD-4A71-A628-412BC32B89A4}" srcOrd="1" destOrd="0" presId="urn:microsoft.com/office/officeart/2005/8/layout/hierarchy1"/>
    <dgm:cxn modelId="{960A222F-9FC4-4EA1-9B73-16D61C33D815}" type="presParOf" srcId="{D0113C93-F7CD-4A71-A628-412BC32B89A4}" destId="{3D0BA58B-8141-44F0-9639-F8B22D3BBB33}" srcOrd="0" destOrd="0" presId="urn:microsoft.com/office/officeart/2005/8/layout/hierarchy1"/>
    <dgm:cxn modelId="{2C6631F2-A54D-4FE2-B103-278AA651BC7C}" type="presParOf" srcId="{3D0BA58B-8141-44F0-9639-F8B22D3BBB33}" destId="{6F67CF96-9759-4DD2-AA22-4C25C1C5C03D}" srcOrd="0" destOrd="0" presId="urn:microsoft.com/office/officeart/2005/8/layout/hierarchy1"/>
    <dgm:cxn modelId="{D72683D3-59BA-4B3E-BA9C-AFDDC297CBBB}" type="presParOf" srcId="{3D0BA58B-8141-44F0-9639-F8B22D3BBB33}" destId="{6329AEB2-2C09-44BB-8809-8B8888718605}" srcOrd="1" destOrd="0" presId="urn:microsoft.com/office/officeart/2005/8/layout/hierarchy1"/>
    <dgm:cxn modelId="{ECC6BC46-F0A2-4393-B68A-DD310039031B}" type="presParOf" srcId="{D0113C93-F7CD-4A71-A628-412BC32B89A4}" destId="{B495DD7A-72D6-4D9C-9D2E-BB4B084998F1}" srcOrd="1" destOrd="0" presId="urn:microsoft.com/office/officeart/2005/8/layout/hierarchy1"/>
    <dgm:cxn modelId="{B7246BA4-9358-4F95-99F9-E241A9005E16}" type="presParOf" srcId="{EFCC06BB-1E7E-4B20-B45B-E70D78BCFBA5}" destId="{DE2422F9-43B4-4F73-A3DC-BF699A0D6B07}" srcOrd="2" destOrd="0" presId="urn:microsoft.com/office/officeart/2005/8/layout/hierarchy1"/>
    <dgm:cxn modelId="{5B96ED29-77A5-4CC8-9278-F1DEC4FAAC2C}" type="presParOf" srcId="{EFCC06BB-1E7E-4B20-B45B-E70D78BCFBA5}" destId="{34492AC1-2B14-407A-8AF5-3E7117E61949}" srcOrd="3" destOrd="0" presId="urn:microsoft.com/office/officeart/2005/8/layout/hierarchy1"/>
    <dgm:cxn modelId="{CAC0B024-92E1-47B8-AA78-DB54E95847F7}" type="presParOf" srcId="{34492AC1-2B14-407A-8AF5-3E7117E61949}" destId="{6279C011-F5B6-4BB6-B859-66E4E430E92E}" srcOrd="0" destOrd="0" presId="urn:microsoft.com/office/officeart/2005/8/layout/hierarchy1"/>
    <dgm:cxn modelId="{CC229BB2-3E23-4BC0-904E-18B071D1ACF3}" type="presParOf" srcId="{6279C011-F5B6-4BB6-B859-66E4E430E92E}" destId="{67EEE107-98B0-4BC4-BD6E-51ECD307AC51}" srcOrd="0" destOrd="0" presId="urn:microsoft.com/office/officeart/2005/8/layout/hierarchy1"/>
    <dgm:cxn modelId="{912F1441-6F7C-4155-B15A-9DD38F4DF974}" type="presParOf" srcId="{6279C011-F5B6-4BB6-B859-66E4E430E92E}" destId="{681A37D6-B6C0-4C06-9C52-4259C6E3C78C}" srcOrd="1" destOrd="0" presId="urn:microsoft.com/office/officeart/2005/8/layout/hierarchy1"/>
    <dgm:cxn modelId="{5781E43F-043C-47DA-A190-2540FF109CC5}" type="presParOf" srcId="{34492AC1-2B14-407A-8AF5-3E7117E61949}" destId="{A5AB0594-0DA8-4362-97F0-8233EA5687CD}" srcOrd="1" destOrd="0" presId="urn:microsoft.com/office/officeart/2005/8/layout/hierarchy1"/>
  </dgm:cxnLst>
  <dgm:bg/>
  <dgm:whole>
    <a:ln w="3175">
      <a:solidFill>
        <a:schemeClr val="tx1"/>
      </a:solid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2422F9-43B4-4F73-A3DC-BF699A0D6B07}">
      <dsp:nvSpPr>
        <dsp:cNvPr id="0" name=""/>
        <dsp:cNvSpPr/>
      </dsp:nvSpPr>
      <dsp:spPr>
        <a:xfrm>
          <a:off x="3767327" y="1754336"/>
          <a:ext cx="647254" cy="308034"/>
        </a:xfrm>
        <a:custGeom>
          <a:avLst/>
          <a:gdLst/>
          <a:ahLst/>
          <a:cxnLst/>
          <a:rect l="0" t="0" r="0" b="0"/>
          <a:pathLst>
            <a:path>
              <a:moveTo>
                <a:pt x="0" y="0"/>
              </a:moveTo>
              <a:lnTo>
                <a:pt x="0" y="218663"/>
              </a:lnTo>
              <a:lnTo>
                <a:pt x="674225" y="218663"/>
              </a:lnTo>
              <a:lnTo>
                <a:pt x="674225" y="3208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AFD84C-997A-4C3B-87E0-EDDAC5253EC1}">
      <dsp:nvSpPr>
        <dsp:cNvPr id="0" name=""/>
        <dsp:cNvSpPr/>
      </dsp:nvSpPr>
      <dsp:spPr>
        <a:xfrm>
          <a:off x="3120073" y="1754336"/>
          <a:ext cx="647254" cy="308034"/>
        </a:xfrm>
        <a:custGeom>
          <a:avLst/>
          <a:gdLst/>
          <a:ahLst/>
          <a:cxnLst/>
          <a:rect l="0" t="0" r="0" b="0"/>
          <a:pathLst>
            <a:path>
              <a:moveTo>
                <a:pt x="674225" y="0"/>
              </a:moveTo>
              <a:lnTo>
                <a:pt x="674225" y="218663"/>
              </a:lnTo>
              <a:lnTo>
                <a:pt x="0" y="218663"/>
              </a:lnTo>
              <a:lnTo>
                <a:pt x="0" y="3208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A10D9D-FBF0-4054-B3CE-61E59ACAEEF9}">
      <dsp:nvSpPr>
        <dsp:cNvPr id="0" name=""/>
        <dsp:cNvSpPr/>
      </dsp:nvSpPr>
      <dsp:spPr>
        <a:xfrm>
          <a:off x="2445386" y="788818"/>
          <a:ext cx="1321940" cy="292962"/>
        </a:xfrm>
        <a:custGeom>
          <a:avLst/>
          <a:gdLst/>
          <a:ahLst/>
          <a:cxnLst/>
          <a:rect l="0" t="0" r="0" b="0"/>
          <a:pathLst>
            <a:path>
              <a:moveTo>
                <a:pt x="0" y="0"/>
              </a:moveTo>
              <a:lnTo>
                <a:pt x="0" y="202963"/>
              </a:lnTo>
              <a:lnTo>
                <a:pt x="1377026" y="202963"/>
              </a:lnTo>
              <a:lnTo>
                <a:pt x="1377026" y="305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922CE1-BB20-49AB-9A79-2653C65ACCB3}">
      <dsp:nvSpPr>
        <dsp:cNvPr id="0" name=""/>
        <dsp:cNvSpPr/>
      </dsp:nvSpPr>
      <dsp:spPr>
        <a:xfrm>
          <a:off x="2399666" y="788818"/>
          <a:ext cx="91440" cy="292962"/>
        </a:xfrm>
        <a:custGeom>
          <a:avLst/>
          <a:gdLst/>
          <a:ahLst/>
          <a:cxnLst/>
          <a:rect l="0" t="0" r="0" b="0"/>
          <a:pathLst>
            <a:path>
              <a:moveTo>
                <a:pt x="45720" y="0"/>
              </a:moveTo>
              <a:lnTo>
                <a:pt x="45720" y="202963"/>
              </a:lnTo>
              <a:lnTo>
                <a:pt x="74294" y="202963"/>
              </a:lnTo>
              <a:lnTo>
                <a:pt x="74294" y="305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3A6399-427B-4B73-9E04-6A4F3B39E825}">
      <dsp:nvSpPr>
        <dsp:cNvPr id="0" name=""/>
        <dsp:cNvSpPr/>
      </dsp:nvSpPr>
      <dsp:spPr>
        <a:xfrm>
          <a:off x="1105165" y="1736050"/>
          <a:ext cx="720398" cy="326321"/>
        </a:xfrm>
        <a:custGeom>
          <a:avLst/>
          <a:gdLst/>
          <a:ahLst/>
          <a:cxnLst/>
          <a:rect l="0" t="0" r="0" b="0"/>
          <a:pathLst>
            <a:path>
              <a:moveTo>
                <a:pt x="0" y="0"/>
              </a:moveTo>
              <a:lnTo>
                <a:pt x="0" y="237712"/>
              </a:lnTo>
              <a:lnTo>
                <a:pt x="750418" y="237712"/>
              </a:lnTo>
              <a:lnTo>
                <a:pt x="750418" y="33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541380-3673-43AB-966A-212E01C1D54C}">
      <dsp:nvSpPr>
        <dsp:cNvPr id="0" name=""/>
        <dsp:cNvSpPr/>
      </dsp:nvSpPr>
      <dsp:spPr>
        <a:xfrm>
          <a:off x="531055" y="1736050"/>
          <a:ext cx="574110" cy="326321"/>
        </a:xfrm>
        <a:custGeom>
          <a:avLst/>
          <a:gdLst/>
          <a:ahLst/>
          <a:cxnLst/>
          <a:rect l="0" t="0" r="0" b="0"/>
          <a:pathLst>
            <a:path>
              <a:moveTo>
                <a:pt x="598033" y="0"/>
              </a:moveTo>
              <a:lnTo>
                <a:pt x="598033" y="237712"/>
              </a:lnTo>
              <a:lnTo>
                <a:pt x="0" y="237712"/>
              </a:lnTo>
              <a:lnTo>
                <a:pt x="0" y="33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9B38E2-8A86-44E2-89D6-CDB5157926E7}">
      <dsp:nvSpPr>
        <dsp:cNvPr id="0" name=""/>
        <dsp:cNvSpPr/>
      </dsp:nvSpPr>
      <dsp:spPr>
        <a:xfrm>
          <a:off x="1105165" y="788818"/>
          <a:ext cx="1340221" cy="274675"/>
        </a:xfrm>
        <a:custGeom>
          <a:avLst/>
          <a:gdLst/>
          <a:ahLst/>
          <a:cxnLst/>
          <a:rect l="0" t="0" r="0" b="0"/>
          <a:pathLst>
            <a:path>
              <a:moveTo>
                <a:pt x="1396069" y="0"/>
              </a:moveTo>
              <a:lnTo>
                <a:pt x="1396069" y="183914"/>
              </a:lnTo>
              <a:lnTo>
                <a:pt x="0" y="183914"/>
              </a:lnTo>
              <a:lnTo>
                <a:pt x="0" y="28612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A2671E-4F01-413D-86CB-0CCC04C5EFCF}">
      <dsp:nvSpPr>
        <dsp:cNvPr id="0" name=""/>
        <dsp:cNvSpPr/>
      </dsp:nvSpPr>
      <dsp:spPr>
        <a:xfrm>
          <a:off x="1915815" y="116262"/>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D032980-5960-4458-882D-5D8CAFE3152B}">
      <dsp:nvSpPr>
        <dsp:cNvPr id="0" name=""/>
        <dsp:cNvSpPr/>
      </dsp:nvSpPr>
      <dsp:spPr>
        <a:xfrm>
          <a:off x="2033497" y="228060"/>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Calibri"/>
              <a:ea typeface="+mn-ea"/>
              <a:cs typeface="+mn-cs"/>
            </a:rPr>
            <a:t>Κεντρική Τράπεζα (Τράπεζα της Ελλάδος)</a:t>
          </a:r>
        </a:p>
      </dsp:txBody>
      <dsp:txXfrm>
        <a:off x="2053195" y="247758"/>
        <a:ext cx="1019747" cy="633160"/>
      </dsp:txXfrm>
    </dsp:sp>
    <dsp:sp modelId="{054CBC2B-06BC-468E-9F57-E278F8B5336F}">
      <dsp:nvSpPr>
        <dsp:cNvPr id="0" name=""/>
        <dsp:cNvSpPr/>
      </dsp:nvSpPr>
      <dsp:spPr>
        <a:xfrm>
          <a:off x="575593" y="1063493"/>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E359732-A598-45B5-B69B-027529EB27C4}">
      <dsp:nvSpPr>
        <dsp:cNvPr id="0" name=""/>
        <dsp:cNvSpPr/>
      </dsp:nvSpPr>
      <dsp:spPr>
        <a:xfrm>
          <a:off x="693276" y="1175292"/>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solidFill>
                <a:sysClr val="windowText" lastClr="000000">
                  <a:hueOff val="0"/>
                  <a:satOff val="0"/>
                  <a:lumOff val="0"/>
                  <a:alphaOff val="0"/>
                </a:sysClr>
              </a:solidFill>
              <a:latin typeface="Calibri"/>
              <a:ea typeface="+mn-ea"/>
              <a:cs typeface="+mn-cs"/>
            </a:rPr>
            <a:t> Εμπορικές Τράπεζες</a:t>
          </a:r>
        </a:p>
      </dsp:txBody>
      <dsp:txXfrm>
        <a:off x="712974" y="1194990"/>
        <a:ext cx="1019747" cy="633160"/>
      </dsp:txXfrm>
    </dsp:sp>
    <dsp:sp modelId="{F484898B-E293-4B18-A6A6-8BF1E22698BD}">
      <dsp:nvSpPr>
        <dsp:cNvPr id="0" name=""/>
        <dsp:cNvSpPr/>
      </dsp:nvSpPr>
      <dsp:spPr>
        <a:xfrm>
          <a:off x="1483" y="2062371"/>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849285E-B4EF-4E33-9DA8-77415142BD14}">
      <dsp:nvSpPr>
        <dsp:cNvPr id="0" name=""/>
        <dsp:cNvSpPr/>
      </dsp:nvSpPr>
      <dsp:spPr>
        <a:xfrm>
          <a:off x="119166" y="217416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Ελληνικές Εμπορικές Τράπεζες</a:t>
          </a:r>
        </a:p>
      </dsp:txBody>
      <dsp:txXfrm>
        <a:off x="138864" y="2193867"/>
        <a:ext cx="1019747" cy="633160"/>
      </dsp:txXfrm>
    </dsp:sp>
    <dsp:sp modelId="{5868C13E-D240-4044-B319-0F0E42DF8E0A}">
      <dsp:nvSpPr>
        <dsp:cNvPr id="0" name=""/>
        <dsp:cNvSpPr/>
      </dsp:nvSpPr>
      <dsp:spPr>
        <a:xfrm>
          <a:off x="1295992" y="2062371"/>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9035677-832E-4E26-B643-E87C3F68A1AD}">
      <dsp:nvSpPr>
        <dsp:cNvPr id="0" name=""/>
        <dsp:cNvSpPr/>
      </dsp:nvSpPr>
      <dsp:spPr>
        <a:xfrm>
          <a:off x="1413674" y="217416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hueOff val="0"/>
                  <a:satOff val="0"/>
                  <a:lumOff val="0"/>
                  <a:alphaOff val="0"/>
                </a:sysClr>
              </a:solidFill>
              <a:latin typeface="Calibri"/>
              <a:ea typeface="+mn-ea"/>
              <a:cs typeface="+mn-cs"/>
            </a:rPr>
            <a:t>Ξένες Εμπορικές Τράπεζες</a:t>
          </a:r>
        </a:p>
      </dsp:txBody>
      <dsp:txXfrm>
        <a:off x="1433372" y="2193867"/>
        <a:ext cx="1019747" cy="633160"/>
      </dsp:txXfrm>
    </dsp:sp>
    <dsp:sp modelId="{4721A269-B4F5-4E91-9CA0-CE2F58FD7C9E}">
      <dsp:nvSpPr>
        <dsp:cNvPr id="0" name=""/>
        <dsp:cNvSpPr/>
      </dsp:nvSpPr>
      <dsp:spPr>
        <a:xfrm>
          <a:off x="1943246" y="1081780"/>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D229F76-6F08-4CBF-B072-954EEC2B7C49}">
      <dsp:nvSpPr>
        <dsp:cNvPr id="0" name=""/>
        <dsp:cNvSpPr/>
      </dsp:nvSpPr>
      <dsp:spPr>
        <a:xfrm>
          <a:off x="2060929" y="119357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Συνεταιριστικές Τράπεζες</a:t>
          </a:r>
        </a:p>
      </dsp:txBody>
      <dsp:txXfrm>
        <a:off x="2080627" y="1213277"/>
        <a:ext cx="1019747" cy="633160"/>
      </dsp:txXfrm>
    </dsp:sp>
    <dsp:sp modelId="{FEE6F77C-0B76-47C7-8E14-81D461BB7578}">
      <dsp:nvSpPr>
        <dsp:cNvPr id="0" name=""/>
        <dsp:cNvSpPr/>
      </dsp:nvSpPr>
      <dsp:spPr>
        <a:xfrm>
          <a:off x="3237755" y="1081780"/>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95ECCEB-2C05-485E-8158-B2CD8B010372}">
      <dsp:nvSpPr>
        <dsp:cNvPr id="0" name=""/>
        <dsp:cNvSpPr/>
      </dsp:nvSpPr>
      <dsp:spPr>
        <a:xfrm>
          <a:off x="3355438" y="119357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solidFill>
                <a:sysClr val="windowText" lastClr="000000">
                  <a:hueOff val="0"/>
                  <a:satOff val="0"/>
                  <a:lumOff val="0"/>
                  <a:alphaOff val="0"/>
                </a:sysClr>
              </a:solidFill>
              <a:latin typeface="Calibri"/>
              <a:ea typeface="+mn-ea"/>
              <a:cs typeface="+mn-cs"/>
            </a:rPr>
            <a:t>Ειδικοί Πιστωτικοί Οργανισμοί</a:t>
          </a:r>
        </a:p>
      </dsp:txBody>
      <dsp:txXfrm>
        <a:off x="3375136" y="1213277"/>
        <a:ext cx="1019747" cy="633160"/>
      </dsp:txXfrm>
    </dsp:sp>
    <dsp:sp modelId="{6F67CF96-9759-4DD2-AA22-4C25C1C5C03D}">
      <dsp:nvSpPr>
        <dsp:cNvPr id="0" name=""/>
        <dsp:cNvSpPr/>
      </dsp:nvSpPr>
      <dsp:spPr>
        <a:xfrm>
          <a:off x="2590501" y="2062371"/>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329AEB2-2C09-44BB-8809-8B8888718605}">
      <dsp:nvSpPr>
        <dsp:cNvPr id="0" name=""/>
        <dsp:cNvSpPr/>
      </dsp:nvSpPr>
      <dsp:spPr>
        <a:xfrm>
          <a:off x="2708183" y="217416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hueOff val="0"/>
                  <a:satOff val="0"/>
                  <a:lumOff val="0"/>
                  <a:alphaOff val="0"/>
                </a:sysClr>
              </a:solidFill>
              <a:latin typeface="Calibri"/>
              <a:ea typeface="+mn-ea"/>
              <a:cs typeface="+mn-cs"/>
            </a:rPr>
            <a:t>Ταχυδρομικό Ταμιευτήριο</a:t>
          </a:r>
        </a:p>
      </dsp:txBody>
      <dsp:txXfrm>
        <a:off x="2727881" y="2193867"/>
        <a:ext cx="1019747" cy="633160"/>
      </dsp:txXfrm>
    </dsp:sp>
    <dsp:sp modelId="{67EEE107-98B0-4BC4-BD6E-51ECD307AC51}">
      <dsp:nvSpPr>
        <dsp:cNvPr id="0" name=""/>
        <dsp:cNvSpPr/>
      </dsp:nvSpPr>
      <dsp:spPr>
        <a:xfrm>
          <a:off x="3885010" y="2062371"/>
          <a:ext cx="1059143" cy="6725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81A37D6-B6C0-4C06-9C52-4259C6E3C78C}">
      <dsp:nvSpPr>
        <dsp:cNvPr id="0" name=""/>
        <dsp:cNvSpPr/>
      </dsp:nvSpPr>
      <dsp:spPr>
        <a:xfrm>
          <a:off x="4002692" y="2174169"/>
          <a:ext cx="1059143" cy="67255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l-GR" sz="1050" kern="1200">
              <a:solidFill>
                <a:sysClr val="windowText" lastClr="000000">
                  <a:hueOff val="0"/>
                  <a:satOff val="0"/>
                  <a:lumOff val="0"/>
                  <a:alphaOff val="0"/>
                </a:sysClr>
              </a:solidFill>
              <a:latin typeface="Calibri"/>
              <a:ea typeface="+mn-ea"/>
              <a:cs typeface="+mn-cs"/>
            </a:rPr>
            <a:t>Ταμείο Παρακαταθηκών και Δανείων</a:t>
          </a:r>
        </a:p>
      </dsp:txBody>
      <dsp:txXfrm>
        <a:off x="4022390" y="2193867"/>
        <a:ext cx="1019747" cy="6331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E2927-11D2-44E1-97E6-891AFCA4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78</Pages>
  <Words>23025</Words>
  <Characters>124336</Characters>
  <Application>Microsoft Office Word</Application>
  <DocSecurity>0</DocSecurity>
  <Lines>1036</Lines>
  <Paragraphs>294</Paragraphs>
  <ScaleCrop>false</ScaleCrop>
  <HeadingPairs>
    <vt:vector size="2" baseType="variant">
      <vt:variant>
        <vt:lpstr>Τίτλος</vt:lpstr>
      </vt:variant>
      <vt:variant>
        <vt:i4>1</vt:i4>
      </vt:variant>
    </vt:vector>
  </HeadingPairs>
  <TitlesOfParts>
    <vt:vector size="1" baseType="lpstr">
      <vt:lpstr>ΠΕΡΙΕΧΟΜΕΝΑ</vt:lpstr>
    </vt:vector>
  </TitlesOfParts>
  <Company/>
  <LinksUpToDate>false</LinksUpToDate>
  <CharactersWithSpaces>147067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ΠΕΡΙΕΧΟΜΕΝΑ</dc:title>
  <dc:creator>stefanos</dc:creator>
  <cp:lastModifiedBy>Stefanos Papadamou</cp:lastModifiedBy>
  <cp:revision>7</cp:revision>
  <cp:lastPrinted>2014-06-20T08:40:00Z</cp:lastPrinted>
  <dcterms:created xsi:type="dcterms:W3CDTF">2014-07-14T12:01:00Z</dcterms:created>
  <dcterms:modified xsi:type="dcterms:W3CDTF">2014-08-04T10:35:00Z</dcterms:modified>
</cp:coreProperties>
</file>